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39B" w:rsidRDefault="0004239B" w:rsidP="0004239B">
      <w:pPr>
        <w:pStyle w:val="Portada1"/>
      </w:pPr>
      <w:bookmarkStart w:id="0" w:name="_GoBack"/>
      <w:bookmarkEnd w:id="0"/>
      <w:r>
        <w:t>TRIBUNAL CONSTITUCIONAL</w:t>
      </w:r>
    </w:p>
    <w:p w:rsidR="006854DA" w:rsidRDefault="006854DA" w:rsidP="0004239B">
      <w:pPr>
        <w:pStyle w:val="Portada1"/>
      </w:pPr>
    </w:p>
    <w:p w:rsidR="0004239B" w:rsidRDefault="0004239B" w:rsidP="0004239B">
      <w:pPr>
        <w:pStyle w:val="Portada2"/>
      </w:pPr>
      <w:r>
        <w:t>SECRETARÍA GENERAL</w:t>
      </w:r>
    </w:p>
    <w:p w:rsidR="0004239B" w:rsidRDefault="0004239B" w:rsidP="0004239B">
      <w:pPr>
        <w:pStyle w:val="Portada2"/>
      </w:pPr>
    </w:p>
    <w:p w:rsidR="0004239B" w:rsidRDefault="0004239B" w:rsidP="0004239B">
      <w:pPr>
        <w:pStyle w:val="Portada2"/>
      </w:pPr>
    </w:p>
    <w:p w:rsidR="0004239B" w:rsidRDefault="0004239B" w:rsidP="0004239B">
      <w:pPr>
        <w:pStyle w:val="Portada2"/>
      </w:pPr>
    </w:p>
    <w:p w:rsidR="0004239B" w:rsidRDefault="0004239B" w:rsidP="0004239B">
      <w:pPr>
        <w:pStyle w:val="Portada2"/>
      </w:pPr>
    </w:p>
    <w:p w:rsidR="0004239B" w:rsidRDefault="0004239B" w:rsidP="0004239B">
      <w:pPr>
        <w:pStyle w:val="Portada2"/>
      </w:pPr>
    </w:p>
    <w:p w:rsidR="0004239B" w:rsidRDefault="0004239B" w:rsidP="0004239B">
      <w:pPr>
        <w:pStyle w:val="Portada2"/>
      </w:pPr>
    </w:p>
    <w:p w:rsidR="0004239B" w:rsidRDefault="0004239B" w:rsidP="0004239B">
      <w:pPr>
        <w:pStyle w:val="Portada2"/>
      </w:pPr>
    </w:p>
    <w:p w:rsidR="0004239B" w:rsidRDefault="0004239B" w:rsidP="0004239B">
      <w:pPr>
        <w:pStyle w:val="Portada2"/>
      </w:pPr>
    </w:p>
    <w:p w:rsidR="0004239B" w:rsidRDefault="0004239B" w:rsidP="0004239B">
      <w:pPr>
        <w:pStyle w:val="PortadaPrincipal"/>
      </w:pPr>
      <w:r>
        <w:t>JURISPRUDENCIA</w:t>
      </w:r>
    </w:p>
    <w:p w:rsidR="0004239B" w:rsidRDefault="0004239B" w:rsidP="0004239B">
      <w:pPr>
        <w:pStyle w:val="PortadaPrincipal"/>
      </w:pPr>
      <w:r>
        <w:t>CONSTITUCIONAL</w:t>
      </w:r>
    </w:p>
    <w:p w:rsidR="0004239B" w:rsidRDefault="0004239B" w:rsidP="0004239B">
      <w:pPr>
        <w:pStyle w:val="PortadaPrincipal"/>
      </w:pPr>
    </w:p>
    <w:p w:rsidR="0004239B" w:rsidRPr="0004239B" w:rsidRDefault="0004239B" w:rsidP="0004239B">
      <w:pPr>
        <w:pStyle w:val="Portada1"/>
        <w:rPr>
          <w:b/>
        </w:rPr>
      </w:pPr>
      <w:r w:rsidRPr="0004239B">
        <w:rPr>
          <w:b/>
        </w:rPr>
        <w:t>TOMO CUADRAGÉSIMO OCTAVO</w:t>
      </w:r>
    </w:p>
    <w:p w:rsidR="0004239B" w:rsidRPr="0004239B" w:rsidRDefault="0004239B" w:rsidP="0004239B">
      <w:pPr>
        <w:pStyle w:val="Portada1"/>
        <w:rPr>
          <w:b/>
        </w:rPr>
      </w:pPr>
      <w:r w:rsidRPr="0004239B">
        <w:rPr>
          <w:b/>
        </w:rPr>
        <w:t>(mayo - agosto 1997)</w:t>
      </w:r>
    </w:p>
    <w:p w:rsidR="0004239B" w:rsidRDefault="0004239B" w:rsidP="0004239B">
      <w:pPr>
        <w:pStyle w:val="Portada1"/>
      </w:pPr>
    </w:p>
    <w:p w:rsidR="0004239B" w:rsidRDefault="0004239B" w:rsidP="0004239B">
      <w:pPr>
        <w:pStyle w:val="Portada1"/>
      </w:pPr>
    </w:p>
    <w:p w:rsidR="0004239B" w:rsidRDefault="0004239B" w:rsidP="0004239B">
      <w:pPr>
        <w:pStyle w:val="Portada1"/>
      </w:pPr>
    </w:p>
    <w:p w:rsidR="0004239B" w:rsidRDefault="0004239B" w:rsidP="0004239B">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04239B" w:rsidRDefault="0004239B" w:rsidP="0004239B">
      <w:pPr>
        <w:pStyle w:val="Portada1"/>
      </w:pPr>
    </w:p>
    <w:p w:rsidR="0004239B" w:rsidRDefault="0004239B" w:rsidP="0004239B">
      <w:pPr>
        <w:pStyle w:val="Portada1"/>
      </w:pPr>
    </w:p>
    <w:p w:rsidR="0004239B" w:rsidRDefault="0004239B" w:rsidP="0004239B">
      <w:pPr>
        <w:pStyle w:val="Portada1"/>
      </w:pPr>
    </w:p>
    <w:p w:rsidR="0004239B" w:rsidRDefault="0004239B" w:rsidP="0004239B">
      <w:pPr>
        <w:pStyle w:val="Portada1"/>
      </w:pPr>
    </w:p>
    <w:p w:rsidR="0004239B" w:rsidRDefault="0004239B" w:rsidP="0004239B">
      <w:pPr>
        <w:pStyle w:val="Portada1"/>
      </w:pPr>
    </w:p>
    <w:p w:rsidR="0004239B" w:rsidRDefault="0004239B" w:rsidP="0004239B">
      <w:pPr>
        <w:pStyle w:val="Portada2"/>
      </w:pPr>
      <w:r>
        <w:t>MADRID 1997</w:t>
      </w:r>
    </w:p>
    <w:p w:rsidR="0084433F" w:rsidRDefault="0084433F">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84433F" w:rsidRDefault="0084433F" w:rsidP="0084433F">
      <w:pPr>
        <w:pStyle w:val="CabeceraApartadoDerecha"/>
      </w:pPr>
      <w:r>
        <w:lastRenderedPageBreak/>
        <w:t>CONTENIDO</w:t>
      </w:r>
    </w:p>
    <w:p w:rsidR="006854DA" w:rsidRDefault="006854DA" w:rsidP="0084433F">
      <w:pPr>
        <w:pStyle w:val="CabeceraApartadoDerecha"/>
      </w:pPr>
    </w:p>
    <w:p w:rsidR="0084433F" w:rsidRDefault="0084433F" w:rsidP="0084433F">
      <w:pPr>
        <w:pStyle w:val="EntradandiceSumario"/>
        <w:keepNext w:val="0"/>
      </w:pPr>
      <w:r>
        <w:t>1. SENTENCIAS: STC 88/1997 A STC 140/1997</w:t>
      </w:r>
      <w:r>
        <w:tab/>
      </w:r>
      <w:r>
        <w:tab/>
      </w:r>
      <w:r>
        <w:fldChar w:fldCharType="begin"/>
      </w:r>
      <w:r>
        <w:instrText xml:space="preserve"> PAGEREF SUMARIOSENTENCIAS \h </w:instrText>
      </w:r>
      <w:r>
        <w:fldChar w:fldCharType="separate"/>
      </w:r>
      <w:r w:rsidR="00E14B47">
        <w:rPr>
          <w:noProof/>
        </w:rPr>
        <w:t>3</w:t>
      </w:r>
      <w:r>
        <w:fldChar w:fldCharType="end"/>
      </w:r>
    </w:p>
    <w:p w:rsidR="0084433F" w:rsidRDefault="0084433F" w:rsidP="0084433F">
      <w:pPr>
        <w:pStyle w:val="EntradandiceSumario"/>
        <w:keepNext w:val="0"/>
      </w:pPr>
    </w:p>
    <w:p w:rsidR="0084433F" w:rsidRDefault="0084433F" w:rsidP="0084433F">
      <w:pPr>
        <w:pStyle w:val="EntradandiceSumario"/>
        <w:keepNext w:val="0"/>
      </w:pPr>
      <w:bookmarkStart w:id="1" w:name="SUMARIOSINDICES"/>
      <w:r>
        <w:t>2. AUTOS: ATC 124/1997 A ATC 296/1997</w:t>
      </w:r>
      <w:r>
        <w:tab/>
      </w:r>
      <w:r>
        <w:tab/>
      </w:r>
      <w:r>
        <w:fldChar w:fldCharType="begin"/>
      </w:r>
      <w:r>
        <w:instrText xml:space="preserve"> PAGEREF SUMARIOSAUTOS \h </w:instrText>
      </w:r>
      <w:r>
        <w:fldChar w:fldCharType="separate"/>
      </w:r>
      <w:r w:rsidR="00E14B47">
        <w:rPr>
          <w:noProof/>
        </w:rPr>
        <w:t>11</w:t>
      </w:r>
      <w:r>
        <w:fldChar w:fldCharType="end"/>
      </w:r>
    </w:p>
    <w:bookmarkEnd w:id="1"/>
    <w:p w:rsidR="0084433F" w:rsidRDefault="0084433F" w:rsidP="0084433F">
      <w:pPr>
        <w:pStyle w:val="EntradandiceSumario"/>
        <w:keepNext w:val="0"/>
      </w:pPr>
    </w:p>
    <w:p w:rsidR="0084433F" w:rsidRDefault="007E1ADB" w:rsidP="0084433F">
      <w:pPr>
        <w:pStyle w:val="EntradandiceSumario"/>
        <w:keepNext w:val="0"/>
      </w:pPr>
      <w:r>
        <w:t>3.</w:t>
      </w:r>
      <w:r w:rsidR="00C9675C">
        <w:t xml:space="preserve"> ÍNDICE DE DISPOSICIONES CON FUERZA DE LEY IMPUGNADAS</w:t>
      </w:r>
      <w:r w:rsidR="0084433F">
        <w:t>:</w:t>
      </w:r>
    </w:p>
    <w:p w:rsidR="0084433F" w:rsidRDefault="0084433F" w:rsidP="0084433F">
      <w:pPr>
        <w:pStyle w:val="EntradandiceSumario"/>
        <w:keepNext w:val="0"/>
      </w:pPr>
    </w:p>
    <w:p w:rsidR="0084433F" w:rsidRDefault="00321BF9" w:rsidP="0084433F">
      <w:pPr>
        <w:pStyle w:val="EntradandiceSumarioNivel2"/>
        <w:keepNext w:val="0"/>
      </w:pPr>
      <w:r>
        <w:t>A) Disposiciones con fuerza de ley del Estado</w:t>
      </w:r>
      <w:r w:rsidR="0084433F">
        <w:tab/>
      </w:r>
      <w:r w:rsidR="0084433F">
        <w:tab/>
      </w:r>
      <w:r w:rsidR="0084433F">
        <w:fldChar w:fldCharType="begin"/>
      </w:r>
      <w:r w:rsidR="0084433F">
        <w:instrText xml:space="preserve"> PAGEREF INDICE22802 \h </w:instrText>
      </w:r>
      <w:r w:rsidR="0084433F">
        <w:fldChar w:fldCharType="separate"/>
      </w:r>
      <w:r w:rsidR="00E14B47">
        <w:rPr>
          <w:noProof/>
        </w:rPr>
        <w:t>1238</w:t>
      </w:r>
      <w:r w:rsidR="0084433F">
        <w:fldChar w:fldCharType="end"/>
      </w:r>
    </w:p>
    <w:p w:rsidR="0084433F" w:rsidRDefault="00217AC8" w:rsidP="0084433F">
      <w:pPr>
        <w:pStyle w:val="EntradandiceSumarioNivel2"/>
        <w:keepNext w:val="0"/>
      </w:pPr>
      <w:r>
        <w:t>B) Disposiciones con fuerza de ley de las Comunidades Autónomas</w:t>
      </w:r>
      <w:r w:rsidR="0084433F">
        <w:tab/>
      </w:r>
      <w:r w:rsidR="0084433F">
        <w:tab/>
      </w:r>
      <w:r w:rsidR="0084433F">
        <w:fldChar w:fldCharType="begin"/>
      </w:r>
      <w:r w:rsidR="0084433F">
        <w:instrText xml:space="preserve"> PAGEREF INDICE22806 \h </w:instrText>
      </w:r>
      <w:r w:rsidR="0084433F">
        <w:fldChar w:fldCharType="separate"/>
      </w:r>
      <w:r w:rsidR="00E14B47">
        <w:rPr>
          <w:noProof/>
        </w:rPr>
        <w:t>1239</w:t>
      </w:r>
      <w:r w:rsidR="0084433F">
        <w:fldChar w:fldCharType="end"/>
      </w:r>
    </w:p>
    <w:p w:rsidR="0084433F" w:rsidRDefault="0084433F" w:rsidP="0084433F"/>
    <w:p w:rsidR="0084433F" w:rsidRDefault="0074112A" w:rsidP="0084433F">
      <w:pPr>
        <w:pStyle w:val="EntradandiceSumario"/>
        <w:keepNext w:val="0"/>
      </w:pPr>
      <w:r>
        <w:t>4. ÍNDICE DE DISPOSICIONES GENERALES IMPUGNADAS</w:t>
      </w:r>
      <w:r w:rsidR="0084433F">
        <w:t>:</w:t>
      </w:r>
    </w:p>
    <w:p w:rsidR="0084433F" w:rsidRDefault="0084433F" w:rsidP="0084433F">
      <w:pPr>
        <w:pStyle w:val="EntradandiceSumario"/>
        <w:keepNext w:val="0"/>
      </w:pPr>
    </w:p>
    <w:p w:rsidR="0084433F" w:rsidRDefault="0084433F" w:rsidP="0084433F">
      <w:pPr>
        <w:pStyle w:val="EntradandiceSumarioNivel2"/>
        <w:keepNext w:val="0"/>
      </w:pPr>
      <w:r>
        <w:t>A) Disposiciones del Estado</w:t>
      </w:r>
      <w:r>
        <w:tab/>
      </w:r>
      <w:r>
        <w:tab/>
      </w:r>
      <w:r>
        <w:fldChar w:fldCharType="begin"/>
      </w:r>
      <w:r>
        <w:instrText xml:space="preserve"> PAGEREF INDICE22803 \h </w:instrText>
      </w:r>
      <w:r>
        <w:fldChar w:fldCharType="separate"/>
      </w:r>
      <w:r w:rsidR="00E14B47">
        <w:rPr>
          <w:noProof/>
        </w:rPr>
        <w:t>1240</w:t>
      </w:r>
      <w:r>
        <w:fldChar w:fldCharType="end"/>
      </w:r>
    </w:p>
    <w:p w:rsidR="0084433F" w:rsidRDefault="0084433F" w:rsidP="0084433F"/>
    <w:p w:rsidR="0084433F" w:rsidRDefault="0084433F" w:rsidP="0084433F">
      <w:pPr>
        <w:pStyle w:val="EntradandiceSumario"/>
        <w:keepNext w:val="0"/>
      </w:pPr>
      <w:r>
        <w:t>5. ÍNDICE DE DISPOSICIONES CITADAS:</w:t>
      </w:r>
    </w:p>
    <w:p w:rsidR="0084433F" w:rsidRDefault="0084433F" w:rsidP="0084433F">
      <w:pPr>
        <w:pStyle w:val="EntradandiceSumario"/>
        <w:keepNext w:val="0"/>
      </w:pPr>
    </w:p>
    <w:p w:rsidR="0084433F" w:rsidRDefault="0084433F" w:rsidP="0084433F">
      <w:pPr>
        <w:pStyle w:val="EntradandiceSumarioNivel2"/>
        <w:keepNext w:val="0"/>
      </w:pPr>
      <w:r>
        <w:t>A) Constitución</w:t>
      </w:r>
      <w:r>
        <w:tab/>
      </w:r>
      <w:r>
        <w:tab/>
      </w:r>
      <w:r>
        <w:fldChar w:fldCharType="begin"/>
      </w:r>
      <w:r>
        <w:instrText xml:space="preserve"> PAGEREF INDICE22804 \h </w:instrText>
      </w:r>
      <w:r>
        <w:fldChar w:fldCharType="separate"/>
      </w:r>
      <w:r w:rsidR="00E14B47">
        <w:rPr>
          <w:noProof/>
        </w:rPr>
        <w:t>1241</w:t>
      </w:r>
      <w:r>
        <w:fldChar w:fldCharType="end"/>
      </w:r>
    </w:p>
    <w:p w:rsidR="0084433F" w:rsidRDefault="0084433F" w:rsidP="0084433F">
      <w:pPr>
        <w:pStyle w:val="EntradandiceSumarioNivel2"/>
        <w:keepNext w:val="0"/>
      </w:pPr>
      <w:r>
        <w:t>B) Tribunal Constitucional</w:t>
      </w:r>
      <w:r>
        <w:tab/>
      </w:r>
      <w:r>
        <w:tab/>
      </w:r>
      <w:r>
        <w:fldChar w:fldCharType="begin"/>
      </w:r>
      <w:r>
        <w:instrText xml:space="preserve"> PAGEREF INDICE22843 \h </w:instrText>
      </w:r>
      <w:r>
        <w:fldChar w:fldCharType="separate"/>
      </w:r>
      <w:r w:rsidR="00E14B47">
        <w:rPr>
          <w:noProof/>
        </w:rPr>
        <w:t>1245</w:t>
      </w:r>
      <w:r>
        <w:fldChar w:fldCharType="end"/>
      </w:r>
    </w:p>
    <w:p w:rsidR="0084433F" w:rsidRDefault="0084433F" w:rsidP="0084433F">
      <w:pPr>
        <w:pStyle w:val="EntradandiceSumarioNivel2"/>
        <w:keepNext w:val="0"/>
      </w:pPr>
      <w:r>
        <w:t>C) Cortes Generales</w:t>
      </w:r>
      <w:r>
        <w:tab/>
      </w:r>
      <w:r>
        <w:tab/>
      </w:r>
      <w:r>
        <w:fldChar w:fldCharType="begin"/>
      </w:r>
      <w:r>
        <w:instrText xml:space="preserve"> PAGEREF INDICE22844 \h </w:instrText>
      </w:r>
      <w:r>
        <w:fldChar w:fldCharType="separate"/>
      </w:r>
      <w:r w:rsidR="00E14B47">
        <w:rPr>
          <w:noProof/>
        </w:rPr>
        <w:t>1247</w:t>
      </w:r>
      <w:r>
        <w:fldChar w:fldCharType="end"/>
      </w:r>
    </w:p>
    <w:p w:rsidR="0084433F" w:rsidRDefault="0084433F" w:rsidP="0084433F">
      <w:pPr>
        <w:pStyle w:val="EntradandiceSumarioNivel2"/>
        <w:keepNext w:val="0"/>
      </w:pPr>
      <w:r>
        <w:t>D) Leyes Orgánicas</w:t>
      </w:r>
      <w:r>
        <w:tab/>
      </w:r>
      <w:r>
        <w:tab/>
      </w:r>
      <w:r>
        <w:fldChar w:fldCharType="begin"/>
      </w:r>
      <w:r>
        <w:instrText xml:space="preserve"> PAGEREF INDICE22845 \h </w:instrText>
      </w:r>
      <w:r>
        <w:fldChar w:fldCharType="separate"/>
      </w:r>
      <w:r w:rsidR="00E14B47">
        <w:rPr>
          <w:noProof/>
        </w:rPr>
        <w:t>1247</w:t>
      </w:r>
      <w:r>
        <w:fldChar w:fldCharType="end"/>
      </w:r>
    </w:p>
    <w:p w:rsidR="0084433F" w:rsidRDefault="0084433F" w:rsidP="0084433F">
      <w:pPr>
        <w:pStyle w:val="EntradandiceSumarioNivel2"/>
        <w:keepNext w:val="0"/>
      </w:pPr>
      <w:r>
        <w:t>E) Leyes de las Cortes Generales</w:t>
      </w:r>
      <w:r>
        <w:tab/>
      </w:r>
      <w:r>
        <w:tab/>
      </w:r>
      <w:r>
        <w:fldChar w:fldCharType="begin"/>
      </w:r>
      <w:r>
        <w:instrText xml:space="preserve"> PAGEREF INDICE22846 \h </w:instrText>
      </w:r>
      <w:r>
        <w:fldChar w:fldCharType="separate"/>
      </w:r>
      <w:r w:rsidR="00E14B47">
        <w:rPr>
          <w:noProof/>
        </w:rPr>
        <w:t>1250</w:t>
      </w:r>
      <w:r>
        <w:fldChar w:fldCharType="end"/>
      </w:r>
    </w:p>
    <w:p w:rsidR="0084433F" w:rsidRDefault="0084433F" w:rsidP="0084433F">
      <w:pPr>
        <w:pStyle w:val="EntradandiceSumarioNivel2"/>
        <w:keepNext w:val="0"/>
      </w:pPr>
      <w:r>
        <w:t>F) Reales Decretos Legislativos</w:t>
      </w:r>
      <w:r>
        <w:tab/>
      </w:r>
      <w:r>
        <w:tab/>
      </w:r>
      <w:r>
        <w:fldChar w:fldCharType="begin"/>
      </w:r>
      <w:r>
        <w:instrText xml:space="preserve"> PAGEREF INDICE22847 \h </w:instrText>
      </w:r>
      <w:r>
        <w:fldChar w:fldCharType="separate"/>
      </w:r>
      <w:r w:rsidR="00E14B47">
        <w:rPr>
          <w:noProof/>
        </w:rPr>
        <w:t>1255</w:t>
      </w:r>
      <w:r>
        <w:fldChar w:fldCharType="end"/>
      </w:r>
    </w:p>
    <w:p w:rsidR="0084433F" w:rsidRDefault="0084433F" w:rsidP="0084433F">
      <w:pPr>
        <w:pStyle w:val="EntradandiceSumarioNivel2"/>
        <w:keepNext w:val="0"/>
      </w:pPr>
      <w:r>
        <w:t>G) Reales Decretos-leyes</w:t>
      </w:r>
      <w:r>
        <w:tab/>
      </w:r>
      <w:r>
        <w:tab/>
      </w:r>
      <w:r>
        <w:fldChar w:fldCharType="begin"/>
      </w:r>
      <w:r>
        <w:instrText xml:space="preserve"> PAGEREF INDICE22848 \h </w:instrText>
      </w:r>
      <w:r>
        <w:fldChar w:fldCharType="separate"/>
      </w:r>
      <w:r w:rsidR="00E14B47">
        <w:rPr>
          <w:noProof/>
        </w:rPr>
        <w:t>1256</w:t>
      </w:r>
      <w:r>
        <w:fldChar w:fldCharType="end"/>
      </w:r>
    </w:p>
    <w:p w:rsidR="0084433F" w:rsidRDefault="0084433F" w:rsidP="0084433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14B47">
        <w:rPr>
          <w:noProof/>
        </w:rPr>
        <w:t>1256</w:t>
      </w:r>
      <w:r>
        <w:fldChar w:fldCharType="end"/>
      </w:r>
    </w:p>
    <w:p w:rsidR="0084433F" w:rsidRDefault="0084433F" w:rsidP="0084433F">
      <w:pPr>
        <w:pStyle w:val="EntradandiceSumarioNivel2"/>
        <w:keepNext w:val="0"/>
      </w:pPr>
      <w:r>
        <w:t>I) Legislación preconstitucional</w:t>
      </w:r>
      <w:r>
        <w:tab/>
      </w:r>
      <w:r>
        <w:tab/>
      </w:r>
      <w:r>
        <w:fldChar w:fldCharType="begin"/>
      </w:r>
      <w:r>
        <w:instrText xml:space="preserve"> PAGEREF INDICE22850 \h </w:instrText>
      </w:r>
      <w:r>
        <w:fldChar w:fldCharType="separate"/>
      </w:r>
      <w:r w:rsidR="00E14B47">
        <w:rPr>
          <w:noProof/>
        </w:rPr>
        <w:t>1260</w:t>
      </w:r>
      <w:r>
        <w:fldChar w:fldCharType="end"/>
      </w:r>
    </w:p>
    <w:p w:rsidR="0084433F" w:rsidRDefault="0084433F" w:rsidP="0084433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14B47">
        <w:rPr>
          <w:noProof/>
        </w:rPr>
        <w:t>1268</w:t>
      </w:r>
      <w:r>
        <w:fldChar w:fldCharType="end"/>
      </w:r>
    </w:p>
    <w:p w:rsidR="0084433F" w:rsidRDefault="0084433F" w:rsidP="0084433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14B47">
        <w:rPr>
          <w:noProof/>
        </w:rPr>
        <w:t>1271</w:t>
      </w:r>
      <w:r>
        <w:fldChar w:fldCharType="end"/>
      </w:r>
    </w:p>
    <w:p w:rsidR="0084433F" w:rsidRDefault="0084433F" w:rsidP="0084433F">
      <w:pPr>
        <w:pStyle w:val="EntradandiceSumarioNivel2"/>
        <w:keepNext w:val="0"/>
      </w:pPr>
      <w:r>
        <w:t>M) Unión Europea</w:t>
      </w:r>
      <w:r>
        <w:tab/>
      </w:r>
      <w:r>
        <w:tab/>
      </w:r>
      <w:r>
        <w:fldChar w:fldCharType="begin"/>
      </w:r>
      <w:r>
        <w:instrText xml:space="preserve"> PAGEREF INDICE22871 \h </w:instrText>
      </w:r>
      <w:r>
        <w:fldChar w:fldCharType="separate"/>
      </w:r>
      <w:r w:rsidR="00E14B47">
        <w:rPr>
          <w:noProof/>
        </w:rPr>
        <w:t>1272</w:t>
      </w:r>
      <w:r>
        <w:fldChar w:fldCharType="end"/>
      </w:r>
    </w:p>
    <w:p w:rsidR="0084433F" w:rsidRDefault="0084433F" w:rsidP="0084433F">
      <w:pPr>
        <w:pStyle w:val="EntradandiceSumarioNivel2"/>
        <w:keepNext w:val="0"/>
      </w:pPr>
      <w:r>
        <w:t>N) Consejo de Europa</w:t>
      </w:r>
      <w:r>
        <w:tab/>
      </w:r>
      <w:r>
        <w:tab/>
      </w:r>
      <w:r>
        <w:fldChar w:fldCharType="begin"/>
      </w:r>
      <w:r>
        <w:instrText xml:space="preserve"> PAGEREF INDICE27994 \h </w:instrText>
      </w:r>
      <w:r>
        <w:fldChar w:fldCharType="separate"/>
      </w:r>
      <w:r w:rsidR="00E14B47">
        <w:rPr>
          <w:noProof/>
        </w:rPr>
        <w:t>1272</w:t>
      </w:r>
      <w:r>
        <w:fldChar w:fldCharType="end"/>
      </w:r>
    </w:p>
    <w:p w:rsidR="0084433F" w:rsidRDefault="0084433F" w:rsidP="0084433F">
      <w:pPr>
        <w:pStyle w:val="EntradandiceSumarioNivel2"/>
        <w:keepNext w:val="0"/>
      </w:pPr>
      <w:r>
        <w:t>Ñ) Legislación extranjera</w:t>
      </w:r>
      <w:r>
        <w:tab/>
      </w:r>
      <w:r>
        <w:tab/>
      </w:r>
      <w:r>
        <w:fldChar w:fldCharType="begin"/>
      </w:r>
      <w:r>
        <w:instrText xml:space="preserve"> PAGEREF INDICE22872 \h </w:instrText>
      </w:r>
      <w:r>
        <w:fldChar w:fldCharType="separate"/>
      </w:r>
      <w:r w:rsidR="00E14B47">
        <w:rPr>
          <w:noProof/>
        </w:rPr>
        <w:t>1272</w:t>
      </w:r>
      <w:r>
        <w:fldChar w:fldCharType="end"/>
      </w:r>
    </w:p>
    <w:p w:rsidR="0084433F" w:rsidRDefault="0084433F" w:rsidP="0084433F"/>
    <w:p w:rsidR="0084433F" w:rsidRDefault="00505D04" w:rsidP="0084433F">
      <w:pPr>
        <w:pStyle w:val="EntradandiceSumario"/>
        <w:keepNext w:val="0"/>
      </w:pPr>
      <w:r>
        <w:t>6.</w:t>
      </w:r>
      <w:r w:rsidR="000A58FE">
        <w:t xml:space="preserve"> ÍNDICE DE RESOLUCIONES JUDICIALES DE OTROS TRIBUNALES CITADAS</w:t>
      </w:r>
      <w:r w:rsidR="0084433F">
        <w:t>:</w:t>
      </w:r>
    </w:p>
    <w:p w:rsidR="0084433F" w:rsidRDefault="0084433F" w:rsidP="0084433F">
      <w:pPr>
        <w:pStyle w:val="EntradandiceSumario"/>
        <w:keepNext w:val="0"/>
      </w:pPr>
    </w:p>
    <w:p w:rsidR="0084433F" w:rsidRDefault="0084433F" w:rsidP="0084433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14B47">
        <w:rPr>
          <w:noProof/>
        </w:rPr>
        <w:t>1273</w:t>
      </w:r>
      <w:r>
        <w:fldChar w:fldCharType="end"/>
      </w:r>
    </w:p>
    <w:p w:rsidR="0084433F" w:rsidRDefault="0084433F" w:rsidP="0084433F"/>
    <w:p w:rsidR="0084433F" w:rsidRDefault="0084433F" w:rsidP="0084433F">
      <w:pPr>
        <w:pStyle w:val="EntradandiceSumario"/>
        <w:keepNext w:val="0"/>
      </w:pPr>
      <w:r>
        <w:t>7. ÍNDICE ANALÍTICO</w:t>
      </w:r>
      <w:r>
        <w:tab/>
      </w:r>
      <w:r>
        <w:tab/>
      </w:r>
      <w:r>
        <w:fldChar w:fldCharType="begin"/>
      </w:r>
      <w:r>
        <w:instrText xml:space="preserve"> PAGEREF INDICE5ALFABETICO \h </w:instrText>
      </w:r>
      <w:r>
        <w:fldChar w:fldCharType="separate"/>
      </w:r>
      <w:r w:rsidR="00E14B47">
        <w:rPr>
          <w:noProof/>
        </w:rPr>
        <w:t>1275</w:t>
      </w:r>
      <w:r>
        <w:fldChar w:fldCharType="end"/>
      </w:r>
    </w:p>
    <w:p w:rsidR="0084433F" w:rsidRDefault="0084433F" w:rsidP="0084433F"/>
    <w:p w:rsidR="0084433F" w:rsidRDefault="0084433F" w:rsidP="0084433F">
      <w:pPr>
        <w:pStyle w:val="EntradandiceSumario"/>
        <w:keepNext w:val="0"/>
      </w:pPr>
      <w:r>
        <w:t>8. ABREVIATURAS Y ACRÓNIMOS</w:t>
      </w:r>
      <w:r>
        <w:tab/>
      </w:r>
      <w:r>
        <w:tab/>
      </w:r>
      <w:r>
        <w:fldChar w:fldCharType="begin"/>
      </w:r>
      <w:r>
        <w:instrText xml:space="preserve"> PAGEREF ACRONIMOS \h </w:instrText>
      </w:r>
      <w:r>
        <w:fldChar w:fldCharType="separate"/>
      </w:r>
      <w:r w:rsidR="00E14B47">
        <w:rPr>
          <w:noProof/>
        </w:rPr>
        <w:t>1293</w:t>
      </w:r>
      <w:r>
        <w:fldChar w:fldCharType="end"/>
      </w:r>
    </w:p>
    <w:p w:rsidR="0084433F" w:rsidRDefault="0084433F">
      <w:pPr>
        <w:rPr>
          <w:rFonts w:ascii="Times New Roman" w:eastAsia="Times New Roman" w:hAnsi="Times New Roman" w:cs="Times New Roman"/>
          <w:sz w:val="24"/>
          <w:szCs w:val="24"/>
          <w:lang w:eastAsia="es-ES"/>
        </w:rPr>
      </w:pPr>
      <w:r>
        <w:br w:type="page"/>
      </w:r>
    </w:p>
    <w:p w:rsidR="0084433F" w:rsidRDefault="0084433F" w:rsidP="0084433F">
      <w:pPr>
        <w:pStyle w:val="EntradandiceSumario"/>
        <w:keepNext w:val="0"/>
      </w:pPr>
    </w:p>
    <w:p w:rsidR="0084433F" w:rsidRDefault="0084433F" w:rsidP="0084433F"/>
    <w:p w:rsidR="0084433F" w:rsidRDefault="0084433F" w:rsidP="0084433F"/>
    <w:p w:rsidR="0084433F" w:rsidRDefault="0084433F" w:rsidP="0084433F">
      <w:pPr>
        <w:pStyle w:val="Ttulondice"/>
      </w:pPr>
      <w:bookmarkStart w:id="2" w:name="SUMARIOSENTENCIAS"/>
      <w:r>
        <w:t>1. SENTENCIAS: STC 88/1997 A STC 140/1997</w:t>
      </w:r>
    </w:p>
    <w:bookmarkEnd w:id="2"/>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EntradandiceSentencia"/>
      </w:pPr>
      <w:r>
        <w:t>Sala Segunda. Sentencia 88/1997, de 5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1.573/1993. </w:t>
      </w:r>
      <w:r w:rsidRPr="0084433F">
        <w:rPr>
          <w:rStyle w:val="TextoNormalCursivaCaracter"/>
        </w:rPr>
        <w:t xml:space="preserve"> Vulneración del derecho a la tutela judicial efectiva: interpretación restrictiva de las normas reguladoras de la notificación de Sentencias penales.</w:t>
      </w:r>
      <w:r>
        <w:tab/>
      </w:r>
      <w:r>
        <w:tab/>
      </w:r>
      <w:r>
        <w:fldChar w:fldCharType="begin"/>
      </w:r>
      <w:r>
        <w:instrText xml:space="preserve"> PAGEREF SENTENCIA_1997_88 \h </w:instrText>
      </w:r>
      <w:r>
        <w:fldChar w:fldCharType="separate"/>
      </w:r>
      <w:r w:rsidR="00E14B47">
        <w:rPr>
          <w:noProof/>
        </w:rPr>
        <w:t>27</w:t>
      </w:r>
      <w:r>
        <w:fldChar w:fldCharType="end"/>
      </w:r>
    </w:p>
    <w:p w:rsidR="006854DA" w:rsidRDefault="006854DA" w:rsidP="0084433F"/>
    <w:p w:rsidR="0084433F" w:rsidRDefault="0084433F" w:rsidP="0084433F">
      <w:pPr>
        <w:pStyle w:val="EntradandiceSentencia"/>
      </w:pPr>
      <w:r>
        <w:t>Sala Segunda. Sentencia 89/1997, de 5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3.985/1994. </w:t>
      </w:r>
      <w:r w:rsidRPr="0084433F">
        <w:rPr>
          <w:rStyle w:val="TextoNormalCursivaCaracter"/>
        </w:rPr>
        <w:t xml:space="preserve"> Supuesta vulneración del derecho a la tutela judicial efectiva: derecho a la defensa.</w:t>
      </w:r>
      <w:r>
        <w:tab/>
      </w:r>
      <w:r>
        <w:tab/>
      </w:r>
      <w:r>
        <w:fldChar w:fldCharType="begin"/>
      </w:r>
      <w:r>
        <w:instrText xml:space="preserve"> PAGEREF SENTENCIA_1997_89 \h </w:instrText>
      </w:r>
      <w:r>
        <w:fldChar w:fldCharType="separate"/>
      </w:r>
      <w:r w:rsidR="00E14B47">
        <w:rPr>
          <w:noProof/>
        </w:rPr>
        <w:t>34</w:t>
      </w:r>
      <w:r>
        <w:fldChar w:fldCharType="end"/>
      </w:r>
    </w:p>
    <w:p w:rsidR="0084433F" w:rsidRDefault="0084433F" w:rsidP="0084433F"/>
    <w:p w:rsidR="0084433F" w:rsidRDefault="0084433F" w:rsidP="0084433F">
      <w:pPr>
        <w:pStyle w:val="EntradandiceSentencia"/>
      </w:pPr>
      <w:r>
        <w:t>Sala Primera. Sentencia 90/1997, de 6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3.309/1994. </w:t>
      </w:r>
      <w:r w:rsidRPr="0084433F">
        <w:rPr>
          <w:rStyle w:val="TextoNormalCursivaCaracter"/>
        </w:rPr>
        <w:t xml:space="preserve"> Vulneración del derecho de huelga: inversión de la carga de la prueba.</w:t>
      </w:r>
      <w:r>
        <w:tab/>
      </w:r>
      <w:r>
        <w:tab/>
      </w:r>
      <w:r>
        <w:fldChar w:fldCharType="begin"/>
      </w:r>
      <w:r>
        <w:instrText xml:space="preserve"> PAGEREF SENTENCIA_1997_90 \h </w:instrText>
      </w:r>
      <w:r>
        <w:fldChar w:fldCharType="separate"/>
      </w:r>
      <w:r w:rsidR="00E14B47">
        <w:rPr>
          <w:noProof/>
        </w:rPr>
        <w:t>43</w:t>
      </w:r>
      <w:r>
        <w:fldChar w:fldCharType="end"/>
      </w:r>
    </w:p>
    <w:p w:rsidR="0084433F" w:rsidRDefault="0084433F" w:rsidP="0084433F"/>
    <w:p w:rsidR="0084433F" w:rsidRDefault="0084433F" w:rsidP="0084433F">
      <w:pPr>
        <w:pStyle w:val="EntradandiceSentencia"/>
      </w:pPr>
      <w:r>
        <w:t>Pleno. Sentencia 91/1997, de 8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Cuestión de inconstitucionalidad 799/1994, 800/1994, 1.661/1994, 2.077/1994, 2.589/1994, 2.977/1994, 3.057/1994, 3.058/1994, 3.497/1994, 4.091/1994, 3.039/1995, 3.040/1995, 3.429/1995, 4.221/1995 y 2.418/1996 (acumulados). </w:t>
      </w:r>
      <w:r w:rsidRPr="0084433F">
        <w:rPr>
          <w:rStyle w:val="TextoNormalCursivaCaracter"/>
        </w:rPr>
        <w:t xml:space="preserve"> </w:t>
      </w:r>
      <w:r>
        <w:tab/>
      </w:r>
      <w:r>
        <w:tab/>
      </w:r>
      <w:r>
        <w:fldChar w:fldCharType="begin"/>
      </w:r>
      <w:r>
        <w:instrText xml:space="preserve"> PAGEREF SENTENCIA_1997_91 \h </w:instrText>
      </w:r>
      <w:r>
        <w:fldChar w:fldCharType="separate"/>
      </w:r>
      <w:r w:rsidR="00E14B47">
        <w:rPr>
          <w:noProof/>
        </w:rPr>
        <w:t>60</w:t>
      </w:r>
      <w:r>
        <w:fldChar w:fldCharType="end"/>
      </w:r>
    </w:p>
    <w:p w:rsidR="0084433F" w:rsidRDefault="0084433F" w:rsidP="0084433F"/>
    <w:p w:rsidR="0084433F" w:rsidRDefault="0084433F" w:rsidP="0084433F">
      <w:pPr>
        <w:pStyle w:val="EntradandiceSentencia"/>
      </w:pPr>
      <w:r>
        <w:t>Sala Primera. Sentencia 92/1997, de 8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152/1995. </w:t>
      </w:r>
      <w:r w:rsidRPr="0084433F">
        <w:rPr>
          <w:rStyle w:val="TextoNormalCursivaCaracter"/>
        </w:rPr>
        <w:t xml:space="preserve"> Vulneración del derecho a un proceso con todas las garantías: indefensión imputable al órgano judicial.</w:t>
      </w:r>
      <w:r>
        <w:tab/>
      </w:r>
      <w:r>
        <w:tab/>
      </w:r>
      <w:r>
        <w:fldChar w:fldCharType="begin"/>
      </w:r>
      <w:r>
        <w:instrText xml:space="preserve"> PAGEREF SENTENCIA_1997_92 \h </w:instrText>
      </w:r>
      <w:r>
        <w:fldChar w:fldCharType="separate"/>
      </w:r>
      <w:r w:rsidR="00E14B47">
        <w:rPr>
          <w:noProof/>
        </w:rPr>
        <w:t>87</w:t>
      </w:r>
      <w:r>
        <w:fldChar w:fldCharType="end"/>
      </w:r>
    </w:p>
    <w:p w:rsidR="0084433F" w:rsidRDefault="0084433F" w:rsidP="0084433F"/>
    <w:p w:rsidR="0084433F" w:rsidRDefault="0084433F" w:rsidP="0084433F">
      <w:pPr>
        <w:pStyle w:val="EntradandiceSentencia"/>
      </w:pPr>
      <w:r>
        <w:t>Sala Primera. Sentencia 93/1997, de 8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1.093/1995. </w:t>
      </w:r>
      <w:r w:rsidRPr="0084433F">
        <w:rPr>
          <w:rStyle w:val="TextoNormalCursivaCaracter"/>
        </w:rPr>
        <w:t xml:space="preserve"> Vulneración del derecho a la tutela judicial efectiva: interpretación arbitraria de requisitos procesales.</w:t>
      </w:r>
      <w:r>
        <w:tab/>
      </w:r>
      <w:r>
        <w:tab/>
      </w:r>
      <w:r>
        <w:fldChar w:fldCharType="begin"/>
      </w:r>
      <w:r>
        <w:instrText xml:space="preserve"> PAGEREF SENTENCIA_1997_93 \h </w:instrText>
      </w:r>
      <w:r>
        <w:fldChar w:fldCharType="separate"/>
      </w:r>
      <w:r w:rsidR="00E14B47">
        <w:rPr>
          <w:noProof/>
        </w:rPr>
        <w:t>94</w:t>
      </w:r>
      <w:r>
        <w:fldChar w:fldCharType="end"/>
      </w:r>
    </w:p>
    <w:p w:rsidR="0084433F" w:rsidRDefault="0084433F" w:rsidP="0084433F"/>
    <w:p w:rsidR="0084433F" w:rsidRDefault="0084433F" w:rsidP="0084433F">
      <w:pPr>
        <w:pStyle w:val="EntradandiceSentencia"/>
      </w:pPr>
      <w:r>
        <w:t>Sala Primera. Sentencia 94/1997, de 8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3.450/1995. </w:t>
      </w:r>
      <w:r w:rsidRPr="0084433F">
        <w:rPr>
          <w:rStyle w:val="TextoNormalCursivaCaracter"/>
        </w:rPr>
        <w:t xml:space="preserve"> Vulneración del derecho a la tutela judicial efectiva: incongruencia omisiva.</w:t>
      </w:r>
      <w:r>
        <w:tab/>
      </w:r>
      <w:r>
        <w:tab/>
      </w:r>
      <w:r>
        <w:fldChar w:fldCharType="begin"/>
      </w:r>
      <w:r>
        <w:instrText xml:space="preserve"> PAGEREF SENTENCIA_1997_94 \h </w:instrText>
      </w:r>
      <w:r>
        <w:fldChar w:fldCharType="separate"/>
      </w:r>
      <w:r w:rsidR="00E14B47">
        <w:rPr>
          <w:noProof/>
        </w:rPr>
        <w:t>103</w:t>
      </w:r>
      <w:r>
        <w:fldChar w:fldCharType="end"/>
      </w:r>
    </w:p>
    <w:p w:rsidR="0084433F" w:rsidRDefault="0084433F" w:rsidP="0084433F"/>
    <w:p w:rsidR="0084433F" w:rsidRDefault="0084433F" w:rsidP="0084433F">
      <w:pPr>
        <w:pStyle w:val="EntradandiceSentencia"/>
      </w:pPr>
      <w:r>
        <w:t>Sala Segunda. Sentencia 95/1997, de 19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829/1993. </w:t>
      </w:r>
      <w:r w:rsidRPr="0084433F">
        <w:rPr>
          <w:rStyle w:val="TextoNormalCursivaCaracter"/>
        </w:rPr>
        <w:t xml:space="preserve"> Vulneración del derecho a la tutela judicial efectiva: revisión plena de la actuación administrativa por parte del órgano jurisdiccional.</w:t>
      </w:r>
      <w:r>
        <w:tab/>
      </w:r>
      <w:r>
        <w:tab/>
      </w:r>
      <w:r>
        <w:fldChar w:fldCharType="begin"/>
      </w:r>
      <w:r>
        <w:instrText xml:space="preserve"> PAGEREF SENTENCIA_1997_95 \h </w:instrText>
      </w:r>
      <w:r>
        <w:fldChar w:fldCharType="separate"/>
      </w:r>
      <w:r w:rsidR="00E14B47">
        <w:rPr>
          <w:noProof/>
        </w:rPr>
        <w:t>113</w:t>
      </w:r>
      <w:r>
        <w:fldChar w:fldCharType="end"/>
      </w:r>
    </w:p>
    <w:p w:rsidR="0084433F" w:rsidRDefault="0084433F" w:rsidP="0084433F"/>
    <w:p w:rsidR="0084433F" w:rsidRDefault="0084433F" w:rsidP="0084433F">
      <w:pPr>
        <w:pStyle w:val="EntradandiceSentencia"/>
      </w:pPr>
      <w:r>
        <w:t>Sala Segunda. Sentencia 96/1997, de 19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2.099/1994. </w:t>
      </w:r>
      <w:r w:rsidRPr="0084433F">
        <w:rPr>
          <w:rStyle w:val="TextoNormalCursivaCaracter"/>
        </w:rPr>
        <w:t xml:space="preserve"> Supuesta vulneración del principio de igualdad: exigencia de titulación no lesiva del derecho.</w:t>
      </w:r>
      <w:r>
        <w:tab/>
      </w:r>
      <w:r>
        <w:tab/>
      </w:r>
      <w:r>
        <w:fldChar w:fldCharType="begin"/>
      </w:r>
      <w:r>
        <w:instrText xml:space="preserve"> PAGEREF SENTENCIA_1997_96 \h </w:instrText>
      </w:r>
      <w:r>
        <w:fldChar w:fldCharType="separate"/>
      </w:r>
      <w:r w:rsidR="00E14B47">
        <w:rPr>
          <w:noProof/>
        </w:rPr>
        <w:t>125</w:t>
      </w:r>
      <w:r>
        <w:fldChar w:fldCharType="end"/>
      </w:r>
    </w:p>
    <w:p w:rsidR="0084433F" w:rsidRDefault="0084433F" w:rsidP="0084433F"/>
    <w:p w:rsidR="0084433F" w:rsidRDefault="0084433F" w:rsidP="0084433F">
      <w:pPr>
        <w:pStyle w:val="EntradandiceSentencia"/>
      </w:pPr>
      <w:r>
        <w:t>Sala Segunda. Sentencia 97/1997, de 19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287/1995. </w:t>
      </w:r>
      <w:r w:rsidRPr="0084433F">
        <w:rPr>
          <w:rStyle w:val="TextoNormalCursivaCaracter"/>
        </w:rPr>
        <w:t xml:space="preserve"> Supuesta vulneración del derecho a la tutela judicial efectiva: conducta no diligente del recurrente.</w:t>
      </w:r>
      <w:r>
        <w:tab/>
      </w:r>
      <w:r>
        <w:tab/>
      </w:r>
      <w:r>
        <w:fldChar w:fldCharType="begin"/>
      </w:r>
      <w:r>
        <w:instrText xml:space="preserve"> PAGEREF SENTENCIA_1997_97 \h </w:instrText>
      </w:r>
      <w:r>
        <w:fldChar w:fldCharType="separate"/>
      </w:r>
      <w:r w:rsidR="00E14B47">
        <w:rPr>
          <w:noProof/>
        </w:rPr>
        <w:t>135</w:t>
      </w:r>
      <w:r>
        <w:fldChar w:fldCharType="end"/>
      </w:r>
    </w:p>
    <w:p w:rsidR="0084433F" w:rsidRDefault="0084433F" w:rsidP="0084433F"/>
    <w:p w:rsidR="0084433F" w:rsidRDefault="0084433F" w:rsidP="0084433F">
      <w:pPr>
        <w:pStyle w:val="EntradandiceSentencia"/>
      </w:pPr>
      <w:r>
        <w:t>Sala Primera. Sentencia 98/1997, de 20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4.204/1994. </w:t>
      </w:r>
      <w:r w:rsidRPr="0084433F">
        <w:rPr>
          <w:rStyle w:val="TextoNormalCursivaCaracter"/>
        </w:rPr>
        <w:t xml:space="preserve"> Supuesta vulneración de los derechos a la libertad personal y a un proceso con todas las garantías: Auto de prisión provisional no lesivo de los derechos invocados. Voto particular.</w:t>
      </w:r>
      <w:r>
        <w:tab/>
      </w:r>
      <w:r>
        <w:tab/>
      </w:r>
      <w:r>
        <w:fldChar w:fldCharType="begin"/>
      </w:r>
      <w:r>
        <w:instrText xml:space="preserve"> PAGEREF SENTENCIA_1997_98 \h </w:instrText>
      </w:r>
      <w:r>
        <w:fldChar w:fldCharType="separate"/>
      </w:r>
      <w:r w:rsidR="00E14B47">
        <w:rPr>
          <w:noProof/>
        </w:rPr>
        <w:t>145</w:t>
      </w:r>
      <w:r>
        <w:fldChar w:fldCharType="end"/>
      </w:r>
    </w:p>
    <w:p w:rsidR="0084433F" w:rsidRDefault="0084433F" w:rsidP="0084433F"/>
    <w:p w:rsidR="0084433F" w:rsidRDefault="0084433F" w:rsidP="0084433F">
      <w:pPr>
        <w:pStyle w:val="EntradandiceSentencia"/>
      </w:pPr>
      <w:r>
        <w:t>Sala Primera. Sentencia 99/1997, de 20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346/1995. </w:t>
      </w:r>
      <w:r w:rsidRPr="0084433F">
        <w:rPr>
          <w:rStyle w:val="TextoNormalCursivaCaracter"/>
        </w:rPr>
        <w:t xml:space="preserve"> Supuesta vulneración del derecho a la tutela judicial efectiva: conducta no diligente del recurrente.</w:t>
      </w:r>
      <w:r>
        <w:tab/>
      </w:r>
      <w:r>
        <w:tab/>
      </w:r>
      <w:r>
        <w:fldChar w:fldCharType="begin"/>
      </w:r>
      <w:r>
        <w:instrText xml:space="preserve"> PAGEREF SENTENCIA_1997_99 \h </w:instrText>
      </w:r>
      <w:r>
        <w:fldChar w:fldCharType="separate"/>
      </w:r>
      <w:r w:rsidR="00E14B47">
        <w:rPr>
          <w:noProof/>
        </w:rPr>
        <w:t>160</w:t>
      </w:r>
      <w:r>
        <w:fldChar w:fldCharType="end"/>
      </w:r>
    </w:p>
    <w:p w:rsidR="0084433F" w:rsidRDefault="0084433F" w:rsidP="0084433F"/>
    <w:p w:rsidR="0084433F" w:rsidRDefault="0084433F" w:rsidP="0084433F">
      <w:pPr>
        <w:pStyle w:val="EntradandiceSentencia"/>
      </w:pPr>
      <w:r>
        <w:t>Sala Primera. Sentencia 100/1997, de 20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526/1995. </w:t>
      </w:r>
      <w:r w:rsidRPr="0084433F">
        <w:rPr>
          <w:rStyle w:val="TextoNormalCursivaCaracter"/>
        </w:rPr>
        <w:t xml:space="preserve"> Vulneración del derecho a la tutela judicial efectiva: emplazamiento edictal lesivo del derecho.</w:t>
      </w:r>
      <w:r>
        <w:tab/>
      </w:r>
      <w:r>
        <w:tab/>
      </w:r>
      <w:r>
        <w:fldChar w:fldCharType="begin"/>
      </w:r>
      <w:r>
        <w:instrText xml:space="preserve"> PAGEREF SENTENCIA_1997_100 \h </w:instrText>
      </w:r>
      <w:r>
        <w:fldChar w:fldCharType="separate"/>
      </w:r>
      <w:r w:rsidR="00E14B47">
        <w:rPr>
          <w:noProof/>
        </w:rPr>
        <w:t>174</w:t>
      </w:r>
      <w:r>
        <w:fldChar w:fldCharType="end"/>
      </w:r>
    </w:p>
    <w:p w:rsidR="0084433F" w:rsidRDefault="0084433F" w:rsidP="0084433F"/>
    <w:p w:rsidR="0084433F" w:rsidRDefault="0084433F" w:rsidP="0084433F">
      <w:pPr>
        <w:pStyle w:val="EntradandiceSentencia"/>
      </w:pPr>
      <w:r>
        <w:t>Sala Primera. Sentencia 101/1997, de 20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4.342/1995. </w:t>
      </w:r>
      <w:r w:rsidRPr="0084433F">
        <w:rPr>
          <w:rStyle w:val="TextoNormalCursivaCaracter"/>
        </w:rPr>
        <w:t xml:space="preserve"> Vulneración del derecho a la tutela judicial efectiva: resolución dictada "inaudita parte".</w:t>
      </w:r>
      <w:r>
        <w:tab/>
      </w:r>
      <w:r>
        <w:tab/>
      </w:r>
      <w:r>
        <w:fldChar w:fldCharType="begin"/>
      </w:r>
      <w:r>
        <w:instrText xml:space="preserve"> PAGEREF SENTENCIA_1997_101 \h </w:instrText>
      </w:r>
      <w:r>
        <w:fldChar w:fldCharType="separate"/>
      </w:r>
      <w:r w:rsidR="00E14B47">
        <w:rPr>
          <w:noProof/>
        </w:rPr>
        <w:t>180</w:t>
      </w:r>
      <w:r>
        <w:fldChar w:fldCharType="end"/>
      </w:r>
    </w:p>
    <w:p w:rsidR="0084433F" w:rsidRDefault="0084433F" w:rsidP="0084433F"/>
    <w:p w:rsidR="0084433F" w:rsidRDefault="0084433F" w:rsidP="0084433F">
      <w:pPr>
        <w:pStyle w:val="EntradandiceSentencia"/>
      </w:pPr>
      <w:r>
        <w:t>Sala Primera. Sentencia 102/1997, de 20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84/1997. </w:t>
      </w:r>
      <w:r w:rsidRPr="0084433F">
        <w:rPr>
          <w:rStyle w:val="TextoNormalCursivaCaracter"/>
        </w:rPr>
        <w:t xml:space="preserve"> Supuesta vulneración de los derechos a la legalidad penal y a un proceso con todas las garantías.</w:t>
      </w:r>
      <w:r>
        <w:tab/>
      </w:r>
      <w:r>
        <w:tab/>
      </w:r>
      <w:r>
        <w:fldChar w:fldCharType="begin"/>
      </w:r>
      <w:r>
        <w:instrText xml:space="preserve"> PAGEREF SENTENCIA_1997_102 \h </w:instrText>
      </w:r>
      <w:r>
        <w:fldChar w:fldCharType="separate"/>
      </w:r>
      <w:r w:rsidR="00E14B47">
        <w:rPr>
          <w:noProof/>
        </w:rPr>
        <w:t>190</w:t>
      </w:r>
      <w:r>
        <w:fldChar w:fldCharType="end"/>
      </w:r>
    </w:p>
    <w:p w:rsidR="0084433F" w:rsidRDefault="0084433F" w:rsidP="0084433F"/>
    <w:p w:rsidR="0084433F" w:rsidRDefault="0084433F" w:rsidP="0084433F">
      <w:pPr>
        <w:pStyle w:val="EntradandiceSentencia"/>
      </w:pPr>
      <w:r>
        <w:t>Pleno. Sentencia 103/1997, de 22 de mayo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inconstitucionalidad 544/1988. </w:t>
      </w:r>
      <w:r w:rsidRPr="0084433F">
        <w:rPr>
          <w:rStyle w:val="TextoNormalCursivaCaracter"/>
        </w:rPr>
        <w:t xml:space="preserve"> </w:t>
      </w:r>
      <w:r>
        <w:tab/>
      </w:r>
      <w:r>
        <w:tab/>
      </w:r>
      <w:r>
        <w:fldChar w:fldCharType="begin"/>
      </w:r>
      <w:r>
        <w:instrText xml:space="preserve"> PAGEREF SENTENCIA_1997_103 \h </w:instrText>
      </w:r>
      <w:r>
        <w:fldChar w:fldCharType="separate"/>
      </w:r>
      <w:r w:rsidR="00E14B47">
        <w:rPr>
          <w:noProof/>
        </w:rPr>
        <w:t>198</w:t>
      </w:r>
      <w:r>
        <w:fldChar w:fldCharType="end"/>
      </w:r>
    </w:p>
    <w:p w:rsidR="0084433F" w:rsidRDefault="0084433F" w:rsidP="0084433F"/>
    <w:p w:rsidR="0084433F" w:rsidRDefault="0084433F" w:rsidP="0084433F">
      <w:pPr>
        <w:pStyle w:val="EntradandiceSentencia"/>
      </w:pPr>
      <w:r>
        <w:t>Sala Segunda. Sentencia 104/1997, de 2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1.104/1994. </w:t>
      </w:r>
      <w:r w:rsidRPr="0084433F">
        <w:rPr>
          <w:rStyle w:val="TextoNormalCursivaCaracter"/>
        </w:rPr>
        <w:t xml:space="preserve"> Vulneración del derecho a la tutela judicial efectiva: declaración de caducidad de la acción ejercitada por los ahora recurrentes lesiva del derecho.</w:t>
      </w:r>
      <w:r>
        <w:tab/>
      </w:r>
      <w:r>
        <w:tab/>
      </w:r>
      <w:r>
        <w:fldChar w:fldCharType="begin"/>
      </w:r>
      <w:r>
        <w:instrText xml:space="preserve"> PAGEREF SENTENCIA_1997_104 \h </w:instrText>
      </w:r>
      <w:r>
        <w:fldChar w:fldCharType="separate"/>
      </w:r>
      <w:r w:rsidR="00E14B47">
        <w:rPr>
          <w:noProof/>
        </w:rPr>
        <w:t>215</w:t>
      </w:r>
      <w:r>
        <w:fldChar w:fldCharType="end"/>
      </w:r>
    </w:p>
    <w:p w:rsidR="0084433F" w:rsidRDefault="0084433F" w:rsidP="0084433F"/>
    <w:p w:rsidR="0084433F" w:rsidRDefault="0084433F" w:rsidP="0084433F">
      <w:pPr>
        <w:pStyle w:val="EntradandiceSentencia"/>
      </w:pPr>
      <w:r>
        <w:t>Sala Segunda. Sentencia 105/1997, de 2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1.216/1994. </w:t>
      </w:r>
      <w:r w:rsidRPr="0084433F">
        <w:rPr>
          <w:rStyle w:val="TextoNormalCursivaCaracter"/>
        </w:rPr>
        <w:t xml:space="preserve"> Supuesta vulneración de los derechos a la tutela judicial efectiva y a la libertad sindical: ejecución provisional de Sentencia laboral.</w:t>
      </w:r>
      <w:r>
        <w:tab/>
      </w:r>
      <w:r>
        <w:tab/>
      </w:r>
      <w:r>
        <w:fldChar w:fldCharType="begin"/>
      </w:r>
      <w:r>
        <w:instrText xml:space="preserve"> PAGEREF SENTENCIA_1997_105 \h </w:instrText>
      </w:r>
      <w:r>
        <w:fldChar w:fldCharType="separate"/>
      </w:r>
      <w:r w:rsidR="00E14B47">
        <w:rPr>
          <w:noProof/>
        </w:rPr>
        <w:t>226</w:t>
      </w:r>
      <w:r>
        <w:fldChar w:fldCharType="end"/>
      </w:r>
    </w:p>
    <w:p w:rsidR="0084433F" w:rsidRDefault="0084433F" w:rsidP="0084433F"/>
    <w:p w:rsidR="0084433F" w:rsidRDefault="0084433F" w:rsidP="0084433F">
      <w:pPr>
        <w:pStyle w:val="EntradandiceSentencia"/>
      </w:pPr>
      <w:r>
        <w:t>Sala Segunda. Sentencia 106/1997, de 2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1.824/1994. </w:t>
      </w:r>
      <w:r w:rsidRPr="0084433F">
        <w:rPr>
          <w:rStyle w:val="TextoNormalCursivaCaracter"/>
        </w:rPr>
        <w:t xml:space="preserve"> Supuesta vulneración del derecho a la tutela judicial efectiva: denegación de audiencia al rebelde no lesiva del derecho.</w:t>
      </w:r>
      <w:r>
        <w:tab/>
      </w:r>
      <w:r>
        <w:tab/>
      </w:r>
      <w:r>
        <w:fldChar w:fldCharType="begin"/>
      </w:r>
      <w:r>
        <w:instrText xml:space="preserve"> PAGEREF SENTENCIA_1997_106 \h </w:instrText>
      </w:r>
      <w:r>
        <w:fldChar w:fldCharType="separate"/>
      </w:r>
      <w:r w:rsidR="00E14B47">
        <w:rPr>
          <w:noProof/>
        </w:rPr>
        <w:t>238</w:t>
      </w:r>
      <w:r>
        <w:fldChar w:fldCharType="end"/>
      </w:r>
    </w:p>
    <w:p w:rsidR="0084433F" w:rsidRDefault="0084433F" w:rsidP="0084433F"/>
    <w:p w:rsidR="0084433F" w:rsidRDefault="0084433F" w:rsidP="0084433F">
      <w:pPr>
        <w:pStyle w:val="EntradandiceSentencia"/>
      </w:pPr>
      <w:r>
        <w:lastRenderedPageBreak/>
        <w:t>Sala Segunda. Sentencia 107/1997, de 2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2.026/1996. </w:t>
      </w:r>
      <w:r w:rsidRPr="0084433F">
        <w:rPr>
          <w:rStyle w:val="TextoNormalCursivaCaracter"/>
        </w:rPr>
        <w:t xml:space="preserve"> Supuesta vulneración del derecho a la tutela judicial efectiva:  motivación suficiente de las resoluciones dictadas en relación con la situación personal del procesado.</w:t>
      </w:r>
      <w:r>
        <w:tab/>
      </w:r>
      <w:r>
        <w:tab/>
      </w:r>
      <w:r>
        <w:fldChar w:fldCharType="begin"/>
      </w:r>
      <w:r>
        <w:instrText xml:space="preserve"> PAGEREF SENTENCIA_1997_107 \h </w:instrText>
      </w:r>
      <w:r>
        <w:fldChar w:fldCharType="separate"/>
      </w:r>
      <w:r w:rsidR="00E14B47">
        <w:rPr>
          <w:noProof/>
        </w:rPr>
        <w:t>246</w:t>
      </w:r>
      <w:r>
        <w:fldChar w:fldCharType="end"/>
      </w:r>
    </w:p>
    <w:p w:rsidR="0084433F" w:rsidRDefault="0084433F" w:rsidP="0084433F"/>
    <w:p w:rsidR="0084433F" w:rsidRDefault="0084433F" w:rsidP="0084433F">
      <w:pPr>
        <w:pStyle w:val="EntradandiceSentencia"/>
      </w:pPr>
      <w:r>
        <w:t>Sala Segunda. Sentencia 108/1997, de 2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3.430/1996. </w:t>
      </w:r>
      <w:r w:rsidRPr="0084433F">
        <w:rPr>
          <w:rStyle w:val="TextoNormalCursivaCaracter"/>
        </w:rPr>
        <w:t xml:space="preserve"> Supuesta vulneración del derecho a la tutela judicial efectiva: motivación suficiente de las medidas acordadas.</w:t>
      </w:r>
      <w:r>
        <w:tab/>
      </w:r>
      <w:r>
        <w:tab/>
      </w:r>
      <w:r>
        <w:fldChar w:fldCharType="begin"/>
      </w:r>
      <w:r>
        <w:instrText xml:space="preserve"> PAGEREF SENTENCIA_1997_108 \h </w:instrText>
      </w:r>
      <w:r>
        <w:fldChar w:fldCharType="separate"/>
      </w:r>
      <w:r w:rsidR="00E14B47">
        <w:rPr>
          <w:noProof/>
        </w:rPr>
        <w:t>255</w:t>
      </w:r>
      <w:r>
        <w:fldChar w:fldCharType="end"/>
      </w:r>
    </w:p>
    <w:p w:rsidR="0084433F" w:rsidRDefault="0084433F" w:rsidP="0084433F"/>
    <w:p w:rsidR="0084433F" w:rsidRDefault="0084433F" w:rsidP="0084433F">
      <w:pPr>
        <w:pStyle w:val="EntradandiceSentencia"/>
      </w:pPr>
      <w:r>
        <w:t>Sala Segunda. Sentencia 109/1997, de 2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3.464/1996. </w:t>
      </w:r>
      <w:r w:rsidRPr="0084433F">
        <w:rPr>
          <w:rStyle w:val="TextoNormalCursivaCaracter"/>
        </w:rPr>
        <w:t xml:space="preserve"> Vulneración del derecho a un proceso sin dilaciones.</w:t>
      </w:r>
      <w:r>
        <w:tab/>
      </w:r>
      <w:r>
        <w:tab/>
      </w:r>
      <w:r>
        <w:fldChar w:fldCharType="begin"/>
      </w:r>
      <w:r>
        <w:instrText xml:space="preserve"> PAGEREF SENTENCIA_1997_109 \h </w:instrText>
      </w:r>
      <w:r>
        <w:fldChar w:fldCharType="separate"/>
      </w:r>
      <w:r w:rsidR="00E14B47">
        <w:rPr>
          <w:noProof/>
        </w:rPr>
        <w:t>262</w:t>
      </w:r>
      <w:r>
        <w:fldChar w:fldCharType="end"/>
      </w:r>
    </w:p>
    <w:p w:rsidR="0084433F" w:rsidRDefault="0084433F" w:rsidP="0084433F"/>
    <w:p w:rsidR="0084433F" w:rsidRDefault="0084433F" w:rsidP="0084433F">
      <w:pPr>
        <w:pStyle w:val="EntradandiceSentencia"/>
      </w:pPr>
      <w:r>
        <w:t>Sala Primera. Sentencia 110/1997, de 3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4.033/1995. </w:t>
      </w:r>
      <w:r w:rsidRPr="0084433F">
        <w:rPr>
          <w:rStyle w:val="TextoNormalCursivaCaracter"/>
        </w:rPr>
        <w:t xml:space="preserve"> Supuesta vulneración del derecho a la tutela judicial efectiva: notificación llevada a cabo a "mandatario verbal".</w:t>
      </w:r>
      <w:r>
        <w:tab/>
      </w:r>
      <w:r>
        <w:tab/>
      </w:r>
      <w:r>
        <w:fldChar w:fldCharType="begin"/>
      </w:r>
      <w:r>
        <w:instrText xml:space="preserve"> PAGEREF SENTENCIA_1997_110 \h </w:instrText>
      </w:r>
      <w:r>
        <w:fldChar w:fldCharType="separate"/>
      </w:r>
      <w:r w:rsidR="00E14B47">
        <w:rPr>
          <w:noProof/>
        </w:rPr>
        <w:t>269</w:t>
      </w:r>
      <w:r>
        <w:fldChar w:fldCharType="end"/>
      </w:r>
    </w:p>
    <w:p w:rsidR="0084433F" w:rsidRDefault="0084433F" w:rsidP="0084433F"/>
    <w:p w:rsidR="0084433F" w:rsidRDefault="0084433F" w:rsidP="0084433F">
      <w:pPr>
        <w:pStyle w:val="EntradandiceSentencia"/>
      </w:pPr>
      <w:r>
        <w:t>Sala Primera. Sentencia 111/1997, de 3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1.090/1996. </w:t>
      </w:r>
      <w:r w:rsidRPr="0084433F">
        <w:rPr>
          <w:rStyle w:val="TextoNormalCursivaCaracter"/>
        </w:rPr>
        <w:t xml:space="preserve"> Supuesta vulneración del derecho a la tutela judicial efectiva: rechazo implícito de la argumentación del recurrente.</w:t>
      </w:r>
      <w:r>
        <w:tab/>
      </w:r>
      <w:r>
        <w:tab/>
      </w:r>
      <w:r>
        <w:fldChar w:fldCharType="begin"/>
      </w:r>
      <w:r>
        <w:instrText xml:space="preserve"> PAGEREF SENTENCIA_1997_111 \h </w:instrText>
      </w:r>
      <w:r>
        <w:fldChar w:fldCharType="separate"/>
      </w:r>
      <w:r w:rsidR="00E14B47">
        <w:rPr>
          <w:noProof/>
        </w:rPr>
        <w:t>278</w:t>
      </w:r>
      <w:r>
        <w:fldChar w:fldCharType="end"/>
      </w:r>
    </w:p>
    <w:p w:rsidR="0084433F" w:rsidRDefault="0084433F" w:rsidP="0084433F"/>
    <w:p w:rsidR="0084433F" w:rsidRDefault="0084433F" w:rsidP="0084433F">
      <w:pPr>
        <w:pStyle w:val="EntradandiceSentencia"/>
      </w:pPr>
      <w:r>
        <w:t>Sala Primera. Sentencia 112/1997, de 3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1.280/1996. </w:t>
      </w:r>
      <w:r w:rsidRPr="0084433F">
        <w:rPr>
          <w:rStyle w:val="TextoNormalCursivaCaracter"/>
        </w:rPr>
        <w:t xml:space="preserve"> Vulneración del derecho a la tutela judicial efectiva: archivo de demanda lesivo del derecho.</w:t>
      </w:r>
      <w:r>
        <w:tab/>
      </w:r>
      <w:r>
        <w:tab/>
      </w:r>
      <w:r>
        <w:fldChar w:fldCharType="begin"/>
      </w:r>
      <w:r>
        <w:instrText xml:space="preserve"> PAGEREF SENTENCIA_1997_112 \h </w:instrText>
      </w:r>
      <w:r>
        <w:fldChar w:fldCharType="separate"/>
      </w:r>
      <w:r w:rsidR="00E14B47">
        <w:rPr>
          <w:noProof/>
        </w:rPr>
        <w:t>287</w:t>
      </w:r>
      <w:r>
        <w:fldChar w:fldCharType="end"/>
      </w:r>
    </w:p>
    <w:p w:rsidR="0084433F" w:rsidRDefault="0084433F" w:rsidP="0084433F"/>
    <w:p w:rsidR="0084433F" w:rsidRDefault="0084433F" w:rsidP="0084433F">
      <w:pPr>
        <w:pStyle w:val="EntradandiceSentencia"/>
      </w:pPr>
      <w:r>
        <w:t>Sala Primera. Sentencia 113/1997, de 16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3.848/1994. </w:t>
      </w:r>
      <w:r w:rsidRPr="0084433F">
        <w:rPr>
          <w:rStyle w:val="TextoNormalCursivaCaracter"/>
        </w:rPr>
        <w:t xml:space="preserve"> No agotamiento de recursos en la vía judicial.</w:t>
      </w:r>
      <w:r>
        <w:tab/>
      </w:r>
      <w:r>
        <w:tab/>
      </w:r>
      <w:r>
        <w:fldChar w:fldCharType="begin"/>
      </w:r>
      <w:r>
        <w:instrText xml:space="preserve"> PAGEREF SENTENCIA_1997_113 \h </w:instrText>
      </w:r>
      <w:r>
        <w:fldChar w:fldCharType="separate"/>
      </w:r>
      <w:r w:rsidR="00E14B47">
        <w:rPr>
          <w:noProof/>
        </w:rPr>
        <w:t>298</w:t>
      </w:r>
      <w:r>
        <w:fldChar w:fldCharType="end"/>
      </w:r>
    </w:p>
    <w:p w:rsidR="0084433F" w:rsidRDefault="0084433F" w:rsidP="0084433F"/>
    <w:p w:rsidR="0084433F" w:rsidRDefault="0084433F" w:rsidP="0084433F">
      <w:pPr>
        <w:pStyle w:val="EntradandiceSentencia"/>
      </w:pPr>
      <w:r>
        <w:lastRenderedPageBreak/>
        <w:t>Sala Primera. Sentencia 114/1997, de 16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71/1995. </w:t>
      </w:r>
      <w:r w:rsidRPr="0084433F">
        <w:rPr>
          <w:rStyle w:val="TextoNormalCursivaCaracter"/>
        </w:rPr>
        <w:t xml:space="preserve"> Vulneración del derecho a la tutela judicial efectiva: indefensión causada por resolución judicial que sin motivación denegó la suspensión de la vista solicitada por la recurrente.</w:t>
      </w:r>
      <w:r>
        <w:tab/>
      </w:r>
      <w:r>
        <w:tab/>
      </w:r>
      <w:r>
        <w:fldChar w:fldCharType="begin"/>
      </w:r>
      <w:r>
        <w:instrText xml:space="preserve"> PAGEREF SENTENCIA_1997_114 \h </w:instrText>
      </w:r>
      <w:r>
        <w:fldChar w:fldCharType="separate"/>
      </w:r>
      <w:r w:rsidR="00E14B47">
        <w:rPr>
          <w:noProof/>
        </w:rPr>
        <w:t>307</w:t>
      </w:r>
      <w:r>
        <w:fldChar w:fldCharType="end"/>
      </w:r>
    </w:p>
    <w:p w:rsidR="0084433F" w:rsidRDefault="0084433F" w:rsidP="0084433F"/>
    <w:p w:rsidR="0084433F" w:rsidRDefault="0084433F" w:rsidP="0084433F">
      <w:pPr>
        <w:pStyle w:val="EntradandiceSentencia"/>
      </w:pPr>
      <w:r>
        <w:t>Sala Primera. Sentencia 115/1997, de 16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1.230/1995. </w:t>
      </w:r>
      <w:r w:rsidRPr="0084433F">
        <w:rPr>
          <w:rStyle w:val="TextoNormalCursivaCaracter"/>
        </w:rPr>
        <w:t xml:space="preserve"> Vulneración del derecho a la tutela judicial efectiva: motivación insuficiente de la resolución recurrida.</w:t>
      </w:r>
      <w:r>
        <w:tab/>
      </w:r>
      <w:r>
        <w:tab/>
      </w:r>
      <w:r>
        <w:fldChar w:fldCharType="begin"/>
      </w:r>
      <w:r>
        <w:instrText xml:space="preserve"> PAGEREF SENTENCIA_1997_115 \h </w:instrText>
      </w:r>
      <w:r>
        <w:fldChar w:fldCharType="separate"/>
      </w:r>
      <w:r w:rsidR="00E14B47">
        <w:rPr>
          <w:noProof/>
        </w:rPr>
        <w:t>323</w:t>
      </w:r>
      <w:r>
        <w:fldChar w:fldCharType="end"/>
      </w:r>
    </w:p>
    <w:p w:rsidR="0084433F" w:rsidRDefault="0084433F" w:rsidP="0084433F"/>
    <w:p w:rsidR="0084433F" w:rsidRDefault="0084433F" w:rsidP="0084433F">
      <w:pPr>
        <w:pStyle w:val="EntradandiceSentencia"/>
      </w:pPr>
      <w:r>
        <w:t>Sala Segunda. Sentencia 116/1997, de 23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1.365/1993. </w:t>
      </w:r>
      <w:r w:rsidRPr="0084433F">
        <w:rPr>
          <w:rStyle w:val="TextoNormalCursivaCaracter"/>
        </w:rPr>
        <w:t xml:space="preserve"> Vulneración del derecho a la tutela judicial efectiva: denegación no motivada de la práctica de la prueba solicitada por el recurrente.</w:t>
      </w:r>
      <w:r>
        <w:tab/>
      </w:r>
      <w:r>
        <w:tab/>
      </w:r>
      <w:r>
        <w:fldChar w:fldCharType="begin"/>
      </w:r>
      <w:r>
        <w:instrText xml:space="preserve"> PAGEREF SENTENCIA_1997_116 \h </w:instrText>
      </w:r>
      <w:r>
        <w:fldChar w:fldCharType="separate"/>
      </w:r>
      <w:r w:rsidR="00E14B47">
        <w:rPr>
          <w:noProof/>
        </w:rPr>
        <w:t>328</w:t>
      </w:r>
      <w:r>
        <w:fldChar w:fldCharType="end"/>
      </w:r>
    </w:p>
    <w:p w:rsidR="0084433F" w:rsidRDefault="0084433F" w:rsidP="0084433F"/>
    <w:p w:rsidR="0084433F" w:rsidRDefault="0084433F" w:rsidP="0084433F">
      <w:pPr>
        <w:pStyle w:val="EntradandiceSentencia"/>
      </w:pPr>
      <w:r>
        <w:t>Sala Segunda. Sentencia 117/1997, de 23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1.609/1993 1.658/1993 3.328/1993 (acumulados). </w:t>
      </w:r>
      <w:r w:rsidRPr="0084433F">
        <w:rPr>
          <w:rStyle w:val="TextoNormalCursivaCaracter"/>
        </w:rPr>
        <w:t xml:space="preserve"> Supuesta vulneración de los principios de legalidad e igualdad y del derecho a la tutela judicial efectiva.</w:t>
      </w:r>
      <w:r>
        <w:tab/>
      </w:r>
      <w:r>
        <w:tab/>
      </w:r>
      <w:r>
        <w:fldChar w:fldCharType="begin"/>
      </w:r>
      <w:r>
        <w:instrText xml:space="preserve"> PAGEREF SENTENCIA_1997_117 \h </w:instrText>
      </w:r>
      <w:r>
        <w:fldChar w:fldCharType="separate"/>
      </w:r>
      <w:r w:rsidR="00E14B47">
        <w:rPr>
          <w:noProof/>
        </w:rPr>
        <w:t>342</w:t>
      </w:r>
      <w:r>
        <w:fldChar w:fldCharType="end"/>
      </w:r>
    </w:p>
    <w:p w:rsidR="0084433F" w:rsidRDefault="0084433F" w:rsidP="0084433F"/>
    <w:p w:rsidR="0084433F" w:rsidRDefault="0084433F" w:rsidP="0084433F">
      <w:pPr>
        <w:pStyle w:val="EntradandiceSentencia"/>
      </w:pPr>
      <w:r>
        <w:t>Sala Segunda. Sentencia 118/1997, de 23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2.282/1994. </w:t>
      </w:r>
      <w:r w:rsidRPr="0084433F">
        <w:rPr>
          <w:rStyle w:val="TextoNormalCursivaCaracter"/>
        </w:rPr>
        <w:t xml:space="preserve"> Vulneración del derecho a la tutela judicial efectiva: indefensión causada por resolución judicial dictada "inaudita parte". Voto particular.</w:t>
      </w:r>
      <w:r>
        <w:tab/>
      </w:r>
      <w:r>
        <w:tab/>
      </w:r>
      <w:r>
        <w:fldChar w:fldCharType="begin"/>
      </w:r>
      <w:r>
        <w:instrText xml:space="preserve"> PAGEREF SENTENCIA_1997_118 \h </w:instrText>
      </w:r>
      <w:r>
        <w:fldChar w:fldCharType="separate"/>
      </w:r>
      <w:r w:rsidR="00E14B47">
        <w:rPr>
          <w:noProof/>
        </w:rPr>
        <w:t>355</w:t>
      </w:r>
      <w:r>
        <w:fldChar w:fldCharType="end"/>
      </w:r>
    </w:p>
    <w:p w:rsidR="0084433F" w:rsidRDefault="0084433F" w:rsidP="0084433F"/>
    <w:p w:rsidR="0084433F" w:rsidRDefault="0084433F" w:rsidP="0084433F">
      <w:pPr>
        <w:pStyle w:val="EntradandiceSentencia"/>
      </w:pPr>
      <w:r>
        <w:t>Sala Segunda. Sentencia 119/1997, de 30 de junio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723/1995. </w:t>
      </w:r>
      <w:r w:rsidRPr="0084433F">
        <w:rPr>
          <w:rStyle w:val="TextoNormalCursivaCaracter"/>
        </w:rPr>
        <w:t xml:space="preserve"> Vulneración del derecho a la tutela judicial efectiva: inadmisión de  recurso impeditiva del acceso a la justicia (control judicial de la actividad de la Administración).</w:t>
      </w:r>
      <w:r>
        <w:tab/>
      </w:r>
      <w:r>
        <w:tab/>
      </w:r>
      <w:r>
        <w:fldChar w:fldCharType="begin"/>
      </w:r>
      <w:r>
        <w:instrText xml:space="preserve"> PAGEREF SENTENCIA_1997_119 \h </w:instrText>
      </w:r>
      <w:r>
        <w:fldChar w:fldCharType="separate"/>
      </w:r>
      <w:r w:rsidR="00E14B47">
        <w:rPr>
          <w:noProof/>
        </w:rPr>
        <w:t>364</w:t>
      </w:r>
      <w:r>
        <w:fldChar w:fldCharType="end"/>
      </w:r>
    </w:p>
    <w:p w:rsidR="0084433F" w:rsidRDefault="0084433F" w:rsidP="0084433F"/>
    <w:p w:rsidR="0084433F" w:rsidRDefault="0084433F" w:rsidP="0084433F">
      <w:pPr>
        <w:pStyle w:val="EntradandiceSentencia"/>
      </w:pPr>
      <w:r>
        <w:t>Sala Primera. Sentencia 120/1997, de 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1.744/1994. </w:t>
      </w:r>
      <w:r w:rsidRPr="0084433F">
        <w:rPr>
          <w:rStyle w:val="TextoNormalCursivaCaracter"/>
        </w:rPr>
        <w:t xml:space="preserve"> Supuesta vulneración del derecho a la tutela judicial efectiva: archivo de diligencias previas no lesivo del derecho.</w:t>
      </w:r>
      <w:r>
        <w:tab/>
      </w:r>
      <w:r>
        <w:tab/>
      </w:r>
      <w:r>
        <w:fldChar w:fldCharType="begin"/>
      </w:r>
      <w:r>
        <w:instrText xml:space="preserve"> PAGEREF SENTENCIA_1997_120 \h </w:instrText>
      </w:r>
      <w:r>
        <w:fldChar w:fldCharType="separate"/>
      </w:r>
      <w:r w:rsidR="00E14B47">
        <w:rPr>
          <w:noProof/>
        </w:rPr>
        <w:t>371</w:t>
      </w:r>
      <w:r>
        <w:fldChar w:fldCharType="end"/>
      </w:r>
    </w:p>
    <w:p w:rsidR="0084433F" w:rsidRDefault="0084433F" w:rsidP="0084433F"/>
    <w:p w:rsidR="0084433F" w:rsidRDefault="0084433F" w:rsidP="0084433F">
      <w:pPr>
        <w:pStyle w:val="EntradandiceSentencia"/>
      </w:pPr>
      <w:r>
        <w:t>Sala Primera. Sentencia 121/1997, de 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442/1995. </w:t>
      </w:r>
      <w:r w:rsidRPr="0084433F">
        <w:rPr>
          <w:rStyle w:val="TextoNormalCursivaCaracter"/>
        </w:rPr>
        <w:t xml:space="preserve"> Supuesta vulneración de los principios de igualdad y de libertad sindical: alcance del art. 23 del Estatuto del Personal de las Cortes Generales.</w:t>
      </w:r>
      <w:r>
        <w:tab/>
      </w:r>
      <w:r>
        <w:tab/>
      </w:r>
      <w:r>
        <w:fldChar w:fldCharType="begin"/>
      </w:r>
      <w:r>
        <w:instrText xml:space="preserve"> PAGEREF SENTENCIA_1997_121 \h </w:instrText>
      </w:r>
      <w:r>
        <w:fldChar w:fldCharType="separate"/>
      </w:r>
      <w:r w:rsidR="00E14B47">
        <w:rPr>
          <w:noProof/>
        </w:rPr>
        <w:t>378</w:t>
      </w:r>
      <w:r>
        <w:fldChar w:fldCharType="end"/>
      </w:r>
    </w:p>
    <w:p w:rsidR="0084433F" w:rsidRDefault="0084433F" w:rsidP="0084433F"/>
    <w:p w:rsidR="0084433F" w:rsidRDefault="0084433F" w:rsidP="0084433F">
      <w:pPr>
        <w:pStyle w:val="EntradandiceSentencia"/>
      </w:pPr>
      <w:r>
        <w:t>Sala Primera. Sentencia 122/1997, de 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2.916/1995. </w:t>
      </w:r>
      <w:r w:rsidRPr="0084433F">
        <w:rPr>
          <w:rStyle w:val="TextoNormalCursivaCaracter"/>
        </w:rPr>
        <w:t xml:space="preserve"> Vulneración del derecho a la tutela judicial efectiva: indefensión causada por denegación de la petición de recibimiento a prueba.</w:t>
      </w:r>
      <w:r>
        <w:tab/>
      </w:r>
      <w:r>
        <w:tab/>
      </w:r>
      <w:r>
        <w:fldChar w:fldCharType="begin"/>
      </w:r>
      <w:r>
        <w:instrText xml:space="preserve"> PAGEREF SENTENCIA_1997_122 \h </w:instrText>
      </w:r>
      <w:r>
        <w:fldChar w:fldCharType="separate"/>
      </w:r>
      <w:r w:rsidR="00E14B47">
        <w:rPr>
          <w:noProof/>
        </w:rPr>
        <w:t>396</w:t>
      </w:r>
      <w:r>
        <w:fldChar w:fldCharType="end"/>
      </w:r>
    </w:p>
    <w:p w:rsidR="0084433F" w:rsidRDefault="0084433F" w:rsidP="0084433F"/>
    <w:p w:rsidR="0084433F" w:rsidRDefault="0084433F" w:rsidP="0084433F">
      <w:pPr>
        <w:pStyle w:val="EntradandiceSentencia"/>
      </w:pPr>
      <w:r>
        <w:t>Sala Primera. Sentencia 123/1997, de 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760/1996. </w:t>
      </w:r>
      <w:r w:rsidRPr="0084433F">
        <w:rPr>
          <w:rStyle w:val="TextoNormalCursivaCaracter"/>
        </w:rPr>
        <w:t xml:space="preserve"> Supuesta vulneración de los derechos a la tutela judicial efectiva, al secreto de las comunicaciones y a la presunción de inocencia.</w:t>
      </w:r>
      <w:r>
        <w:tab/>
      </w:r>
      <w:r>
        <w:tab/>
      </w:r>
      <w:r>
        <w:fldChar w:fldCharType="begin"/>
      </w:r>
      <w:r>
        <w:instrText xml:space="preserve"> PAGEREF SENTENCIA_1997_123 \h </w:instrText>
      </w:r>
      <w:r>
        <w:fldChar w:fldCharType="separate"/>
      </w:r>
      <w:r w:rsidR="00E14B47">
        <w:rPr>
          <w:noProof/>
        </w:rPr>
        <w:t>404</w:t>
      </w:r>
      <w:r>
        <w:fldChar w:fldCharType="end"/>
      </w:r>
    </w:p>
    <w:p w:rsidR="0084433F" w:rsidRDefault="0084433F" w:rsidP="0084433F"/>
    <w:p w:rsidR="0084433F" w:rsidRDefault="0084433F" w:rsidP="0084433F">
      <w:pPr>
        <w:pStyle w:val="EntradandiceSentencia"/>
      </w:pPr>
      <w:r>
        <w:t>Sala Primera. Sentencia 124/1997, de 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2.581/1996. </w:t>
      </w:r>
      <w:r w:rsidRPr="0084433F">
        <w:rPr>
          <w:rStyle w:val="TextoNormalCursivaCaracter"/>
        </w:rPr>
        <w:t xml:space="preserve"> Vulneración del derecho a la tutela judicial efectiva: indefensión causada por error judicial.</w:t>
      </w:r>
      <w:r>
        <w:tab/>
      </w:r>
      <w:r>
        <w:tab/>
      </w:r>
      <w:r>
        <w:fldChar w:fldCharType="begin"/>
      </w:r>
      <w:r>
        <w:instrText xml:space="preserve"> PAGEREF SENTENCIA_1997_124 \h </w:instrText>
      </w:r>
      <w:r>
        <w:fldChar w:fldCharType="separate"/>
      </w:r>
      <w:r w:rsidR="00E14B47">
        <w:rPr>
          <w:noProof/>
        </w:rPr>
        <w:t>415</w:t>
      </w:r>
      <w:r>
        <w:fldChar w:fldCharType="end"/>
      </w:r>
    </w:p>
    <w:p w:rsidR="0084433F" w:rsidRDefault="0084433F" w:rsidP="0084433F"/>
    <w:p w:rsidR="0084433F" w:rsidRDefault="0084433F" w:rsidP="0084433F">
      <w:pPr>
        <w:pStyle w:val="EntradandiceSentencia"/>
      </w:pPr>
      <w:r>
        <w:t>Sala Primera. Sentencia 125/1997, de 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3.884/1996. </w:t>
      </w:r>
      <w:r w:rsidRPr="0084433F">
        <w:rPr>
          <w:rStyle w:val="TextoNormalCursivaCaracter"/>
        </w:rPr>
        <w:t xml:space="preserve"> Supuesta vulneración del principio de legalidad y del derecho a la tutela judicial efectiva: inadmisión de recurso de casación debidamente motivada. Votos particulares.</w:t>
      </w:r>
      <w:r>
        <w:tab/>
      </w:r>
      <w:r>
        <w:tab/>
      </w:r>
      <w:r>
        <w:fldChar w:fldCharType="begin"/>
      </w:r>
      <w:r>
        <w:instrText xml:space="preserve"> PAGEREF SENTENCIA_1997_125 \h </w:instrText>
      </w:r>
      <w:r>
        <w:fldChar w:fldCharType="separate"/>
      </w:r>
      <w:r w:rsidR="00E14B47">
        <w:rPr>
          <w:noProof/>
        </w:rPr>
        <w:t>423</w:t>
      </w:r>
      <w:r>
        <w:fldChar w:fldCharType="end"/>
      </w:r>
    </w:p>
    <w:p w:rsidR="0084433F" w:rsidRDefault="0084433F" w:rsidP="0084433F"/>
    <w:p w:rsidR="0084433F" w:rsidRDefault="0084433F" w:rsidP="0084433F">
      <w:pPr>
        <w:pStyle w:val="EntradandiceSentencia"/>
      </w:pPr>
      <w:r>
        <w:t>Pleno. Sentencia 126/1997, de 3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Cuestión de inconstitucionalidad 661/1996. </w:t>
      </w:r>
      <w:r w:rsidRPr="0084433F">
        <w:rPr>
          <w:rStyle w:val="TextoNormalCursivaCaracter"/>
        </w:rPr>
        <w:t xml:space="preserve"> </w:t>
      </w:r>
      <w:r>
        <w:tab/>
      </w:r>
      <w:r>
        <w:tab/>
      </w:r>
      <w:r>
        <w:fldChar w:fldCharType="begin"/>
      </w:r>
      <w:r>
        <w:instrText xml:space="preserve"> PAGEREF SENTENCIA_1997_126 \h </w:instrText>
      </w:r>
      <w:r>
        <w:fldChar w:fldCharType="separate"/>
      </w:r>
      <w:r w:rsidR="00E14B47">
        <w:rPr>
          <w:noProof/>
        </w:rPr>
        <w:t>441</w:t>
      </w:r>
      <w:r>
        <w:fldChar w:fldCharType="end"/>
      </w:r>
    </w:p>
    <w:p w:rsidR="0084433F" w:rsidRDefault="0084433F" w:rsidP="0084433F"/>
    <w:p w:rsidR="0084433F" w:rsidRDefault="0084433F" w:rsidP="0084433F">
      <w:pPr>
        <w:pStyle w:val="EntradandiceSentencia"/>
      </w:pPr>
      <w:r>
        <w:t>Sala Segunda. Sentencia 127/1997, de 14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1.351/1993. </w:t>
      </w:r>
      <w:r w:rsidRPr="0084433F">
        <w:rPr>
          <w:rStyle w:val="TextoNormalCursivaCaracter"/>
        </w:rPr>
        <w:t xml:space="preserve"> Vulneración del derecho a la tutela judicial efectiva: inadmisión de recurso lesiva del derecho.</w:t>
      </w:r>
      <w:r>
        <w:tab/>
      </w:r>
      <w:r>
        <w:tab/>
      </w:r>
      <w:r>
        <w:fldChar w:fldCharType="begin"/>
      </w:r>
      <w:r>
        <w:instrText xml:space="preserve"> PAGEREF SENTENCIA_1997_127 \h </w:instrText>
      </w:r>
      <w:r>
        <w:fldChar w:fldCharType="separate"/>
      </w:r>
      <w:r w:rsidR="00E14B47">
        <w:rPr>
          <w:noProof/>
        </w:rPr>
        <w:t>484</w:t>
      </w:r>
      <w:r>
        <w:fldChar w:fldCharType="end"/>
      </w:r>
    </w:p>
    <w:p w:rsidR="0084433F" w:rsidRDefault="0084433F" w:rsidP="0084433F"/>
    <w:p w:rsidR="0084433F" w:rsidRDefault="0084433F" w:rsidP="0084433F">
      <w:pPr>
        <w:pStyle w:val="EntradandiceSentencia"/>
      </w:pPr>
      <w:r>
        <w:t>Sala Segunda. Sentencia 128/1997, de 14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2.710/1993. </w:t>
      </w:r>
      <w:r w:rsidRPr="0084433F">
        <w:rPr>
          <w:rStyle w:val="TextoNormalCursivaCaracter"/>
        </w:rPr>
        <w:t xml:space="preserve"> Supuesta vulneración del derecho al secreto de las comunicaciones: motivación suficiente de la medida restrictiva de derechos. Voto particular.</w:t>
      </w:r>
      <w:r>
        <w:tab/>
      </w:r>
      <w:r>
        <w:tab/>
      </w:r>
      <w:r>
        <w:fldChar w:fldCharType="begin"/>
      </w:r>
      <w:r>
        <w:instrText xml:space="preserve"> PAGEREF SENTENCIA_1997_128 \h </w:instrText>
      </w:r>
      <w:r>
        <w:fldChar w:fldCharType="separate"/>
      </w:r>
      <w:r w:rsidR="00E14B47">
        <w:rPr>
          <w:noProof/>
        </w:rPr>
        <w:t>489</w:t>
      </w:r>
      <w:r>
        <w:fldChar w:fldCharType="end"/>
      </w:r>
    </w:p>
    <w:p w:rsidR="0084433F" w:rsidRDefault="0084433F" w:rsidP="0084433F"/>
    <w:p w:rsidR="0084433F" w:rsidRDefault="0084433F" w:rsidP="0084433F">
      <w:pPr>
        <w:pStyle w:val="EntradandiceSentencia"/>
      </w:pPr>
      <w:r>
        <w:t>Sala Segunda. Sentencia 129/1997, de 14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129/1994. </w:t>
      </w:r>
      <w:r w:rsidRPr="0084433F">
        <w:rPr>
          <w:rStyle w:val="TextoNormalCursivaCaracter"/>
        </w:rPr>
        <w:t xml:space="preserve"> Supuesta vulneración del principio de legalidad tributaria: retroactividad "in bonus".</w:t>
      </w:r>
      <w:r>
        <w:tab/>
      </w:r>
      <w:r>
        <w:tab/>
      </w:r>
      <w:r>
        <w:fldChar w:fldCharType="begin"/>
      </w:r>
      <w:r>
        <w:instrText xml:space="preserve"> PAGEREF SENTENCIA_1997_129 \h </w:instrText>
      </w:r>
      <w:r>
        <w:fldChar w:fldCharType="separate"/>
      </w:r>
      <w:r w:rsidR="00E14B47">
        <w:rPr>
          <w:noProof/>
        </w:rPr>
        <w:t>502</w:t>
      </w:r>
      <w:r>
        <w:fldChar w:fldCharType="end"/>
      </w:r>
    </w:p>
    <w:p w:rsidR="0084433F" w:rsidRDefault="0084433F" w:rsidP="0084433F"/>
    <w:p w:rsidR="0084433F" w:rsidRDefault="0084433F" w:rsidP="0084433F">
      <w:pPr>
        <w:pStyle w:val="EntradandiceSentencia"/>
      </w:pPr>
      <w:r>
        <w:t>Sala Primera. Sentencia 130/1997, de 15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2.970/1994. </w:t>
      </w:r>
      <w:r w:rsidRPr="0084433F">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SENTENCIA_1997_130 \h </w:instrText>
      </w:r>
      <w:r>
        <w:fldChar w:fldCharType="separate"/>
      </w:r>
      <w:r w:rsidR="00E14B47">
        <w:rPr>
          <w:noProof/>
        </w:rPr>
        <w:t>510</w:t>
      </w:r>
      <w:r>
        <w:fldChar w:fldCharType="end"/>
      </w:r>
    </w:p>
    <w:p w:rsidR="0084433F" w:rsidRDefault="0084433F" w:rsidP="0084433F"/>
    <w:p w:rsidR="0084433F" w:rsidRDefault="0084433F" w:rsidP="0084433F">
      <w:pPr>
        <w:pStyle w:val="EntradandiceSentencia"/>
      </w:pPr>
      <w:r>
        <w:t>Sala Primera. Sentencia 131/1997, de 15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3.860/1994. </w:t>
      </w:r>
      <w:r w:rsidRPr="0084433F">
        <w:rPr>
          <w:rStyle w:val="TextoNormalCursivaCaracter"/>
        </w:rPr>
        <w:t xml:space="preserve"> Vulneración del derecho a la presunción de inocencia: ausencia de prueba de cargo.</w:t>
      </w:r>
      <w:r>
        <w:tab/>
      </w:r>
      <w:r>
        <w:tab/>
      </w:r>
      <w:r>
        <w:fldChar w:fldCharType="begin"/>
      </w:r>
      <w:r>
        <w:instrText xml:space="preserve"> PAGEREF SENTENCIA_1997_131 \h </w:instrText>
      </w:r>
      <w:r>
        <w:fldChar w:fldCharType="separate"/>
      </w:r>
      <w:r w:rsidR="00E14B47">
        <w:rPr>
          <w:noProof/>
        </w:rPr>
        <w:t>518</w:t>
      </w:r>
      <w:r>
        <w:fldChar w:fldCharType="end"/>
      </w:r>
    </w:p>
    <w:p w:rsidR="0084433F" w:rsidRDefault="0084433F" w:rsidP="0084433F"/>
    <w:p w:rsidR="0084433F" w:rsidRDefault="0084433F" w:rsidP="0084433F">
      <w:pPr>
        <w:pStyle w:val="EntradandiceSentencia"/>
      </w:pPr>
      <w:r>
        <w:t>Sala Primera. Sentencia 132/1997, de 15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2.831/1995 3.075/1995 (acumulados). </w:t>
      </w:r>
      <w:r w:rsidRPr="0084433F">
        <w:rPr>
          <w:rStyle w:val="TextoNormalCursivaCaracter"/>
        </w:rPr>
        <w:t xml:space="preserve"> Supuesta vulneración del principio de igualdad y del derecho a la tutela judicial efectiva: idoneidad de las Sentencias de contraste. Voto particular.</w:t>
      </w:r>
      <w:r>
        <w:tab/>
      </w:r>
      <w:r>
        <w:tab/>
      </w:r>
      <w:r>
        <w:fldChar w:fldCharType="begin"/>
      </w:r>
      <w:r>
        <w:instrText xml:space="preserve"> PAGEREF SENTENCIA_1997_132 \h </w:instrText>
      </w:r>
      <w:r>
        <w:fldChar w:fldCharType="separate"/>
      </w:r>
      <w:r w:rsidR="00E14B47">
        <w:rPr>
          <w:noProof/>
        </w:rPr>
        <w:t>524</w:t>
      </w:r>
      <w:r>
        <w:fldChar w:fldCharType="end"/>
      </w:r>
    </w:p>
    <w:p w:rsidR="0084433F" w:rsidRDefault="0084433F" w:rsidP="0084433F"/>
    <w:p w:rsidR="0084433F" w:rsidRDefault="0084433F" w:rsidP="0084433F">
      <w:pPr>
        <w:pStyle w:val="EntradandiceSentencia"/>
      </w:pPr>
      <w:r>
        <w:t>Pleno. Sentencia 133/1997, de 16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inconstitucionalidadConflicto positivo de competencia 1.712/1988 1.716/1988 1.724/1988 1.527/1989 1.924/1989 (acumulados). </w:t>
      </w:r>
      <w:r w:rsidRPr="0084433F">
        <w:rPr>
          <w:rStyle w:val="TextoNormalCursivaCaracter"/>
        </w:rPr>
        <w:t xml:space="preserve"> </w:t>
      </w:r>
      <w:r>
        <w:tab/>
      </w:r>
      <w:r>
        <w:tab/>
      </w:r>
      <w:r>
        <w:fldChar w:fldCharType="begin"/>
      </w:r>
      <w:r>
        <w:instrText xml:space="preserve"> PAGEREF SENTENCIA_1997_133 \h </w:instrText>
      </w:r>
      <w:r>
        <w:fldChar w:fldCharType="separate"/>
      </w:r>
      <w:r w:rsidR="00E14B47">
        <w:rPr>
          <w:noProof/>
        </w:rPr>
        <w:t>539</w:t>
      </w:r>
      <w:r>
        <w:fldChar w:fldCharType="end"/>
      </w:r>
    </w:p>
    <w:p w:rsidR="0084433F" w:rsidRDefault="0084433F" w:rsidP="0084433F"/>
    <w:p w:rsidR="0084433F" w:rsidRDefault="0084433F" w:rsidP="0084433F">
      <w:pPr>
        <w:pStyle w:val="EntradandiceSentencia"/>
      </w:pPr>
      <w:r>
        <w:t>Pleno. Sentencia 134/1997, de 17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Conflicto positivo de competencia 1.524/1988. </w:t>
      </w:r>
      <w:r w:rsidRPr="0084433F">
        <w:rPr>
          <w:rStyle w:val="TextoNormalCursivaCaracter"/>
        </w:rPr>
        <w:t xml:space="preserve"> </w:t>
      </w:r>
      <w:r>
        <w:tab/>
      </w:r>
      <w:r>
        <w:tab/>
      </w:r>
      <w:r>
        <w:fldChar w:fldCharType="begin"/>
      </w:r>
      <w:r>
        <w:instrText xml:space="preserve"> PAGEREF SENTENCIA_1997_134 \h </w:instrText>
      </w:r>
      <w:r>
        <w:fldChar w:fldCharType="separate"/>
      </w:r>
      <w:r w:rsidR="00E14B47">
        <w:rPr>
          <w:noProof/>
        </w:rPr>
        <w:t>653</w:t>
      </w:r>
      <w:r>
        <w:fldChar w:fldCharType="end"/>
      </w:r>
    </w:p>
    <w:p w:rsidR="0084433F" w:rsidRDefault="0084433F" w:rsidP="0084433F"/>
    <w:p w:rsidR="0084433F" w:rsidRDefault="0084433F" w:rsidP="0084433F">
      <w:pPr>
        <w:pStyle w:val="EntradandiceSentencia"/>
      </w:pPr>
      <w:r>
        <w:lastRenderedPageBreak/>
        <w:t>Sala Segunda. Sentencia 135/1997, de 21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2.007/1994. </w:t>
      </w:r>
      <w:r w:rsidRPr="0084433F">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SENTENCIA_1997_135 \h </w:instrText>
      </w:r>
      <w:r>
        <w:fldChar w:fldCharType="separate"/>
      </w:r>
      <w:r w:rsidR="00E14B47">
        <w:rPr>
          <w:noProof/>
        </w:rPr>
        <w:t>665</w:t>
      </w:r>
      <w:r>
        <w:fldChar w:fldCharType="end"/>
      </w:r>
    </w:p>
    <w:p w:rsidR="0084433F" w:rsidRDefault="0084433F" w:rsidP="0084433F"/>
    <w:p w:rsidR="0084433F" w:rsidRDefault="0084433F" w:rsidP="0084433F">
      <w:pPr>
        <w:pStyle w:val="EntradandiceSentencia"/>
      </w:pPr>
      <w:r>
        <w:t>Sala Segunda. Sentencia 136/1997, de 21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2.909/1994. </w:t>
      </w:r>
      <w:r w:rsidRPr="0084433F">
        <w:rPr>
          <w:rStyle w:val="TextoNormalCursivaCaracter"/>
        </w:rPr>
        <w:t xml:space="preserve"> Vulneración del derecho a la tutela judicial efectiva: ejecución de las resoluciones judiciales en sus propios términos.</w:t>
      </w:r>
      <w:r>
        <w:tab/>
      </w:r>
      <w:r>
        <w:tab/>
      </w:r>
      <w:r>
        <w:fldChar w:fldCharType="begin"/>
      </w:r>
      <w:r>
        <w:instrText xml:space="preserve"> PAGEREF SENTENCIA_1997_136 \h </w:instrText>
      </w:r>
      <w:r>
        <w:fldChar w:fldCharType="separate"/>
      </w:r>
      <w:r w:rsidR="00E14B47">
        <w:rPr>
          <w:noProof/>
        </w:rPr>
        <w:t>677</w:t>
      </w:r>
      <w:r>
        <w:fldChar w:fldCharType="end"/>
      </w:r>
    </w:p>
    <w:p w:rsidR="0084433F" w:rsidRDefault="0084433F" w:rsidP="0084433F"/>
    <w:p w:rsidR="0084433F" w:rsidRDefault="0084433F" w:rsidP="0084433F">
      <w:pPr>
        <w:pStyle w:val="EntradandiceSentencia"/>
      </w:pPr>
      <w:r>
        <w:t>Sala Segunda. Sentencia 137/1997, de 21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4.136/1994. </w:t>
      </w:r>
      <w:r w:rsidRPr="0084433F">
        <w:rPr>
          <w:rStyle w:val="TextoNormalCursivaCaracter"/>
        </w:rPr>
        <w:t xml:space="preserve"> Supuesta vulneración del principio de legalidad penal y del derecho de huelga : interpretación judicial del tipo relativo a la falta de coacciones no lesiva de los derechos invocados.</w:t>
      </w:r>
      <w:r>
        <w:tab/>
      </w:r>
      <w:r>
        <w:tab/>
      </w:r>
      <w:r>
        <w:fldChar w:fldCharType="begin"/>
      </w:r>
      <w:r>
        <w:instrText xml:space="preserve"> PAGEREF SENTENCIA_1997_137 \h </w:instrText>
      </w:r>
      <w:r>
        <w:fldChar w:fldCharType="separate"/>
      </w:r>
      <w:r w:rsidR="00E14B47">
        <w:rPr>
          <w:noProof/>
        </w:rPr>
        <w:t>688</w:t>
      </w:r>
      <w:r>
        <w:fldChar w:fldCharType="end"/>
      </w:r>
    </w:p>
    <w:p w:rsidR="0084433F" w:rsidRDefault="0084433F" w:rsidP="0084433F"/>
    <w:p w:rsidR="0084433F" w:rsidRDefault="0084433F" w:rsidP="0084433F">
      <w:pPr>
        <w:pStyle w:val="EntradandiceSentencia"/>
      </w:pPr>
      <w:r>
        <w:t>Sala Primera. Sentencia 138/1997, de 22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1.013/1995. </w:t>
      </w:r>
      <w:r w:rsidRPr="0084433F">
        <w:rPr>
          <w:rStyle w:val="TextoNormalCursivaCaracter"/>
        </w:rPr>
        <w:t xml:space="preserve"> Supuesta vulneración del derecho a la tutela judicial efectiva: denegación no arbitraria de la solicitud de Abogado y Procurador de oficio en proceso ya concluido.</w:t>
      </w:r>
      <w:r>
        <w:tab/>
      </w:r>
      <w:r>
        <w:tab/>
      </w:r>
      <w:r>
        <w:fldChar w:fldCharType="begin"/>
      </w:r>
      <w:r>
        <w:instrText xml:space="preserve"> PAGEREF SENTENCIA_1997_138 \h </w:instrText>
      </w:r>
      <w:r>
        <w:fldChar w:fldCharType="separate"/>
      </w:r>
      <w:r w:rsidR="00E14B47">
        <w:rPr>
          <w:noProof/>
        </w:rPr>
        <w:t>701</w:t>
      </w:r>
      <w:r>
        <w:fldChar w:fldCharType="end"/>
      </w:r>
    </w:p>
    <w:p w:rsidR="0084433F" w:rsidRDefault="0084433F" w:rsidP="0084433F"/>
    <w:p w:rsidR="0084433F" w:rsidRDefault="0084433F" w:rsidP="0084433F">
      <w:pPr>
        <w:pStyle w:val="EntradandiceSentencia"/>
      </w:pPr>
      <w:r>
        <w:t>Sala Primera. Sentencia 139/1997, de 22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1.286/1995. </w:t>
      </w:r>
      <w:r w:rsidRPr="0084433F">
        <w:rPr>
          <w:rStyle w:val="TextoNormalCursivaCaracter"/>
        </w:rPr>
        <w:t xml:space="preserve"> Vulneración del derecho a la tutela judicial efectiva: carencia en pronunciamiento expreso de la resolución recurrida.</w:t>
      </w:r>
      <w:r>
        <w:tab/>
      </w:r>
      <w:r>
        <w:tab/>
      </w:r>
      <w:r>
        <w:fldChar w:fldCharType="begin"/>
      </w:r>
      <w:r>
        <w:instrText xml:space="preserve"> PAGEREF SENTENCIA_1997_139 \h </w:instrText>
      </w:r>
      <w:r>
        <w:fldChar w:fldCharType="separate"/>
      </w:r>
      <w:r w:rsidR="00E14B47">
        <w:rPr>
          <w:noProof/>
        </w:rPr>
        <w:t>710</w:t>
      </w:r>
      <w:r>
        <w:fldChar w:fldCharType="end"/>
      </w:r>
    </w:p>
    <w:p w:rsidR="0084433F" w:rsidRDefault="0084433F" w:rsidP="0084433F"/>
    <w:p w:rsidR="0084433F" w:rsidRDefault="0084433F" w:rsidP="0084433F">
      <w:pPr>
        <w:pStyle w:val="EntradandiceSentencia"/>
      </w:pPr>
      <w:r>
        <w:t>Sala Primera. Sentencia 140/1997, de 22 de julio de 1997</w:t>
      </w:r>
    </w:p>
    <w:p w:rsidR="0084433F" w:rsidRDefault="0084433F" w:rsidP="0084433F">
      <w:pPr>
        <w:pStyle w:val="EntradandiceSentencia"/>
      </w:pPr>
    </w:p>
    <w:p w:rsidR="0084433F" w:rsidRDefault="0084433F" w:rsidP="0084433F">
      <w:pPr>
        <w:pStyle w:val="EntradaSumario"/>
      </w:pPr>
      <w:r w:rsidRPr="0084433F">
        <w:rPr>
          <w:rStyle w:val="TextoNormalCaracter"/>
        </w:rPr>
        <w:t xml:space="preserve">Recurso de amparo 1.831/1996. </w:t>
      </w:r>
      <w:r w:rsidRPr="0084433F">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SENTENCIA_1997_140 \h </w:instrText>
      </w:r>
      <w:r>
        <w:fldChar w:fldCharType="separate"/>
      </w:r>
      <w:r w:rsidR="00E14B47">
        <w:rPr>
          <w:noProof/>
        </w:rPr>
        <w:t>718</w:t>
      </w:r>
      <w:r>
        <w:fldChar w:fldCharType="end"/>
      </w:r>
    </w:p>
    <w:p w:rsidR="0084433F" w:rsidRDefault="0084433F">
      <w:r>
        <w:br w:type="page"/>
      </w:r>
    </w:p>
    <w:p w:rsidR="0084433F" w:rsidRDefault="0084433F" w:rsidP="0084433F"/>
    <w:p w:rsidR="0084433F" w:rsidRDefault="0084433F" w:rsidP="0084433F"/>
    <w:p w:rsidR="0084433F" w:rsidRDefault="0084433F" w:rsidP="0084433F"/>
    <w:p w:rsidR="0084433F" w:rsidRDefault="0084433F" w:rsidP="0084433F">
      <w:pPr>
        <w:pStyle w:val="Ttulondice"/>
      </w:pPr>
      <w:bookmarkStart w:id="3" w:name="SUMARIOSAUTOS"/>
      <w:r>
        <w:t>2. AUTOS: ATC 124/1997 A ATC 296/1997</w:t>
      </w:r>
    </w:p>
    <w:bookmarkEnd w:id="3"/>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Ttulondice"/>
      </w:pPr>
    </w:p>
    <w:p w:rsidR="0084433F" w:rsidRDefault="0084433F" w:rsidP="0084433F">
      <w:pPr>
        <w:pStyle w:val="EntradandiceAuto"/>
      </w:pPr>
      <w:r>
        <w:t>Sala Segunda. Auto 124/1997, de 5 de mayo de 1997. Reiterando la suspensión, previamente acordada, de la ejecución del acto que origina el recurso de amparo 3.819/1994.</w:t>
      </w:r>
      <w:r>
        <w:tab/>
      </w:r>
      <w:r>
        <w:tab/>
      </w:r>
      <w:r>
        <w:fldChar w:fldCharType="begin"/>
      </w:r>
      <w:r>
        <w:instrText xml:space="preserve"> PAGEREF AUTO_1997_124 \h </w:instrText>
      </w:r>
      <w:r>
        <w:fldChar w:fldCharType="separate"/>
      </w:r>
      <w:r w:rsidR="00E14B47">
        <w:rPr>
          <w:noProof/>
        </w:rPr>
        <w:t>727</w:t>
      </w:r>
      <w:r>
        <w:fldChar w:fldCharType="end"/>
      </w:r>
    </w:p>
    <w:p w:rsidR="006854DA" w:rsidRDefault="006854DA" w:rsidP="0084433F"/>
    <w:p w:rsidR="0084433F" w:rsidRDefault="0084433F" w:rsidP="0084433F">
      <w:pPr>
        <w:pStyle w:val="EntradandiceAuto"/>
      </w:pPr>
      <w:r>
        <w:t>Sala Segunda. Auto 125/1997, de 5 de mayo de 1997. Denegando la suspensión de la ejecución del acto que origina el recurso de amparo 2.612/1996.</w:t>
      </w:r>
      <w:r>
        <w:tab/>
      </w:r>
      <w:r>
        <w:tab/>
      </w:r>
      <w:r>
        <w:fldChar w:fldCharType="begin"/>
      </w:r>
      <w:r>
        <w:instrText xml:space="preserve"> PAGEREF AUTO_1997_125 \h </w:instrText>
      </w:r>
      <w:r>
        <w:fldChar w:fldCharType="separate"/>
      </w:r>
      <w:r w:rsidR="00E14B47">
        <w:rPr>
          <w:noProof/>
        </w:rPr>
        <w:t>730</w:t>
      </w:r>
      <w:r>
        <w:fldChar w:fldCharType="end"/>
      </w:r>
    </w:p>
    <w:p w:rsidR="0084433F" w:rsidRDefault="0084433F" w:rsidP="0084433F"/>
    <w:p w:rsidR="0084433F" w:rsidRDefault="0084433F" w:rsidP="0084433F">
      <w:pPr>
        <w:pStyle w:val="EntradandiceAuto"/>
      </w:pPr>
      <w:r>
        <w:t>Sala Segunda. Auto 126/1997, de 5 de mayo de 1997. Denegando la suspensión de la ejecución del acto que origina el recurso de amparo 2.747/1996.</w:t>
      </w:r>
      <w:r>
        <w:tab/>
      </w:r>
      <w:r>
        <w:tab/>
      </w:r>
      <w:r>
        <w:fldChar w:fldCharType="begin"/>
      </w:r>
      <w:r>
        <w:instrText xml:space="preserve"> PAGEREF AUTO_1997_126 \h </w:instrText>
      </w:r>
      <w:r>
        <w:fldChar w:fldCharType="separate"/>
      </w:r>
      <w:r w:rsidR="00E14B47">
        <w:rPr>
          <w:noProof/>
        </w:rPr>
        <w:t>733</w:t>
      </w:r>
      <w:r>
        <w:fldChar w:fldCharType="end"/>
      </w:r>
    </w:p>
    <w:p w:rsidR="0084433F" w:rsidRDefault="0084433F" w:rsidP="0084433F"/>
    <w:p w:rsidR="0084433F" w:rsidRDefault="0084433F" w:rsidP="0084433F">
      <w:pPr>
        <w:pStyle w:val="EntradandiceAuto"/>
      </w:pPr>
      <w:r>
        <w:t>Sala Segunda. Auto 127/1997, de 5 de mayo de 1997. Acordando la suspensión parcial de la ejecución del acto que origina el recurso de amparo 2.806/1996.</w:t>
      </w:r>
      <w:r>
        <w:tab/>
      </w:r>
      <w:r>
        <w:tab/>
      </w:r>
      <w:r>
        <w:fldChar w:fldCharType="begin"/>
      </w:r>
      <w:r>
        <w:instrText xml:space="preserve"> PAGEREF AUTO_1997_127 \h </w:instrText>
      </w:r>
      <w:r>
        <w:fldChar w:fldCharType="separate"/>
      </w:r>
      <w:r w:rsidR="00E14B47">
        <w:rPr>
          <w:noProof/>
        </w:rPr>
        <w:t>736</w:t>
      </w:r>
      <w:r>
        <w:fldChar w:fldCharType="end"/>
      </w:r>
    </w:p>
    <w:p w:rsidR="0084433F" w:rsidRDefault="0084433F" w:rsidP="0084433F"/>
    <w:p w:rsidR="0084433F" w:rsidRDefault="0084433F" w:rsidP="0084433F">
      <w:pPr>
        <w:pStyle w:val="EntradandiceAuto"/>
      </w:pPr>
      <w:r>
        <w:t>Sala Segunda. Auto 128/1997, de 5 de mayo de 1997. Denegando la suspensión de la ejecución del acto que origina el recurso de amparo 3.763/1996.</w:t>
      </w:r>
      <w:r>
        <w:tab/>
      </w:r>
      <w:r>
        <w:tab/>
      </w:r>
      <w:r>
        <w:fldChar w:fldCharType="begin"/>
      </w:r>
      <w:r>
        <w:instrText xml:space="preserve"> PAGEREF AUTO_1997_128 \h </w:instrText>
      </w:r>
      <w:r>
        <w:fldChar w:fldCharType="separate"/>
      </w:r>
      <w:r w:rsidR="00E14B47">
        <w:rPr>
          <w:noProof/>
        </w:rPr>
        <w:t>740</w:t>
      </w:r>
      <w:r>
        <w:fldChar w:fldCharType="end"/>
      </w:r>
    </w:p>
    <w:p w:rsidR="0084433F" w:rsidRDefault="0084433F" w:rsidP="0084433F"/>
    <w:p w:rsidR="0084433F" w:rsidRDefault="0084433F" w:rsidP="0084433F">
      <w:pPr>
        <w:pStyle w:val="EntradandiceAuto"/>
      </w:pPr>
      <w:r>
        <w:t>Sala Segunda. Auto 129/1997, de 5 de mayo de 1997. Acordando la suspensión condicionada de la ejecución del acto que origina el recurso de amparo 3.789/1996.</w:t>
      </w:r>
      <w:r>
        <w:tab/>
      </w:r>
      <w:r>
        <w:tab/>
      </w:r>
      <w:r>
        <w:fldChar w:fldCharType="begin"/>
      </w:r>
      <w:r>
        <w:instrText xml:space="preserve"> PAGEREF AUTO_1997_129 \h </w:instrText>
      </w:r>
      <w:r>
        <w:fldChar w:fldCharType="separate"/>
      </w:r>
      <w:r w:rsidR="00E14B47">
        <w:rPr>
          <w:noProof/>
        </w:rPr>
        <w:t>743</w:t>
      </w:r>
      <w:r>
        <w:fldChar w:fldCharType="end"/>
      </w:r>
    </w:p>
    <w:p w:rsidR="0084433F" w:rsidRDefault="0084433F" w:rsidP="0084433F"/>
    <w:p w:rsidR="0084433F" w:rsidRDefault="0084433F" w:rsidP="0084433F">
      <w:pPr>
        <w:pStyle w:val="EntradandiceAuto"/>
      </w:pPr>
      <w:r>
        <w:t>Sección Primera. Auto 130/1997, de 5 de mayo de 1997. Acordando la inadmisión a trámite del recurso de amparo 4.618/1996.</w:t>
      </w:r>
      <w:r>
        <w:tab/>
      </w:r>
      <w:r>
        <w:tab/>
      </w:r>
      <w:r>
        <w:fldChar w:fldCharType="begin"/>
      </w:r>
      <w:r>
        <w:instrText xml:space="preserve"> PAGEREF AUTO_1997_130 \h </w:instrText>
      </w:r>
      <w:r>
        <w:fldChar w:fldCharType="separate"/>
      </w:r>
      <w:r w:rsidR="00E14B47">
        <w:rPr>
          <w:noProof/>
        </w:rPr>
        <w:t>747</w:t>
      </w:r>
      <w:r>
        <w:fldChar w:fldCharType="end"/>
      </w:r>
    </w:p>
    <w:p w:rsidR="0084433F" w:rsidRDefault="0084433F" w:rsidP="0084433F"/>
    <w:p w:rsidR="0084433F" w:rsidRDefault="0084433F" w:rsidP="0084433F">
      <w:pPr>
        <w:pStyle w:val="EntradandiceAuto"/>
      </w:pPr>
      <w:r>
        <w:lastRenderedPageBreak/>
        <w:t>Sección Primera. Auto 131/1997, de 5 de mayo de 1997. Acuerda el desistimiento en el recurso de amparo 817/1997, promovido en litigio social.</w:t>
      </w:r>
      <w:r>
        <w:tab/>
      </w:r>
      <w:r>
        <w:tab/>
      </w:r>
      <w:r>
        <w:fldChar w:fldCharType="begin"/>
      </w:r>
      <w:r>
        <w:instrText xml:space="preserve"> PAGEREF AUTO_1997_131 \h </w:instrText>
      </w:r>
      <w:r>
        <w:fldChar w:fldCharType="separate"/>
      </w:r>
      <w:r w:rsidR="00E14B47">
        <w:rPr>
          <w:noProof/>
        </w:rPr>
        <w:t>751</w:t>
      </w:r>
      <w:r>
        <w:fldChar w:fldCharType="end"/>
      </w:r>
    </w:p>
    <w:p w:rsidR="0084433F" w:rsidRDefault="0084433F" w:rsidP="0084433F"/>
    <w:p w:rsidR="0084433F" w:rsidRDefault="0084433F" w:rsidP="0084433F">
      <w:pPr>
        <w:pStyle w:val="EntradandiceAuto"/>
      </w:pPr>
      <w:r>
        <w:t>Pleno. Auto 132/1997, de 6 de mayo de 1997. Acordando la acumulación del conflicto positivo de competencia 174/1997 a los ya acumulados 2.959/1992 y 3.284/1996.</w:t>
      </w:r>
      <w:r>
        <w:tab/>
      </w:r>
      <w:r>
        <w:tab/>
      </w:r>
      <w:r>
        <w:fldChar w:fldCharType="begin"/>
      </w:r>
      <w:r>
        <w:instrText xml:space="preserve"> PAGEREF AUTO_1997_132 \h </w:instrText>
      </w:r>
      <w:r>
        <w:fldChar w:fldCharType="separate"/>
      </w:r>
      <w:r w:rsidR="00E14B47">
        <w:rPr>
          <w:noProof/>
        </w:rPr>
        <w:t>752</w:t>
      </w:r>
      <w:r>
        <w:fldChar w:fldCharType="end"/>
      </w:r>
    </w:p>
    <w:p w:rsidR="0084433F" w:rsidRDefault="0084433F" w:rsidP="0084433F"/>
    <w:p w:rsidR="0084433F" w:rsidRDefault="0084433F" w:rsidP="0084433F">
      <w:pPr>
        <w:pStyle w:val="EntradandiceAuto"/>
      </w:pPr>
      <w:r>
        <w:t>Pleno. Auto 133/1997, de 6 de mayo de 1997. Acordando la inadmisión a trámite de la cuestión de inconstitucionalidad 274/1997</w:t>
      </w:r>
      <w:r>
        <w:tab/>
      </w:r>
      <w:r>
        <w:tab/>
      </w:r>
      <w:r>
        <w:fldChar w:fldCharType="begin"/>
      </w:r>
      <w:r>
        <w:instrText xml:space="preserve"> PAGEREF AUTO_1997_133 \h </w:instrText>
      </w:r>
      <w:r>
        <w:fldChar w:fldCharType="separate"/>
      </w:r>
      <w:r w:rsidR="00E14B47">
        <w:rPr>
          <w:noProof/>
        </w:rPr>
        <w:t>753</w:t>
      </w:r>
      <w:r>
        <w:fldChar w:fldCharType="end"/>
      </w:r>
    </w:p>
    <w:p w:rsidR="0084433F" w:rsidRDefault="0084433F" w:rsidP="0084433F"/>
    <w:p w:rsidR="0084433F" w:rsidRDefault="0084433F" w:rsidP="0084433F">
      <w:pPr>
        <w:pStyle w:val="EntradandiceAuto"/>
      </w:pPr>
      <w:r>
        <w:t>Sección Cuarta. Auto 134/1997, de 7 de mayo de 1997. Acordando la inadmisión a trámite del recurso de amparo 278/1994.</w:t>
      </w:r>
      <w:r>
        <w:tab/>
      </w:r>
      <w:r>
        <w:tab/>
      </w:r>
      <w:r>
        <w:fldChar w:fldCharType="begin"/>
      </w:r>
      <w:r>
        <w:instrText xml:space="preserve"> PAGEREF AUTO_1997_134 \h </w:instrText>
      </w:r>
      <w:r>
        <w:fldChar w:fldCharType="separate"/>
      </w:r>
      <w:r w:rsidR="00E14B47">
        <w:rPr>
          <w:noProof/>
        </w:rPr>
        <w:t>754</w:t>
      </w:r>
      <w:r>
        <w:fldChar w:fldCharType="end"/>
      </w:r>
    </w:p>
    <w:p w:rsidR="0084433F" w:rsidRDefault="0084433F" w:rsidP="0084433F"/>
    <w:p w:rsidR="0084433F" w:rsidRDefault="0084433F" w:rsidP="0084433F">
      <w:pPr>
        <w:pStyle w:val="EntradandiceAuto"/>
      </w:pPr>
      <w:r>
        <w:t>Sección Segunda. Auto 135/1997, de 7 de mayo de 1997. Acordando la inadmisión a trámite del recurso de amparo 960/1995.</w:t>
      </w:r>
      <w:r>
        <w:tab/>
      </w:r>
      <w:r>
        <w:tab/>
      </w:r>
      <w:r>
        <w:fldChar w:fldCharType="begin"/>
      </w:r>
      <w:r>
        <w:instrText xml:space="preserve"> PAGEREF AUTO_1997_135 \h </w:instrText>
      </w:r>
      <w:r>
        <w:fldChar w:fldCharType="separate"/>
      </w:r>
      <w:r w:rsidR="00E14B47">
        <w:rPr>
          <w:noProof/>
        </w:rPr>
        <w:t>758</w:t>
      </w:r>
      <w:r>
        <w:fldChar w:fldCharType="end"/>
      </w:r>
    </w:p>
    <w:p w:rsidR="0084433F" w:rsidRDefault="0084433F" w:rsidP="0084433F"/>
    <w:p w:rsidR="0084433F" w:rsidRDefault="0084433F" w:rsidP="0084433F">
      <w:pPr>
        <w:pStyle w:val="EntradandiceAuto"/>
      </w:pPr>
      <w:r>
        <w:t>Sección Cuarta. Auto 136/1997, de 7 de mayo de 1997. Acordando la inadmisión a trámite del recurso de amparo 2.314/1995.</w:t>
      </w:r>
      <w:r>
        <w:tab/>
      </w:r>
      <w:r>
        <w:tab/>
      </w:r>
      <w:r>
        <w:fldChar w:fldCharType="begin"/>
      </w:r>
      <w:r>
        <w:instrText xml:space="preserve"> PAGEREF AUTO_1997_136 \h </w:instrText>
      </w:r>
      <w:r>
        <w:fldChar w:fldCharType="separate"/>
      </w:r>
      <w:r w:rsidR="00E14B47">
        <w:rPr>
          <w:noProof/>
        </w:rPr>
        <w:t>762</w:t>
      </w:r>
      <w:r>
        <w:fldChar w:fldCharType="end"/>
      </w:r>
    </w:p>
    <w:p w:rsidR="0084433F" w:rsidRDefault="0084433F" w:rsidP="0084433F"/>
    <w:p w:rsidR="0084433F" w:rsidRDefault="0084433F" w:rsidP="0084433F">
      <w:pPr>
        <w:pStyle w:val="EntradandiceAuto"/>
      </w:pPr>
      <w:r>
        <w:t>Sección Cuarta. Auto 137/1997, de 7 de mayo de 1997. Acordando la inadmisión a trámite del recurso de amparo 2.758/1995.</w:t>
      </w:r>
      <w:r>
        <w:tab/>
      </w:r>
      <w:r>
        <w:tab/>
      </w:r>
      <w:r>
        <w:fldChar w:fldCharType="begin"/>
      </w:r>
      <w:r>
        <w:instrText xml:space="preserve"> PAGEREF AUTO_1997_137 \h </w:instrText>
      </w:r>
      <w:r>
        <w:fldChar w:fldCharType="separate"/>
      </w:r>
      <w:r w:rsidR="00E14B47">
        <w:rPr>
          <w:noProof/>
        </w:rPr>
        <w:t>765</w:t>
      </w:r>
      <w:r>
        <w:fldChar w:fldCharType="end"/>
      </w:r>
    </w:p>
    <w:p w:rsidR="0084433F" w:rsidRDefault="0084433F" w:rsidP="0084433F"/>
    <w:p w:rsidR="0084433F" w:rsidRDefault="0084433F" w:rsidP="0084433F">
      <w:pPr>
        <w:pStyle w:val="EntradandiceAuto"/>
      </w:pPr>
      <w:r>
        <w:t>Sección Cuarta. Auto 138/1997, de 7 de mayo de 1997. Declarando la falta de competencia del Tribunal Constitucional para conocer de la impugnación de la previa denegación del beneficio de pobreza solicitado por el actor en el recurso de amparo 3.033/1996.</w:t>
      </w:r>
      <w:r>
        <w:tab/>
      </w:r>
      <w:r>
        <w:tab/>
      </w:r>
      <w:r>
        <w:fldChar w:fldCharType="begin"/>
      </w:r>
      <w:r>
        <w:instrText xml:space="preserve"> PAGEREF AUTO_1997_138 \h </w:instrText>
      </w:r>
      <w:r>
        <w:fldChar w:fldCharType="separate"/>
      </w:r>
      <w:r w:rsidR="00E14B47">
        <w:rPr>
          <w:noProof/>
        </w:rPr>
        <w:t>767</w:t>
      </w:r>
      <w:r>
        <w:fldChar w:fldCharType="end"/>
      </w:r>
    </w:p>
    <w:p w:rsidR="0084433F" w:rsidRDefault="0084433F" w:rsidP="0084433F"/>
    <w:p w:rsidR="0084433F" w:rsidRDefault="0084433F" w:rsidP="0084433F">
      <w:pPr>
        <w:pStyle w:val="EntradandiceAuto"/>
      </w:pPr>
      <w:r>
        <w:t>Sala Primera. Auto 139/1997, de 7 de mayo de 1997. Acordando la suspensión condicionada de la ejecución del acto que origina el recurso de amparo 66/1997.</w:t>
      </w:r>
      <w:r>
        <w:tab/>
      </w:r>
      <w:r>
        <w:tab/>
      </w:r>
      <w:r>
        <w:fldChar w:fldCharType="begin"/>
      </w:r>
      <w:r>
        <w:instrText xml:space="preserve"> PAGEREF AUTO_1997_139 \h </w:instrText>
      </w:r>
      <w:r>
        <w:fldChar w:fldCharType="separate"/>
      </w:r>
      <w:r w:rsidR="00E14B47">
        <w:rPr>
          <w:noProof/>
        </w:rPr>
        <w:t>773</w:t>
      </w:r>
      <w:r>
        <w:fldChar w:fldCharType="end"/>
      </w:r>
    </w:p>
    <w:p w:rsidR="0084433F" w:rsidRDefault="0084433F" w:rsidP="0084433F"/>
    <w:p w:rsidR="0084433F" w:rsidRDefault="0084433F" w:rsidP="0084433F">
      <w:pPr>
        <w:pStyle w:val="EntradandiceAuto"/>
      </w:pPr>
      <w:r>
        <w:t>Pleno. Auto 140/1997, de 8 de mayo de 1997. Acordando la inadmisión a trámite de la cuestión de inconstitucionalidad 832/1997.</w:t>
      </w:r>
      <w:r>
        <w:tab/>
      </w:r>
      <w:r>
        <w:tab/>
      </w:r>
      <w:r>
        <w:fldChar w:fldCharType="begin"/>
      </w:r>
      <w:r>
        <w:instrText xml:space="preserve"> PAGEREF AUTO_1997_140 \h </w:instrText>
      </w:r>
      <w:r>
        <w:fldChar w:fldCharType="separate"/>
      </w:r>
      <w:r w:rsidR="00E14B47">
        <w:rPr>
          <w:noProof/>
        </w:rPr>
        <w:t>774</w:t>
      </w:r>
      <w:r>
        <w:fldChar w:fldCharType="end"/>
      </w:r>
    </w:p>
    <w:p w:rsidR="0084433F" w:rsidRDefault="0084433F" w:rsidP="0084433F"/>
    <w:p w:rsidR="0084433F" w:rsidRDefault="0084433F" w:rsidP="0084433F">
      <w:pPr>
        <w:pStyle w:val="EntradandiceAuto"/>
      </w:pPr>
      <w:r>
        <w:t>Sala Segunda. Auto 141/1997, de 19 de mayo de 1997. Denegando la suspensión de la ejecución del acto que origina el recurso de amparo 1.255/1995.</w:t>
      </w:r>
      <w:r>
        <w:tab/>
      </w:r>
      <w:r>
        <w:tab/>
      </w:r>
      <w:r>
        <w:fldChar w:fldCharType="begin"/>
      </w:r>
      <w:r>
        <w:instrText xml:space="preserve"> PAGEREF AUTO_1997_141 \h </w:instrText>
      </w:r>
      <w:r>
        <w:fldChar w:fldCharType="separate"/>
      </w:r>
      <w:r w:rsidR="00E14B47">
        <w:rPr>
          <w:noProof/>
        </w:rPr>
        <w:t>778</w:t>
      </w:r>
      <w:r>
        <w:fldChar w:fldCharType="end"/>
      </w:r>
    </w:p>
    <w:p w:rsidR="0084433F" w:rsidRDefault="0084433F" w:rsidP="0084433F"/>
    <w:p w:rsidR="0084433F" w:rsidRDefault="0084433F" w:rsidP="0084433F">
      <w:pPr>
        <w:pStyle w:val="EntradandiceAuto"/>
      </w:pPr>
      <w:r>
        <w:t>Sala Segunda. Auto 142/1997, de 19 de mayo de 1997. Acordando la acumulación del recurso de amparo 3.141/1995 al registrado con el núm. 3.260/1996.</w:t>
      </w:r>
      <w:r>
        <w:tab/>
      </w:r>
      <w:r>
        <w:tab/>
      </w:r>
      <w:r>
        <w:fldChar w:fldCharType="begin"/>
      </w:r>
      <w:r>
        <w:instrText xml:space="preserve"> PAGEREF AUTO_1997_142 \h </w:instrText>
      </w:r>
      <w:r>
        <w:fldChar w:fldCharType="separate"/>
      </w:r>
      <w:r w:rsidR="00E14B47">
        <w:rPr>
          <w:noProof/>
        </w:rPr>
        <w:t>781</w:t>
      </w:r>
      <w:r>
        <w:fldChar w:fldCharType="end"/>
      </w:r>
    </w:p>
    <w:p w:rsidR="0084433F" w:rsidRDefault="0084433F" w:rsidP="0084433F"/>
    <w:p w:rsidR="0084433F" w:rsidRDefault="0084433F" w:rsidP="0084433F">
      <w:pPr>
        <w:pStyle w:val="EntradandiceAuto"/>
      </w:pPr>
      <w:r>
        <w:t>Sala Segunda. Auto 143/1997, de 19 de mayo de 1997. Denegando la suspensión de la ejecución del acto que origina el recurso de amparo 1.944/1996.</w:t>
      </w:r>
      <w:r>
        <w:tab/>
      </w:r>
      <w:r>
        <w:tab/>
      </w:r>
      <w:r>
        <w:fldChar w:fldCharType="begin"/>
      </w:r>
      <w:r>
        <w:instrText xml:space="preserve"> PAGEREF AUTO_1997_143 \h </w:instrText>
      </w:r>
      <w:r>
        <w:fldChar w:fldCharType="separate"/>
      </w:r>
      <w:r w:rsidR="00E14B47">
        <w:rPr>
          <w:noProof/>
        </w:rPr>
        <w:t>782</w:t>
      </w:r>
      <w:r>
        <w:fldChar w:fldCharType="end"/>
      </w:r>
    </w:p>
    <w:p w:rsidR="0084433F" w:rsidRDefault="0084433F" w:rsidP="0084433F"/>
    <w:p w:rsidR="0084433F" w:rsidRDefault="0084433F" w:rsidP="0084433F">
      <w:pPr>
        <w:pStyle w:val="EntradandiceAuto"/>
      </w:pPr>
      <w:r>
        <w:t>Sala Segunda. Auto 144/1997, de 19 de mayo de 1997. Acordando la suspensión parcial de la ejecución del acto que origina el recurso de amparo 1.994/1996.</w:t>
      </w:r>
      <w:r>
        <w:tab/>
      </w:r>
      <w:r>
        <w:tab/>
      </w:r>
      <w:r>
        <w:fldChar w:fldCharType="begin"/>
      </w:r>
      <w:r>
        <w:instrText xml:space="preserve"> PAGEREF AUTO_1997_144 \h </w:instrText>
      </w:r>
      <w:r>
        <w:fldChar w:fldCharType="separate"/>
      </w:r>
      <w:r w:rsidR="00E14B47">
        <w:rPr>
          <w:noProof/>
        </w:rPr>
        <w:t>786</w:t>
      </w:r>
      <w:r>
        <w:fldChar w:fldCharType="end"/>
      </w:r>
    </w:p>
    <w:p w:rsidR="0084433F" w:rsidRDefault="0084433F" w:rsidP="0084433F"/>
    <w:p w:rsidR="0084433F" w:rsidRDefault="0084433F" w:rsidP="0084433F">
      <w:pPr>
        <w:pStyle w:val="EntradandiceAuto"/>
      </w:pPr>
      <w:r>
        <w:t>Sala Primera. Auto 145/1997, de 19 de mayo de 1997. Acordando la suspensión parcial de la ejecución del acto que origina el recurso de amparo 2.681/1996.</w:t>
      </w:r>
      <w:r>
        <w:tab/>
      </w:r>
      <w:r>
        <w:tab/>
      </w:r>
      <w:r>
        <w:fldChar w:fldCharType="begin"/>
      </w:r>
      <w:r>
        <w:instrText xml:space="preserve"> PAGEREF AUTO_1997_145 \h </w:instrText>
      </w:r>
      <w:r>
        <w:fldChar w:fldCharType="separate"/>
      </w:r>
      <w:r w:rsidR="00E14B47">
        <w:rPr>
          <w:noProof/>
        </w:rPr>
        <w:t>789</w:t>
      </w:r>
      <w:r>
        <w:fldChar w:fldCharType="end"/>
      </w:r>
    </w:p>
    <w:p w:rsidR="0084433F" w:rsidRDefault="0084433F" w:rsidP="0084433F"/>
    <w:p w:rsidR="0084433F" w:rsidRDefault="0084433F" w:rsidP="0084433F">
      <w:pPr>
        <w:pStyle w:val="EntradandiceAuto"/>
      </w:pPr>
      <w:r>
        <w:t>Sección Primera. Auto 146/1997, de 19 de mayo de 1997. Acordando el archivo de las actuaciones en el procedimiento 2.771/1996.</w:t>
      </w:r>
      <w:r>
        <w:tab/>
      </w:r>
      <w:r>
        <w:tab/>
      </w:r>
      <w:r>
        <w:fldChar w:fldCharType="begin"/>
      </w:r>
      <w:r>
        <w:instrText xml:space="preserve"> PAGEREF AUTO_1997_146 \h </w:instrText>
      </w:r>
      <w:r>
        <w:fldChar w:fldCharType="separate"/>
      </w:r>
      <w:r w:rsidR="00E14B47">
        <w:rPr>
          <w:noProof/>
        </w:rPr>
        <w:t>792</w:t>
      </w:r>
      <w:r>
        <w:fldChar w:fldCharType="end"/>
      </w:r>
    </w:p>
    <w:p w:rsidR="0084433F" w:rsidRDefault="0084433F" w:rsidP="0084433F"/>
    <w:p w:rsidR="0084433F" w:rsidRDefault="0084433F" w:rsidP="0084433F">
      <w:pPr>
        <w:pStyle w:val="EntradandiceAuto"/>
      </w:pPr>
      <w:r>
        <w:t>Sección Tercera. Auto 147/1997, de 19 de mayo de 1997. Acordando la inadmisión a trámite del recurso de amparo 2.905/1996.</w:t>
      </w:r>
      <w:r>
        <w:tab/>
      </w:r>
      <w:r>
        <w:tab/>
      </w:r>
      <w:r>
        <w:fldChar w:fldCharType="begin"/>
      </w:r>
      <w:r>
        <w:instrText xml:space="preserve"> PAGEREF AUTO_1997_147 \h </w:instrText>
      </w:r>
      <w:r>
        <w:fldChar w:fldCharType="separate"/>
      </w:r>
      <w:r w:rsidR="00E14B47">
        <w:rPr>
          <w:noProof/>
        </w:rPr>
        <w:t>793</w:t>
      </w:r>
      <w:r>
        <w:fldChar w:fldCharType="end"/>
      </w:r>
    </w:p>
    <w:p w:rsidR="0084433F" w:rsidRDefault="0084433F" w:rsidP="0084433F"/>
    <w:p w:rsidR="0084433F" w:rsidRDefault="0084433F" w:rsidP="0084433F">
      <w:pPr>
        <w:pStyle w:val="EntradandiceAuto"/>
      </w:pPr>
      <w:r>
        <w:t>Sección Tercera. Auto 148/1997, de 19 de mayo de 1997. Acordando la inadmisión a trámite del recurso de amparo 3.023/1996.</w:t>
      </w:r>
      <w:r>
        <w:tab/>
      </w:r>
      <w:r>
        <w:tab/>
      </w:r>
      <w:r>
        <w:fldChar w:fldCharType="begin"/>
      </w:r>
      <w:r>
        <w:instrText xml:space="preserve"> PAGEREF AUTO_1997_148 \h </w:instrText>
      </w:r>
      <w:r>
        <w:fldChar w:fldCharType="separate"/>
      </w:r>
      <w:r w:rsidR="00E14B47">
        <w:rPr>
          <w:noProof/>
        </w:rPr>
        <w:t>797</w:t>
      </w:r>
      <w:r>
        <w:fldChar w:fldCharType="end"/>
      </w:r>
    </w:p>
    <w:p w:rsidR="0084433F" w:rsidRDefault="0084433F" w:rsidP="0084433F"/>
    <w:p w:rsidR="0084433F" w:rsidRDefault="0084433F" w:rsidP="0084433F">
      <w:pPr>
        <w:pStyle w:val="EntradandiceAuto"/>
      </w:pPr>
      <w:r>
        <w:t>Sala Segunda. Auto 149/1997, de 19 de mayo de 1997. Acordando la suspensión parcial de la ejecución del acto que origina el recurso de amparo 3.124/1996.</w:t>
      </w:r>
      <w:r>
        <w:tab/>
      </w:r>
      <w:r>
        <w:tab/>
      </w:r>
      <w:r>
        <w:fldChar w:fldCharType="begin"/>
      </w:r>
      <w:r>
        <w:instrText xml:space="preserve"> PAGEREF AUTO_1997_149 \h </w:instrText>
      </w:r>
      <w:r>
        <w:fldChar w:fldCharType="separate"/>
      </w:r>
      <w:r w:rsidR="00E14B47">
        <w:rPr>
          <w:noProof/>
        </w:rPr>
        <w:t>807</w:t>
      </w:r>
      <w:r>
        <w:fldChar w:fldCharType="end"/>
      </w:r>
    </w:p>
    <w:p w:rsidR="0084433F" w:rsidRDefault="0084433F" w:rsidP="0084433F"/>
    <w:p w:rsidR="0084433F" w:rsidRDefault="0084433F" w:rsidP="0084433F">
      <w:pPr>
        <w:pStyle w:val="EntradandiceAuto"/>
      </w:pPr>
      <w:r>
        <w:t>Sala Primera. Auto 150/1997, de 19 de mayo de 1997. Declarando la extinción, por desaparición sobrevenida de su objeto, del recurso de amparo 3.808/1996.</w:t>
      </w:r>
      <w:r>
        <w:tab/>
      </w:r>
      <w:r>
        <w:tab/>
      </w:r>
      <w:r>
        <w:fldChar w:fldCharType="begin"/>
      </w:r>
      <w:r>
        <w:instrText xml:space="preserve"> PAGEREF AUTO_1997_150 \h </w:instrText>
      </w:r>
      <w:r>
        <w:fldChar w:fldCharType="separate"/>
      </w:r>
      <w:r w:rsidR="00E14B47">
        <w:rPr>
          <w:noProof/>
        </w:rPr>
        <w:t>810</w:t>
      </w:r>
      <w:r>
        <w:fldChar w:fldCharType="end"/>
      </w:r>
    </w:p>
    <w:p w:rsidR="0084433F" w:rsidRDefault="0084433F" w:rsidP="0084433F"/>
    <w:p w:rsidR="0084433F" w:rsidRDefault="0084433F" w:rsidP="0084433F">
      <w:pPr>
        <w:pStyle w:val="EntradandiceAuto"/>
      </w:pPr>
      <w:r>
        <w:t>Sala Segunda. Auto 151/1997, de 19 de mayo de 1997. Acordando la suspensión parcial de la ejecución del acto que origina el recurso de amparo 4.229/1996.</w:t>
      </w:r>
      <w:r>
        <w:tab/>
      </w:r>
      <w:r>
        <w:tab/>
      </w:r>
      <w:r>
        <w:fldChar w:fldCharType="begin"/>
      </w:r>
      <w:r>
        <w:instrText xml:space="preserve"> PAGEREF AUTO_1997_151 \h </w:instrText>
      </w:r>
      <w:r>
        <w:fldChar w:fldCharType="separate"/>
      </w:r>
      <w:r w:rsidR="00E14B47">
        <w:rPr>
          <w:noProof/>
        </w:rPr>
        <w:t>817</w:t>
      </w:r>
      <w:r>
        <w:fldChar w:fldCharType="end"/>
      </w:r>
    </w:p>
    <w:p w:rsidR="0084433F" w:rsidRDefault="0084433F" w:rsidP="0084433F"/>
    <w:p w:rsidR="0084433F" w:rsidRDefault="0084433F" w:rsidP="0084433F">
      <w:pPr>
        <w:pStyle w:val="EntradandiceAuto"/>
      </w:pPr>
      <w:r>
        <w:t>Sala Segunda. Auto 152/1997, de 19 de mayo de 1997. Acordando la suspensión parcial de la ejecución del acto que origina el recurso de amparo 4.231/1996.</w:t>
      </w:r>
      <w:r>
        <w:tab/>
      </w:r>
      <w:r>
        <w:tab/>
      </w:r>
      <w:r>
        <w:fldChar w:fldCharType="begin"/>
      </w:r>
      <w:r>
        <w:instrText xml:space="preserve"> PAGEREF AUTO_1997_152 \h </w:instrText>
      </w:r>
      <w:r>
        <w:fldChar w:fldCharType="separate"/>
      </w:r>
      <w:r w:rsidR="00E14B47">
        <w:rPr>
          <w:noProof/>
        </w:rPr>
        <w:t>820</w:t>
      </w:r>
      <w:r>
        <w:fldChar w:fldCharType="end"/>
      </w:r>
    </w:p>
    <w:p w:rsidR="0084433F" w:rsidRDefault="0084433F" w:rsidP="0084433F"/>
    <w:p w:rsidR="0084433F" w:rsidRDefault="0084433F" w:rsidP="0084433F">
      <w:pPr>
        <w:pStyle w:val="EntradandiceAuto"/>
      </w:pPr>
      <w:r>
        <w:t>Sala Segunda. Auto 153/1997, de 19 de mayo de 1997. Denegando la suspensión de la ejecución del acto que origina el recurso de amparo 4.233/1996.</w:t>
      </w:r>
      <w:r>
        <w:tab/>
      </w:r>
      <w:r>
        <w:tab/>
      </w:r>
      <w:r>
        <w:fldChar w:fldCharType="begin"/>
      </w:r>
      <w:r>
        <w:instrText xml:space="preserve"> PAGEREF AUTO_1997_153 \h </w:instrText>
      </w:r>
      <w:r>
        <w:fldChar w:fldCharType="separate"/>
      </w:r>
      <w:r w:rsidR="00E14B47">
        <w:rPr>
          <w:noProof/>
        </w:rPr>
        <w:t>823</w:t>
      </w:r>
      <w:r>
        <w:fldChar w:fldCharType="end"/>
      </w:r>
    </w:p>
    <w:p w:rsidR="0084433F" w:rsidRDefault="0084433F" w:rsidP="0084433F"/>
    <w:p w:rsidR="0084433F" w:rsidRDefault="0084433F" w:rsidP="0084433F">
      <w:pPr>
        <w:pStyle w:val="EntradandiceAuto"/>
      </w:pPr>
      <w:r>
        <w:t>Sección Tercera. Auto 154/1997, de 19 de mayo de 1997. Acordando la inadmisión a trámite del recurso de amparo 4.385/1996.</w:t>
      </w:r>
      <w:r>
        <w:tab/>
      </w:r>
      <w:r>
        <w:tab/>
      </w:r>
      <w:r>
        <w:fldChar w:fldCharType="begin"/>
      </w:r>
      <w:r>
        <w:instrText xml:space="preserve"> PAGEREF AUTO_1997_154 \h </w:instrText>
      </w:r>
      <w:r>
        <w:fldChar w:fldCharType="separate"/>
      </w:r>
      <w:r w:rsidR="00E14B47">
        <w:rPr>
          <w:noProof/>
        </w:rPr>
        <w:t>826</w:t>
      </w:r>
      <w:r>
        <w:fldChar w:fldCharType="end"/>
      </w:r>
    </w:p>
    <w:p w:rsidR="0084433F" w:rsidRDefault="0084433F" w:rsidP="0084433F"/>
    <w:p w:rsidR="0084433F" w:rsidRDefault="0084433F" w:rsidP="0084433F">
      <w:pPr>
        <w:pStyle w:val="EntradandiceAuto"/>
      </w:pPr>
      <w:r>
        <w:lastRenderedPageBreak/>
        <w:t>Sala Segunda. Auto 155/1997, de 19 de mayo de 1997. Acordando la suspensión condicionada de la ejecución del acto que origina el recurso de amparo 4.495/1996.</w:t>
      </w:r>
      <w:r>
        <w:tab/>
      </w:r>
      <w:r>
        <w:tab/>
      </w:r>
      <w:r>
        <w:fldChar w:fldCharType="begin"/>
      </w:r>
      <w:r>
        <w:instrText xml:space="preserve"> PAGEREF AUTO_1997_155 \h </w:instrText>
      </w:r>
      <w:r>
        <w:fldChar w:fldCharType="separate"/>
      </w:r>
      <w:r w:rsidR="00E14B47">
        <w:rPr>
          <w:noProof/>
        </w:rPr>
        <w:t>831</w:t>
      </w:r>
      <w:r>
        <w:fldChar w:fldCharType="end"/>
      </w:r>
    </w:p>
    <w:p w:rsidR="0084433F" w:rsidRDefault="0084433F" w:rsidP="0084433F"/>
    <w:p w:rsidR="0084433F" w:rsidRDefault="0084433F" w:rsidP="0084433F">
      <w:pPr>
        <w:pStyle w:val="EntradandiceAuto"/>
      </w:pPr>
      <w:r>
        <w:t>Sala Primera. Auto 156/1997, de 19 de mayo de 1997. Acordando la suspensión condicionada de la ejecución del acto que origina el recurso de amparo 4.538/1996.</w:t>
      </w:r>
      <w:r>
        <w:tab/>
      </w:r>
      <w:r>
        <w:tab/>
      </w:r>
      <w:r>
        <w:fldChar w:fldCharType="begin"/>
      </w:r>
      <w:r>
        <w:instrText xml:space="preserve"> PAGEREF AUTO_1997_156 \h </w:instrText>
      </w:r>
      <w:r>
        <w:fldChar w:fldCharType="separate"/>
      </w:r>
      <w:r w:rsidR="00E14B47">
        <w:rPr>
          <w:noProof/>
        </w:rPr>
        <w:t>835</w:t>
      </w:r>
      <w:r>
        <w:fldChar w:fldCharType="end"/>
      </w:r>
    </w:p>
    <w:p w:rsidR="0084433F" w:rsidRDefault="0084433F" w:rsidP="0084433F"/>
    <w:p w:rsidR="0084433F" w:rsidRDefault="0084433F" w:rsidP="0084433F">
      <w:pPr>
        <w:pStyle w:val="EntradandiceAuto"/>
      </w:pPr>
      <w:r>
        <w:t>Sección Tercera. Auto 157/1997, de 19 de mayo de 1997. Acordando la inadmisión a trámite del recurso de amparo 4.571/1996.</w:t>
      </w:r>
      <w:r>
        <w:tab/>
      </w:r>
      <w:r>
        <w:tab/>
      </w:r>
      <w:r>
        <w:fldChar w:fldCharType="begin"/>
      </w:r>
      <w:r>
        <w:instrText xml:space="preserve"> PAGEREF AUTO_1997_157 \h </w:instrText>
      </w:r>
      <w:r>
        <w:fldChar w:fldCharType="separate"/>
      </w:r>
      <w:r w:rsidR="00E14B47">
        <w:rPr>
          <w:noProof/>
        </w:rPr>
        <w:t>840</w:t>
      </w:r>
      <w:r>
        <w:fldChar w:fldCharType="end"/>
      </w:r>
    </w:p>
    <w:p w:rsidR="0084433F" w:rsidRDefault="0084433F" w:rsidP="0084433F"/>
    <w:p w:rsidR="0084433F" w:rsidRDefault="0084433F" w:rsidP="0084433F">
      <w:pPr>
        <w:pStyle w:val="EntradandiceAuto"/>
      </w:pPr>
      <w:r>
        <w:t>Sala Segunda. Auto 158/1997, de 19 de mayo de 1997. Acordando la suspensión parcial de la ejecución del acto que origina el recurso de amparo 211/1997.</w:t>
      </w:r>
      <w:r>
        <w:tab/>
      </w:r>
      <w:r>
        <w:tab/>
      </w:r>
      <w:r>
        <w:fldChar w:fldCharType="begin"/>
      </w:r>
      <w:r>
        <w:instrText xml:space="preserve"> PAGEREF AUTO_1997_158 \h </w:instrText>
      </w:r>
      <w:r>
        <w:fldChar w:fldCharType="separate"/>
      </w:r>
      <w:r w:rsidR="00E14B47">
        <w:rPr>
          <w:noProof/>
        </w:rPr>
        <w:t>845</w:t>
      </w:r>
      <w:r>
        <w:fldChar w:fldCharType="end"/>
      </w:r>
    </w:p>
    <w:p w:rsidR="0084433F" w:rsidRDefault="0084433F" w:rsidP="0084433F"/>
    <w:p w:rsidR="0084433F" w:rsidRDefault="0084433F" w:rsidP="0084433F">
      <w:pPr>
        <w:pStyle w:val="EntradandiceAuto"/>
      </w:pPr>
      <w:r>
        <w:t>Sala Primera. Auto 159/1997, de 19 de mayo de 1997. Acordando la acumulación de los recursos de amparo 448/1997 y 449/1997.</w:t>
      </w:r>
      <w:r>
        <w:tab/>
      </w:r>
      <w:r>
        <w:tab/>
      </w:r>
      <w:r>
        <w:fldChar w:fldCharType="begin"/>
      </w:r>
      <w:r>
        <w:instrText xml:space="preserve"> PAGEREF AUTO_1997_159 \h </w:instrText>
      </w:r>
      <w:r>
        <w:fldChar w:fldCharType="separate"/>
      </w:r>
      <w:r w:rsidR="00E14B47">
        <w:rPr>
          <w:noProof/>
        </w:rPr>
        <w:t>853</w:t>
      </w:r>
      <w:r>
        <w:fldChar w:fldCharType="end"/>
      </w:r>
    </w:p>
    <w:p w:rsidR="0084433F" w:rsidRDefault="0084433F" w:rsidP="0084433F"/>
    <w:p w:rsidR="0084433F" w:rsidRDefault="0084433F" w:rsidP="0084433F">
      <w:pPr>
        <w:pStyle w:val="EntradandiceAuto"/>
      </w:pPr>
      <w:r>
        <w:t>Pleno. Auto 160/1997, de 20 de mayo de 1997. Acordando la inadmisión a trámite de la cuestión de inconstitucionalidad 3.802/1996</w:t>
      </w:r>
      <w:r>
        <w:tab/>
      </w:r>
      <w:r>
        <w:tab/>
      </w:r>
      <w:r>
        <w:fldChar w:fldCharType="begin"/>
      </w:r>
      <w:r>
        <w:instrText xml:space="preserve"> PAGEREF AUTO_1997_160 \h </w:instrText>
      </w:r>
      <w:r>
        <w:fldChar w:fldCharType="separate"/>
      </w:r>
      <w:r w:rsidR="00E14B47">
        <w:rPr>
          <w:noProof/>
        </w:rPr>
        <w:t>854</w:t>
      </w:r>
      <w:r>
        <w:fldChar w:fldCharType="end"/>
      </w:r>
    </w:p>
    <w:p w:rsidR="0084433F" w:rsidRDefault="0084433F" w:rsidP="0084433F"/>
    <w:p w:rsidR="0084433F" w:rsidRDefault="0084433F" w:rsidP="0084433F">
      <w:pPr>
        <w:pStyle w:val="EntradandiceAuto"/>
      </w:pPr>
      <w:r>
        <w:t>Pleno. Auto 161/1997, de 20 de mayo de 1997. Acordando la inadmisión a trámite de la cuestión de inconstitucionalidad 3.803/1996</w:t>
      </w:r>
      <w:r>
        <w:tab/>
      </w:r>
      <w:r>
        <w:tab/>
      </w:r>
      <w:r>
        <w:fldChar w:fldCharType="begin"/>
      </w:r>
      <w:r>
        <w:instrText xml:space="preserve"> PAGEREF AUTO_1997_161 \h </w:instrText>
      </w:r>
      <w:r>
        <w:fldChar w:fldCharType="separate"/>
      </w:r>
      <w:r w:rsidR="00E14B47">
        <w:rPr>
          <w:noProof/>
        </w:rPr>
        <w:t>855</w:t>
      </w:r>
      <w:r>
        <w:fldChar w:fldCharType="end"/>
      </w:r>
    </w:p>
    <w:p w:rsidR="0084433F" w:rsidRDefault="0084433F" w:rsidP="0084433F"/>
    <w:p w:rsidR="0084433F" w:rsidRDefault="0084433F" w:rsidP="0084433F">
      <w:pPr>
        <w:pStyle w:val="EntradandiceAuto"/>
      </w:pPr>
      <w:r>
        <w:t>Pleno. Auto 162/1997, de 20 de mayo de 1997. Acordando la inadmisión a trámite de la cuestión de inconstitucionalidad 3.804/1996.</w:t>
      </w:r>
      <w:r>
        <w:tab/>
      </w:r>
      <w:r>
        <w:tab/>
      </w:r>
      <w:r>
        <w:fldChar w:fldCharType="begin"/>
      </w:r>
      <w:r>
        <w:instrText xml:space="preserve"> PAGEREF AUTO_1997_162 \h </w:instrText>
      </w:r>
      <w:r>
        <w:fldChar w:fldCharType="separate"/>
      </w:r>
      <w:r w:rsidR="00E14B47">
        <w:rPr>
          <w:noProof/>
        </w:rPr>
        <w:t>856</w:t>
      </w:r>
      <w:r>
        <w:fldChar w:fldCharType="end"/>
      </w:r>
    </w:p>
    <w:p w:rsidR="0084433F" w:rsidRDefault="0084433F" w:rsidP="0084433F"/>
    <w:p w:rsidR="0084433F" w:rsidRDefault="0084433F" w:rsidP="0084433F">
      <w:pPr>
        <w:pStyle w:val="EntradandiceAuto"/>
      </w:pPr>
      <w:r>
        <w:t>Pleno. Auto 163/1997, de 20 de mayo de 1997. Acordando la inadmisión a trámite de la cuestión de inconstitucionalidad 3.822/1996</w:t>
      </w:r>
      <w:r>
        <w:tab/>
      </w:r>
      <w:r>
        <w:tab/>
      </w:r>
      <w:r>
        <w:fldChar w:fldCharType="begin"/>
      </w:r>
      <w:r>
        <w:instrText xml:space="preserve"> PAGEREF AUTO_1997_163 \h </w:instrText>
      </w:r>
      <w:r>
        <w:fldChar w:fldCharType="separate"/>
      </w:r>
      <w:r w:rsidR="00E14B47">
        <w:rPr>
          <w:noProof/>
        </w:rPr>
        <w:t>857</w:t>
      </w:r>
      <w:r>
        <w:fldChar w:fldCharType="end"/>
      </w:r>
    </w:p>
    <w:p w:rsidR="0084433F" w:rsidRDefault="0084433F" w:rsidP="0084433F"/>
    <w:p w:rsidR="0084433F" w:rsidRDefault="0084433F" w:rsidP="0084433F">
      <w:pPr>
        <w:pStyle w:val="EntradandiceAuto"/>
      </w:pPr>
      <w:r>
        <w:t>Pleno. Auto 164/1997, de 20 de mayo de 1997. Acordando la inadmisión a trámite de la cuestión de inconstitucionalidad 3.823/1996</w:t>
      </w:r>
      <w:r>
        <w:tab/>
      </w:r>
      <w:r>
        <w:tab/>
      </w:r>
      <w:r>
        <w:fldChar w:fldCharType="begin"/>
      </w:r>
      <w:r>
        <w:instrText xml:space="preserve"> PAGEREF AUTO_1997_164 \h </w:instrText>
      </w:r>
      <w:r>
        <w:fldChar w:fldCharType="separate"/>
      </w:r>
      <w:r w:rsidR="00E14B47">
        <w:rPr>
          <w:noProof/>
        </w:rPr>
        <w:t>858</w:t>
      </w:r>
      <w:r>
        <w:fldChar w:fldCharType="end"/>
      </w:r>
    </w:p>
    <w:p w:rsidR="0084433F" w:rsidRDefault="0084433F" w:rsidP="0084433F"/>
    <w:p w:rsidR="0084433F" w:rsidRDefault="0084433F" w:rsidP="0084433F">
      <w:pPr>
        <w:pStyle w:val="EntradandiceAuto"/>
      </w:pPr>
      <w:r>
        <w:t>Pleno. Auto 165/1997, de 20 de mayo de 1997. Acordando la inadmisión a trámite de la cuestión de inconstitucionalidad 4.382/1996</w:t>
      </w:r>
      <w:r>
        <w:tab/>
      </w:r>
      <w:r>
        <w:tab/>
      </w:r>
      <w:r>
        <w:fldChar w:fldCharType="begin"/>
      </w:r>
      <w:r>
        <w:instrText xml:space="preserve"> PAGEREF AUTO_1997_165 \h </w:instrText>
      </w:r>
      <w:r>
        <w:fldChar w:fldCharType="separate"/>
      </w:r>
      <w:r w:rsidR="00E14B47">
        <w:rPr>
          <w:noProof/>
        </w:rPr>
        <w:t>859</w:t>
      </w:r>
      <w:r>
        <w:fldChar w:fldCharType="end"/>
      </w:r>
    </w:p>
    <w:p w:rsidR="0084433F" w:rsidRDefault="0084433F" w:rsidP="0084433F"/>
    <w:p w:rsidR="0084433F" w:rsidRDefault="0084433F" w:rsidP="0084433F">
      <w:pPr>
        <w:pStyle w:val="EntradandiceAuto"/>
      </w:pPr>
      <w:r>
        <w:t>Pleno. Auto 166/1997, de 20 de mayo de 1997. Acordando la inadmisión a trámite de la cuestión de inconstitucionalidad 4.383/1996</w:t>
      </w:r>
      <w:r>
        <w:tab/>
      </w:r>
      <w:r>
        <w:tab/>
      </w:r>
      <w:r>
        <w:fldChar w:fldCharType="begin"/>
      </w:r>
      <w:r>
        <w:instrText xml:space="preserve"> PAGEREF AUTO_1997_166 \h </w:instrText>
      </w:r>
      <w:r>
        <w:fldChar w:fldCharType="separate"/>
      </w:r>
      <w:r w:rsidR="00E14B47">
        <w:rPr>
          <w:noProof/>
        </w:rPr>
        <w:t>860</w:t>
      </w:r>
      <w:r>
        <w:fldChar w:fldCharType="end"/>
      </w:r>
    </w:p>
    <w:p w:rsidR="0084433F" w:rsidRDefault="0084433F" w:rsidP="0084433F"/>
    <w:p w:rsidR="0084433F" w:rsidRDefault="0084433F" w:rsidP="0084433F">
      <w:pPr>
        <w:pStyle w:val="EntradandiceAuto"/>
      </w:pPr>
      <w:r>
        <w:lastRenderedPageBreak/>
        <w:t>Pleno. Auto 167/1997, de 20 de mayo de 1997. Acordando la inadmisión a trámite de la cuestión de inconstitucionalidad 4.384/1996</w:t>
      </w:r>
      <w:r>
        <w:tab/>
      </w:r>
      <w:r>
        <w:tab/>
      </w:r>
      <w:r>
        <w:fldChar w:fldCharType="begin"/>
      </w:r>
      <w:r>
        <w:instrText xml:space="preserve"> PAGEREF AUTO_1997_167 \h </w:instrText>
      </w:r>
      <w:r>
        <w:fldChar w:fldCharType="separate"/>
      </w:r>
      <w:r w:rsidR="00E14B47">
        <w:rPr>
          <w:noProof/>
        </w:rPr>
        <w:t>861</w:t>
      </w:r>
      <w:r>
        <w:fldChar w:fldCharType="end"/>
      </w:r>
    </w:p>
    <w:p w:rsidR="0084433F" w:rsidRDefault="0084433F" w:rsidP="0084433F"/>
    <w:p w:rsidR="0084433F" w:rsidRDefault="0084433F" w:rsidP="0084433F">
      <w:pPr>
        <w:pStyle w:val="EntradandiceAuto"/>
      </w:pPr>
      <w:r>
        <w:t>Pleno. Auto 168/1997, de 20 de mayo de 1997. Acordando la inadmisión a trámite de la cuestión de inconstitucionalidad 4.397/1996</w:t>
      </w:r>
      <w:r>
        <w:tab/>
      </w:r>
      <w:r>
        <w:tab/>
      </w:r>
      <w:r>
        <w:fldChar w:fldCharType="begin"/>
      </w:r>
      <w:r>
        <w:instrText xml:space="preserve"> PAGEREF AUTO_1997_168 \h </w:instrText>
      </w:r>
      <w:r>
        <w:fldChar w:fldCharType="separate"/>
      </w:r>
      <w:r w:rsidR="00E14B47">
        <w:rPr>
          <w:noProof/>
        </w:rPr>
        <w:t>862</w:t>
      </w:r>
      <w:r>
        <w:fldChar w:fldCharType="end"/>
      </w:r>
    </w:p>
    <w:p w:rsidR="0084433F" w:rsidRDefault="0084433F" w:rsidP="0084433F"/>
    <w:p w:rsidR="0084433F" w:rsidRDefault="0084433F" w:rsidP="0084433F">
      <w:pPr>
        <w:pStyle w:val="EntradandiceAuto"/>
      </w:pPr>
      <w:r>
        <w:t>Pleno. Auto 169/1997, de 20 de mayo de 1997. Acordando la inadmisión a trámite de la cuestión de inconstitucionalidad 4.398/1996</w:t>
      </w:r>
      <w:r>
        <w:tab/>
      </w:r>
      <w:r>
        <w:tab/>
      </w:r>
      <w:r>
        <w:fldChar w:fldCharType="begin"/>
      </w:r>
      <w:r>
        <w:instrText xml:space="preserve"> PAGEREF AUTO_1997_169 \h </w:instrText>
      </w:r>
      <w:r>
        <w:fldChar w:fldCharType="separate"/>
      </w:r>
      <w:r w:rsidR="00E14B47">
        <w:rPr>
          <w:noProof/>
        </w:rPr>
        <w:t>863</w:t>
      </w:r>
      <w:r>
        <w:fldChar w:fldCharType="end"/>
      </w:r>
    </w:p>
    <w:p w:rsidR="0084433F" w:rsidRDefault="0084433F" w:rsidP="0084433F"/>
    <w:p w:rsidR="0084433F" w:rsidRDefault="0084433F" w:rsidP="0084433F">
      <w:pPr>
        <w:pStyle w:val="EntradandiceAuto"/>
      </w:pPr>
      <w:r>
        <w:t>Pleno. Auto 170/1997, de 20 de mayo de 1997. Acordando la inadmisión a trámite de la cuestión de inconstitucionalidad 272/1997</w:t>
      </w:r>
      <w:r>
        <w:tab/>
      </w:r>
      <w:r>
        <w:tab/>
      </w:r>
      <w:r>
        <w:fldChar w:fldCharType="begin"/>
      </w:r>
      <w:r>
        <w:instrText xml:space="preserve"> PAGEREF AUTO_1997_170 \h </w:instrText>
      </w:r>
      <w:r>
        <w:fldChar w:fldCharType="separate"/>
      </w:r>
      <w:r w:rsidR="00E14B47">
        <w:rPr>
          <w:noProof/>
        </w:rPr>
        <w:t>864</w:t>
      </w:r>
      <w:r>
        <w:fldChar w:fldCharType="end"/>
      </w:r>
    </w:p>
    <w:p w:rsidR="0084433F" w:rsidRDefault="0084433F" w:rsidP="0084433F"/>
    <w:p w:rsidR="0084433F" w:rsidRDefault="0084433F" w:rsidP="0084433F">
      <w:pPr>
        <w:pStyle w:val="EntradandiceAuto"/>
      </w:pPr>
      <w:r>
        <w:t>Pleno. Auto 171/1997, de 20 de mayo de 1997. Acordando la inadmisión a trámite de la cuestión de inconstitucionalidad 273/1997</w:t>
      </w:r>
      <w:r>
        <w:tab/>
      </w:r>
      <w:r>
        <w:tab/>
      </w:r>
      <w:r>
        <w:fldChar w:fldCharType="begin"/>
      </w:r>
      <w:r>
        <w:instrText xml:space="preserve"> PAGEREF AUTO_1997_171 \h </w:instrText>
      </w:r>
      <w:r>
        <w:fldChar w:fldCharType="separate"/>
      </w:r>
      <w:r w:rsidR="00E14B47">
        <w:rPr>
          <w:noProof/>
        </w:rPr>
        <w:t>865</w:t>
      </w:r>
      <w:r>
        <w:fldChar w:fldCharType="end"/>
      </w:r>
    </w:p>
    <w:p w:rsidR="0084433F" w:rsidRDefault="0084433F" w:rsidP="0084433F"/>
    <w:p w:rsidR="0084433F" w:rsidRDefault="0084433F" w:rsidP="0084433F">
      <w:pPr>
        <w:pStyle w:val="EntradandiceAuto"/>
      </w:pPr>
      <w:r>
        <w:t>Pleno. Auto 172/1997, de 20 de mayo de 1997. Acuerda la inadmisión de la cuestión de inconstitucionalidad 281/1997.</w:t>
      </w:r>
      <w:r>
        <w:tab/>
      </w:r>
      <w:r>
        <w:tab/>
      </w:r>
      <w:r>
        <w:fldChar w:fldCharType="begin"/>
      </w:r>
      <w:r>
        <w:instrText xml:space="preserve"> PAGEREF AUTO_1997_172 \h </w:instrText>
      </w:r>
      <w:r>
        <w:fldChar w:fldCharType="separate"/>
      </w:r>
      <w:r w:rsidR="00E14B47">
        <w:rPr>
          <w:noProof/>
        </w:rPr>
        <w:t>866</w:t>
      </w:r>
      <w:r>
        <w:fldChar w:fldCharType="end"/>
      </w:r>
    </w:p>
    <w:p w:rsidR="0084433F" w:rsidRDefault="0084433F" w:rsidP="0084433F"/>
    <w:p w:rsidR="0084433F" w:rsidRDefault="0084433F" w:rsidP="0084433F">
      <w:pPr>
        <w:pStyle w:val="EntradandiceAuto"/>
      </w:pPr>
      <w:r>
        <w:t>Pleno. Auto 173/1997, de 20 de mayo de 1997. Acuerda el desistimiento parcialmente al Gobierno de la Nación del recurso de inconstitucionalidad número 1.297/97</w:t>
      </w:r>
      <w:r>
        <w:tab/>
      </w:r>
      <w:r>
        <w:tab/>
      </w:r>
      <w:r>
        <w:fldChar w:fldCharType="begin"/>
      </w:r>
      <w:r>
        <w:instrText xml:space="preserve"> PAGEREF AUTO_1997_173 \h </w:instrText>
      </w:r>
      <w:r>
        <w:fldChar w:fldCharType="separate"/>
      </w:r>
      <w:r w:rsidR="00E14B47">
        <w:rPr>
          <w:noProof/>
        </w:rPr>
        <w:t>867</w:t>
      </w:r>
      <w:r>
        <w:fldChar w:fldCharType="end"/>
      </w:r>
    </w:p>
    <w:p w:rsidR="0084433F" w:rsidRDefault="0084433F" w:rsidP="0084433F"/>
    <w:p w:rsidR="0084433F" w:rsidRDefault="0084433F" w:rsidP="0084433F">
      <w:pPr>
        <w:pStyle w:val="EntradandiceAuto"/>
      </w:pPr>
      <w:r>
        <w:t>Sección Cuarta. Auto 174/1997, de 21 de mayo de 1997. Acordando la inadmisión a trámite del recurso de amparo 112/1996.</w:t>
      </w:r>
      <w:r>
        <w:tab/>
      </w:r>
      <w:r>
        <w:tab/>
      </w:r>
      <w:r>
        <w:fldChar w:fldCharType="begin"/>
      </w:r>
      <w:r>
        <w:instrText xml:space="preserve"> PAGEREF AUTO_1997_174 \h </w:instrText>
      </w:r>
      <w:r>
        <w:fldChar w:fldCharType="separate"/>
      </w:r>
      <w:r w:rsidR="00E14B47">
        <w:rPr>
          <w:noProof/>
        </w:rPr>
        <w:t>870</w:t>
      </w:r>
      <w:r>
        <w:fldChar w:fldCharType="end"/>
      </w:r>
    </w:p>
    <w:p w:rsidR="0084433F" w:rsidRDefault="0084433F" w:rsidP="0084433F"/>
    <w:p w:rsidR="0084433F" w:rsidRDefault="0084433F" w:rsidP="0084433F">
      <w:pPr>
        <w:pStyle w:val="EntradandiceAuto"/>
      </w:pPr>
      <w:r>
        <w:t>Sección Cuarta. Auto 175/1997, de 21 de mayo de 1997. Acordando la inadmisión a trámite del recurso de amparo 2.538/1996.</w:t>
      </w:r>
      <w:r>
        <w:tab/>
      </w:r>
      <w:r>
        <w:tab/>
      </w:r>
      <w:r>
        <w:fldChar w:fldCharType="begin"/>
      </w:r>
      <w:r>
        <w:instrText xml:space="preserve"> PAGEREF AUTO_1997_175 \h </w:instrText>
      </w:r>
      <w:r>
        <w:fldChar w:fldCharType="separate"/>
      </w:r>
      <w:r w:rsidR="00E14B47">
        <w:rPr>
          <w:noProof/>
        </w:rPr>
        <w:t>875</w:t>
      </w:r>
      <w:r>
        <w:fldChar w:fldCharType="end"/>
      </w:r>
    </w:p>
    <w:p w:rsidR="0084433F" w:rsidRDefault="0084433F" w:rsidP="0084433F"/>
    <w:p w:rsidR="0084433F" w:rsidRDefault="0084433F" w:rsidP="0084433F">
      <w:pPr>
        <w:pStyle w:val="EntradandiceAuto"/>
      </w:pPr>
      <w:r>
        <w:t>Sección Cuarta. Auto 176/1997, de 21 de mayo de 1997. Desestimando recurso de súplica contra providencia de 9 de abril de 1997, dictada en el recurso de amparo 4.297/1996.</w:t>
      </w:r>
      <w:r>
        <w:tab/>
      </w:r>
      <w:r>
        <w:tab/>
      </w:r>
      <w:r>
        <w:fldChar w:fldCharType="begin"/>
      </w:r>
      <w:r>
        <w:instrText xml:space="preserve"> PAGEREF AUTO_1997_176 \h </w:instrText>
      </w:r>
      <w:r>
        <w:fldChar w:fldCharType="separate"/>
      </w:r>
      <w:r w:rsidR="00E14B47">
        <w:rPr>
          <w:noProof/>
        </w:rPr>
        <w:t>882</w:t>
      </w:r>
      <w:r>
        <w:fldChar w:fldCharType="end"/>
      </w:r>
    </w:p>
    <w:p w:rsidR="0084433F" w:rsidRDefault="0084433F" w:rsidP="0084433F"/>
    <w:p w:rsidR="0084433F" w:rsidRDefault="0084433F" w:rsidP="0084433F">
      <w:pPr>
        <w:pStyle w:val="EntradandiceAuto"/>
      </w:pPr>
      <w:r>
        <w:t>Sección Tercera. Auto 177/1997, de 2 de junio de 1997. Acuerda el desistimiento en el recurso de amparo 4.446/1995, promovido en proceso contencioso-administrativo.</w:t>
      </w:r>
      <w:r>
        <w:tab/>
      </w:r>
      <w:r>
        <w:tab/>
      </w:r>
      <w:r>
        <w:fldChar w:fldCharType="begin"/>
      </w:r>
      <w:r>
        <w:instrText xml:space="preserve"> PAGEREF AUTO_1997_177 \h </w:instrText>
      </w:r>
      <w:r>
        <w:fldChar w:fldCharType="separate"/>
      </w:r>
      <w:r w:rsidR="00E14B47">
        <w:rPr>
          <w:noProof/>
        </w:rPr>
        <w:t>885</w:t>
      </w:r>
      <w:r>
        <w:fldChar w:fldCharType="end"/>
      </w:r>
    </w:p>
    <w:p w:rsidR="0084433F" w:rsidRDefault="0084433F" w:rsidP="0084433F"/>
    <w:p w:rsidR="0084433F" w:rsidRDefault="0084433F" w:rsidP="0084433F">
      <w:pPr>
        <w:pStyle w:val="EntradandiceAuto"/>
      </w:pPr>
      <w:r>
        <w:t>Sección Tercera. Auto 178/1997, de 2 de junio de 1997. Acuerda el desistimiento en el recurso de amparo 1.422/1996, promovido en causa penal.</w:t>
      </w:r>
      <w:r>
        <w:tab/>
      </w:r>
      <w:r>
        <w:tab/>
      </w:r>
      <w:r>
        <w:fldChar w:fldCharType="begin"/>
      </w:r>
      <w:r>
        <w:instrText xml:space="preserve"> PAGEREF AUTO_1997_178 \h </w:instrText>
      </w:r>
      <w:r>
        <w:fldChar w:fldCharType="separate"/>
      </w:r>
      <w:r w:rsidR="00E14B47">
        <w:rPr>
          <w:noProof/>
        </w:rPr>
        <w:t>886</w:t>
      </w:r>
      <w:r>
        <w:fldChar w:fldCharType="end"/>
      </w:r>
    </w:p>
    <w:p w:rsidR="0084433F" w:rsidRDefault="0084433F" w:rsidP="0084433F"/>
    <w:p w:rsidR="0084433F" w:rsidRDefault="0084433F" w:rsidP="0084433F">
      <w:pPr>
        <w:pStyle w:val="EntradandiceAuto"/>
      </w:pPr>
      <w:r>
        <w:lastRenderedPageBreak/>
        <w:t>Sala Segunda. Auto 179/1997, de 2 de junio de 1997. Acordando haber lugar al desistimiento del actor en el recurso de amparo 1.763/1996.</w:t>
      </w:r>
      <w:r>
        <w:tab/>
      </w:r>
      <w:r>
        <w:tab/>
      </w:r>
      <w:r>
        <w:fldChar w:fldCharType="begin"/>
      </w:r>
      <w:r>
        <w:instrText xml:space="preserve"> PAGEREF AUTO_1997_179 \h </w:instrText>
      </w:r>
      <w:r>
        <w:fldChar w:fldCharType="separate"/>
      </w:r>
      <w:r w:rsidR="00E14B47">
        <w:rPr>
          <w:noProof/>
        </w:rPr>
        <w:t>887</w:t>
      </w:r>
      <w:r>
        <w:fldChar w:fldCharType="end"/>
      </w:r>
    </w:p>
    <w:p w:rsidR="0084433F" w:rsidRDefault="0084433F" w:rsidP="0084433F"/>
    <w:p w:rsidR="0084433F" w:rsidRDefault="0084433F" w:rsidP="0084433F">
      <w:pPr>
        <w:pStyle w:val="EntradandiceAuto"/>
      </w:pPr>
      <w:r>
        <w:t>Sala Segunda. Auto 180/1997, de 2 de junio de 1997. Denegando la suspensión de la ejecución del acto que origina el recurso de amparo 1.956/1996.</w:t>
      </w:r>
      <w:r>
        <w:tab/>
      </w:r>
      <w:r>
        <w:tab/>
      </w:r>
      <w:r>
        <w:fldChar w:fldCharType="begin"/>
      </w:r>
      <w:r>
        <w:instrText xml:space="preserve"> PAGEREF AUTO_1997_180 \h </w:instrText>
      </w:r>
      <w:r>
        <w:fldChar w:fldCharType="separate"/>
      </w:r>
      <w:r w:rsidR="00E14B47">
        <w:rPr>
          <w:noProof/>
        </w:rPr>
        <w:t>888</w:t>
      </w:r>
      <w:r>
        <w:fldChar w:fldCharType="end"/>
      </w:r>
    </w:p>
    <w:p w:rsidR="0084433F" w:rsidRDefault="0084433F" w:rsidP="0084433F"/>
    <w:p w:rsidR="0084433F" w:rsidRDefault="0084433F" w:rsidP="0084433F">
      <w:pPr>
        <w:pStyle w:val="EntradandiceAuto"/>
      </w:pPr>
      <w:r>
        <w:t>Sala Segunda. Auto 181/1997, de 2 de junio de 1997. Acordando la suspensión de la ejecución del acto que origina el recurso de amparo 2.014/1996.</w:t>
      </w:r>
      <w:r>
        <w:tab/>
      </w:r>
      <w:r>
        <w:tab/>
      </w:r>
      <w:r>
        <w:fldChar w:fldCharType="begin"/>
      </w:r>
      <w:r>
        <w:instrText xml:space="preserve"> PAGEREF AUTO_1997_181 \h </w:instrText>
      </w:r>
      <w:r>
        <w:fldChar w:fldCharType="separate"/>
      </w:r>
      <w:r w:rsidR="00E14B47">
        <w:rPr>
          <w:noProof/>
        </w:rPr>
        <w:t>891</w:t>
      </w:r>
      <w:r>
        <w:fldChar w:fldCharType="end"/>
      </w:r>
    </w:p>
    <w:p w:rsidR="0084433F" w:rsidRDefault="0084433F" w:rsidP="0084433F"/>
    <w:p w:rsidR="0084433F" w:rsidRDefault="0084433F" w:rsidP="0084433F">
      <w:pPr>
        <w:pStyle w:val="EntradandiceAuto"/>
      </w:pPr>
      <w:r>
        <w:t>Sección Segunda. Auto 182/1997, de 2 de junio de 1997. Acordando la inadmisión a trámite del recurso de amparo 2.356/1996.</w:t>
      </w:r>
      <w:r>
        <w:tab/>
      </w:r>
      <w:r>
        <w:tab/>
      </w:r>
      <w:r>
        <w:fldChar w:fldCharType="begin"/>
      </w:r>
      <w:r>
        <w:instrText xml:space="preserve"> PAGEREF AUTO_1997_182 \h </w:instrText>
      </w:r>
      <w:r>
        <w:fldChar w:fldCharType="separate"/>
      </w:r>
      <w:r w:rsidR="00E14B47">
        <w:rPr>
          <w:noProof/>
        </w:rPr>
        <w:t>894</w:t>
      </w:r>
      <w:r>
        <w:fldChar w:fldCharType="end"/>
      </w:r>
    </w:p>
    <w:p w:rsidR="0084433F" w:rsidRDefault="0084433F" w:rsidP="0084433F"/>
    <w:p w:rsidR="0084433F" w:rsidRDefault="0084433F" w:rsidP="0084433F">
      <w:pPr>
        <w:pStyle w:val="EntradandiceAuto"/>
      </w:pPr>
      <w:r>
        <w:t>Sala Segunda. Auto 183/1997, de 2 de junio de 1997. Acordando la suspensión de la ejecución del acto que origina el recurso de amparo 2.677/1996.</w:t>
      </w:r>
      <w:r>
        <w:tab/>
      </w:r>
      <w:r>
        <w:tab/>
      </w:r>
      <w:r>
        <w:fldChar w:fldCharType="begin"/>
      </w:r>
      <w:r>
        <w:instrText xml:space="preserve"> PAGEREF AUTO_1997_183 \h </w:instrText>
      </w:r>
      <w:r>
        <w:fldChar w:fldCharType="separate"/>
      </w:r>
      <w:r w:rsidR="00E14B47">
        <w:rPr>
          <w:noProof/>
        </w:rPr>
        <w:t>897</w:t>
      </w:r>
      <w:r>
        <w:fldChar w:fldCharType="end"/>
      </w:r>
    </w:p>
    <w:p w:rsidR="0084433F" w:rsidRDefault="0084433F" w:rsidP="0084433F"/>
    <w:p w:rsidR="0084433F" w:rsidRDefault="0084433F" w:rsidP="0084433F">
      <w:pPr>
        <w:pStyle w:val="EntradandiceAuto"/>
      </w:pPr>
      <w:r>
        <w:t>Sala Segunda. Auto 184/1997, de 2 de junio de 1997. Denegando la suspensión de la ejecución del acto que origina el recurso de amparo 3.013/1996.</w:t>
      </w:r>
      <w:r>
        <w:tab/>
      </w:r>
      <w:r>
        <w:tab/>
      </w:r>
      <w:r>
        <w:fldChar w:fldCharType="begin"/>
      </w:r>
      <w:r>
        <w:instrText xml:space="preserve"> PAGEREF AUTO_1997_184 \h </w:instrText>
      </w:r>
      <w:r>
        <w:fldChar w:fldCharType="separate"/>
      </w:r>
      <w:r w:rsidR="00E14B47">
        <w:rPr>
          <w:noProof/>
        </w:rPr>
        <w:t>900</w:t>
      </w:r>
      <w:r>
        <w:fldChar w:fldCharType="end"/>
      </w:r>
    </w:p>
    <w:p w:rsidR="0084433F" w:rsidRDefault="0084433F" w:rsidP="0084433F"/>
    <w:p w:rsidR="0084433F" w:rsidRDefault="0084433F" w:rsidP="0084433F">
      <w:pPr>
        <w:pStyle w:val="EntradandiceAuto"/>
      </w:pPr>
      <w:r>
        <w:t>Sala Segunda. Auto 185/1997, de 2 de junio de 1997. Acordando la suspensión parcial de la ejecución del acto que origina el recurso de amparo 3.821/1996.</w:t>
      </w:r>
      <w:r>
        <w:tab/>
      </w:r>
      <w:r>
        <w:tab/>
      </w:r>
      <w:r>
        <w:fldChar w:fldCharType="begin"/>
      </w:r>
      <w:r>
        <w:instrText xml:space="preserve"> PAGEREF AUTO_1997_185 \h </w:instrText>
      </w:r>
      <w:r>
        <w:fldChar w:fldCharType="separate"/>
      </w:r>
      <w:r w:rsidR="00E14B47">
        <w:rPr>
          <w:noProof/>
        </w:rPr>
        <w:t>902</w:t>
      </w:r>
      <w:r>
        <w:fldChar w:fldCharType="end"/>
      </w:r>
    </w:p>
    <w:p w:rsidR="0084433F" w:rsidRDefault="0084433F" w:rsidP="0084433F"/>
    <w:p w:rsidR="0084433F" w:rsidRDefault="0084433F" w:rsidP="0084433F">
      <w:pPr>
        <w:pStyle w:val="EntradandiceAuto"/>
      </w:pPr>
      <w:r>
        <w:t>Sala Segunda. Auto 186/1997, de 2 de junio de 1997. Acordando la suspensión parcial de la ejecución del acto que origina el recurso de amparo 4.120/1996.</w:t>
      </w:r>
      <w:r>
        <w:tab/>
      </w:r>
      <w:r>
        <w:tab/>
      </w:r>
      <w:r>
        <w:fldChar w:fldCharType="begin"/>
      </w:r>
      <w:r>
        <w:instrText xml:space="preserve"> PAGEREF AUTO_1997_186 \h </w:instrText>
      </w:r>
      <w:r>
        <w:fldChar w:fldCharType="separate"/>
      </w:r>
      <w:r w:rsidR="00E14B47">
        <w:rPr>
          <w:noProof/>
        </w:rPr>
        <w:t>905</w:t>
      </w:r>
      <w:r>
        <w:fldChar w:fldCharType="end"/>
      </w:r>
    </w:p>
    <w:p w:rsidR="0084433F" w:rsidRDefault="0084433F" w:rsidP="0084433F"/>
    <w:p w:rsidR="0084433F" w:rsidRDefault="0084433F" w:rsidP="0084433F">
      <w:pPr>
        <w:pStyle w:val="EntradandiceAuto"/>
      </w:pPr>
      <w:r>
        <w:t>Sección Segunda. Auto 187/1997, de 2 de junio de 1997. Declarando la extinción, por satisfacción extraprocesal, del recurso de amparo 297/1997.</w:t>
      </w:r>
      <w:r>
        <w:tab/>
      </w:r>
      <w:r>
        <w:tab/>
      </w:r>
      <w:r>
        <w:fldChar w:fldCharType="begin"/>
      </w:r>
      <w:r>
        <w:instrText xml:space="preserve"> PAGEREF AUTO_1997_187 \h </w:instrText>
      </w:r>
      <w:r>
        <w:fldChar w:fldCharType="separate"/>
      </w:r>
      <w:r w:rsidR="00E14B47">
        <w:rPr>
          <w:noProof/>
        </w:rPr>
        <w:t>908</w:t>
      </w:r>
      <w:r>
        <w:fldChar w:fldCharType="end"/>
      </w:r>
    </w:p>
    <w:p w:rsidR="0084433F" w:rsidRDefault="0084433F" w:rsidP="0084433F"/>
    <w:p w:rsidR="0084433F" w:rsidRDefault="0084433F" w:rsidP="0084433F">
      <w:pPr>
        <w:pStyle w:val="EntradandiceAuto"/>
      </w:pPr>
      <w:r>
        <w:t>Sección Tercera. Auto 188/1997, de 2 de junio de 1997. Acuerda el desistimiento en el recurso de amparo 518/1997, promovido en litigio social.</w:t>
      </w:r>
      <w:r>
        <w:tab/>
      </w:r>
      <w:r>
        <w:tab/>
      </w:r>
      <w:r>
        <w:fldChar w:fldCharType="begin"/>
      </w:r>
      <w:r>
        <w:instrText xml:space="preserve"> PAGEREF AUTO_1997_188 \h </w:instrText>
      </w:r>
      <w:r>
        <w:fldChar w:fldCharType="separate"/>
      </w:r>
      <w:r w:rsidR="00E14B47">
        <w:rPr>
          <w:noProof/>
        </w:rPr>
        <w:t>909</w:t>
      </w:r>
      <w:r>
        <w:fldChar w:fldCharType="end"/>
      </w:r>
    </w:p>
    <w:p w:rsidR="0084433F" w:rsidRDefault="0084433F" w:rsidP="0084433F"/>
    <w:p w:rsidR="0084433F" w:rsidRDefault="0084433F" w:rsidP="0084433F">
      <w:pPr>
        <w:pStyle w:val="EntradandiceAuto"/>
      </w:pPr>
      <w:r>
        <w:t>Pleno. Auto 189/1997, de 3 de junio de 1997. Declarando concluida, por falta de objeto, la impugnación 13/1988 promovida al amparo del Título V de la LOTC.</w:t>
      </w:r>
      <w:r>
        <w:tab/>
      </w:r>
      <w:r>
        <w:tab/>
      </w:r>
      <w:r>
        <w:fldChar w:fldCharType="begin"/>
      </w:r>
      <w:r>
        <w:instrText xml:space="preserve"> PAGEREF AUTO_1997_189 \h </w:instrText>
      </w:r>
      <w:r>
        <w:fldChar w:fldCharType="separate"/>
      </w:r>
      <w:r w:rsidR="00E14B47">
        <w:rPr>
          <w:noProof/>
        </w:rPr>
        <w:t>910</w:t>
      </w:r>
      <w:r>
        <w:fldChar w:fldCharType="end"/>
      </w:r>
    </w:p>
    <w:p w:rsidR="0084433F" w:rsidRDefault="0084433F" w:rsidP="0084433F"/>
    <w:p w:rsidR="0084433F" w:rsidRDefault="0084433F" w:rsidP="0084433F">
      <w:pPr>
        <w:pStyle w:val="EntradandiceAuto"/>
      </w:pPr>
      <w:r>
        <w:t>Pleno. Auto 190/1997, de 3 de junio de 1997. Acordando haber lugar al desistimiento del actor en el conflicto positivo de competencia 904/1990.</w:t>
      </w:r>
      <w:r>
        <w:tab/>
      </w:r>
      <w:r>
        <w:tab/>
      </w:r>
      <w:r>
        <w:fldChar w:fldCharType="begin"/>
      </w:r>
      <w:r>
        <w:instrText xml:space="preserve"> PAGEREF AUTO_1997_190 \h </w:instrText>
      </w:r>
      <w:r>
        <w:fldChar w:fldCharType="separate"/>
      </w:r>
      <w:r w:rsidR="00E14B47">
        <w:rPr>
          <w:noProof/>
        </w:rPr>
        <w:t>914</w:t>
      </w:r>
      <w:r>
        <w:fldChar w:fldCharType="end"/>
      </w:r>
    </w:p>
    <w:p w:rsidR="0084433F" w:rsidRDefault="0084433F" w:rsidP="0084433F"/>
    <w:p w:rsidR="0084433F" w:rsidRDefault="0084433F" w:rsidP="0084433F">
      <w:pPr>
        <w:pStyle w:val="EntradandiceAuto"/>
      </w:pPr>
      <w:r>
        <w:t>Sección Cuarta. Auto 191/1997, de 4 de junio de 1997. Acordando la inadmisión a trámite del recurso de amparo 244/1996.</w:t>
      </w:r>
      <w:r>
        <w:tab/>
      </w:r>
      <w:r>
        <w:tab/>
      </w:r>
      <w:r>
        <w:fldChar w:fldCharType="begin"/>
      </w:r>
      <w:r>
        <w:instrText xml:space="preserve"> PAGEREF AUTO_1997_191 \h </w:instrText>
      </w:r>
      <w:r>
        <w:fldChar w:fldCharType="separate"/>
      </w:r>
      <w:r w:rsidR="00E14B47">
        <w:rPr>
          <w:noProof/>
        </w:rPr>
        <w:t>917</w:t>
      </w:r>
      <w:r>
        <w:fldChar w:fldCharType="end"/>
      </w:r>
    </w:p>
    <w:p w:rsidR="0084433F" w:rsidRDefault="0084433F" w:rsidP="0084433F"/>
    <w:p w:rsidR="0084433F" w:rsidRDefault="0084433F" w:rsidP="0084433F">
      <w:pPr>
        <w:pStyle w:val="EntradandiceAuto"/>
      </w:pPr>
      <w:r>
        <w:t>Sala Primera. Auto 192/1997, de 4 de junio de 1997. Acordando la suspensión de la ejecución del acto que origina el recurso de amparo 1.333/1996.</w:t>
      </w:r>
      <w:r>
        <w:tab/>
      </w:r>
      <w:r>
        <w:tab/>
      </w:r>
      <w:r>
        <w:fldChar w:fldCharType="begin"/>
      </w:r>
      <w:r>
        <w:instrText xml:space="preserve"> PAGEREF AUTO_1997_192 \h </w:instrText>
      </w:r>
      <w:r>
        <w:fldChar w:fldCharType="separate"/>
      </w:r>
      <w:r w:rsidR="00E14B47">
        <w:rPr>
          <w:noProof/>
        </w:rPr>
        <w:t>920</w:t>
      </w:r>
      <w:r>
        <w:fldChar w:fldCharType="end"/>
      </w:r>
    </w:p>
    <w:p w:rsidR="0084433F" w:rsidRDefault="0084433F" w:rsidP="0084433F"/>
    <w:p w:rsidR="0084433F" w:rsidRDefault="0084433F" w:rsidP="0084433F">
      <w:pPr>
        <w:pStyle w:val="EntradandiceAuto"/>
      </w:pPr>
      <w:r>
        <w:t>Sala Primera. Auto 193/1997, de 4 de junio de 1997. Acordando la suspensión de la ejecución del acto que origina el recurso de amparo 1.335/1996.</w:t>
      </w:r>
      <w:r>
        <w:tab/>
      </w:r>
      <w:r>
        <w:tab/>
      </w:r>
      <w:r>
        <w:fldChar w:fldCharType="begin"/>
      </w:r>
      <w:r>
        <w:instrText xml:space="preserve"> PAGEREF AUTO_1997_193 \h </w:instrText>
      </w:r>
      <w:r>
        <w:fldChar w:fldCharType="separate"/>
      </w:r>
      <w:r w:rsidR="00E14B47">
        <w:rPr>
          <w:noProof/>
        </w:rPr>
        <w:t>923</w:t>
      </w:r>
      <w:r>
        <w:fldChar w:fldCharType="end"/>
      </w:r>
    </w:p>
    <w:p w:rsidR="0084433F" w:rsidRDefault="0084433F" w:rsidP="0084433F"/>
    <w:p w:rsidR="0084433F" w:rsidRDefault="0084433F" w:rsidP="0084433F">
      <w:pPr>
        <w:pStyle w:val="EntradandiceAuto"/>
      </w:pPr>
      <w:r>
        <w:t>Sala Primera. Auto 194/1997, de 4 de junio de 1997. Acordando la suspensión de la ejecución del acto que origina el recurso de amparo 1.676/1996.</w:t>
      </w:r>
      <w:r>
        <w:tab/>
      </w:r>
      <w:r>
        <w:tab/>
      </w:r>
      <w:r>
        <w:fldChar w:fldCharType="begin"/>
      </w:r>
      <w:r>
        <w:instrText xml:space="preserve"> PAGEREF AUTO_1997_194 \h </w:instrText>
      </w:r>
      <w:r>
        <w:fldChar w:fldCharType="separate"/>
      </w:r>
      <w:r w:rsidR="00E14B47">
        <w:rPr>
          <w:noProof/>
        </w:rPr>
        <w:t>926</w:t>
      </w:r>
      <w:r>
        <w:fldChar w:fldCharType="end"/>
      </w:r>
    </w:p>
    <w:p w:rsidR="0084433F" w:rsidRDefault="0084433F" w:rsidP="0084433F"/>
    <w:p w:rsidR="0084433F" w:rsidRDefault="0084433F" w:rsidP="0084433F">
      <w:pPr>
        <w:pStyle w:val="EntradandiceAuto"/>
      </w:pPr>
      <w:r>
        <w:t>Sección Cuarta. Auto 195/1997, de 4 de junio de 1997. Acordando la inadmisión a trámite del recurso de amparo 1.698/1996.</w:t>
      </w:r>
      <w:r>
        <w:tab/>
      </w:r>
      <w:r>
        <w:tab/>
      </w:r>
      <w:r>
        <w:fldChar w:fldCharType="begin"/>
      </w:r>
      <w:r>
        <w:instrText xml:space="preserve"> PAGEREF AUTO_1997_195 \h </w:instrText>
      </w:r>
      <w:r>
        <w:fldChar w:fldCharType="separate"/>
      </w:r>
      <w:r w:rsidR="00E14B47">
        <w:rPr>
          <w:noProof/>
        </w:rPr>
        <w:t>929</w:t>
      </w:r>
      <w:r>
        <w:fldChar w:fldCharType="end"/>
      </w:r>
    </w:p>
    <w:p w:rsidR="0084433F" w:rsidRDefault="0084433F" w:rsidP="0084433F"/>
    <w:p w:rsidR="0084433F" w:rsidRDefault="0084433F" w:rsidP="0084433F">
      <w:pPr>
        <w:pStyle w:val="EntradandiceAuto"/>
      </w:pPr>
      <w:r>
        <w:t>Sección Cuarta. Auto 196/1997, de 4 de junio de 1997. Acordando la inadmisión a trámite del recurso de amparo 2.452/1996.</w:t>
      </w:r>
      <w:r>
        <w:tab/>
      </w:r>
      <w:r>
        <w:tab/>
      </w:r>
      <w:r>
        <w:fldChar w:fldCharType="begin"/>
      </w:r>
      <w:r>
        <w:instrText xml:space="preserve"> PAGEREF AUTO_1997_196 \h </w:instrText>
      </w:r>
      <w:r>
        <w:fldChar w:fldCharType="separate"/>
      </w:r>
      <w:r w:rsidR="00E14B47">
        <w:rPr>
          <w:noProof/>
        </w:rPr>
        <w:t>935</w:t>
      </w:r>
      <w:r>
        <w:fldChar w:fldCharType="end"/>
      </w:r>
    </w:p>
    <w:p w:rsidR="0084433F" w:rsidRDefault="0084433F" w:rsidP="0084433F"/>
    <w:p w:rsidR="0084433F" w:rsidRDefault="0084433F" w:rsidP="0084433F">
      <w:pPr>
        <w:pStyle w:val="EntradandiceAuto"/>
      </w:pPr>
      <w:r>
        <w:t>Sección Cuarta. Auto 197/1997, de 4 de junio de 1997. Acuerda el desistimiento del actor en el recurso de amparo 2.978/1996, en causa penal.</w:t>
      </w:r>
      <w:r>
        <w:tab/>
      </w:r>
      <w:r>
        <w:tab/>
      </w:r>
      <w:r>
        <w:fldChar w:fldCharType="begin"/>
      </w:r>
      <w:r>
        <w:instrText xml:space="preserve"> PAGEREF AUTO_1997_197 \h </w:instrText>
      </w:r>
      <w:r>
        <w:fldChar w:fldCharType="separate"/>
      </w:r>
      <w:r w:rsidR="00E14B47">
        <w:rPr>
          <w:noProof/>
        </w:rPr>
        <w:t>938</w:t>
      </w:r>
      <w:r>
        <w:fldChar w:fldCharType="end"/>
      </w:r>
    </w:p>
    <w:p w:rsidR="0084433F" w:rsidRDefault="0084433F" w:rsidP="0084433F"/>
    <w:p w:rsidR="0084433F" w:rsidRDefault="0084433F" w:rsidP="0084433F">
      <w:pPr>
        <w:pStyle w:val="EntradandiceAuto"/>
      </w:pPr>
      <w:r>
        <w:t>Sala Primera. Auto 198/1997, de 4 de junio de 1997. Denegando la suspensión de la ejecución del acto que origina el recurso de amparo 3.062/1996.</w:t>
      </w:r>
      <w:r>
        <w:tab/>
      </w:r>
      <w:r>
        <w:tab/>
      </w:r>
      <w:r>
        <w:fldChar w:fldCharType="begin"/>
      </w:r>
      <w:r>
        <w:instrText xml:space="preserve"> PAGEREF AUTO_1997_198 \h </w:instrText>
      </w:r>
      <w:r>
        <w:fldChar w:fldCharType="separate"/>
      </w:r>
      <w:r w:rsidR="00E14B47">
        <w:rPr>
          <w:noProof/>
        </w:rPr>
        <w:t>939</w:t>
      </w:r>
      <w:r>
        <w:fldChar w:fldCharType="end"/>
      </w:r>
    </w:p>
    <w:p w:rsidR="0084433F" w:rsidRDefault="0084433F" w:rsidP="0084433F"/>
    <w:p w:rsidR="0084433F" w:rsidRDefault="0084433F" w:rsidP="0084433F">
      <w:pPr>
        <w:pStyle w:val="EntradandiceAuto"/>
      </w:pPr>
      <w:r>
        <w:t>Sección Cuarta. Auto 199/1997, de 4 de junio de 1997. Acuerdo el desistimiento en el recurso de amparo 3.343/1996, promovido en litigio social.</w:t>
      </w:r>
      <w:r>
        <w:tab/>
      </w:r>
      <w:r>
        <w:tab/>
      </w:r>
      <w:r>
        <w:fldChar w:fldCharType="begin"/>
      </w:r>
      <w:r>
        <w:instrText xml:space="preserve"> PAGEREF AUTO_1997_199 \h </w:instrText>
      </w:r>
      <w:r>
        <w:fldChar w:fldCharType="separate"/>
      </w:r>
      <w:r w:rsidR="00E14B47">
        <w:rPr>
          <w:noProof/>
        </w:rPr>
        <w:t>942</w:t>
      </w:r>
      <w:r>
        <w:fldChar w:fldCharType="end"/>
      </w:r>
    </w:p>
    <w:p w:rsidR="0084433F" w:rsidRDefault="0084433F" w:rsidP="0084433F"/>
    <w:p w:rsidR="0084433F" w:rsidRDefault="0084433F" w:rsidP="0084433F">
      <w:pPr>
        <w:pStyle w:val="EntradandiceAuto"/>
      </w:pPr>
      <w:r>
        <w:t>Sala Primera. Auto 200/1997, de 4 de junio de 1997. Acordando la suspensión parcial de la ejecución del acto que origina el recurso de amparo 3.493/1996.</w:t>
      </w:r>
      <w:r>
        <w:tab/>
      </w:r>
      <w:r>
        <w:tab/>
      </w:r>
      <w:r>
        <w:fldChar w:fldCharType="begin"/>
      </w:r>
      <w:r>
        <w:instrText xml:space="preserve"> PAGEREF AUTO_1997_200 \h </w:instrText>
      </w:r>
      <w:r>
        <w:fldChar w:fldCharType="separate"/>
      </w:r>
      <w:r w:rsidR="00E14B47">
        <w:rPr>
          <w:noProof/>
        </w:rPr>
        <w:t>943</w:t>
      </w:r>
      <w:r>
        <w:fldChar w:fldCharType="end"/>
      </w:r>
    </w:p>
    <w:p w:rsidR="0084433F" w:rsidRDefault="0084433F" w:rsidP="0084433F"/>
    <w:p w:rsidR="0084433F" w:rsidRDefault="0084433F" w:rsidP="0084433F">
      <w:pPr>
        <w:pStyle w:val="EntradandiceAuto"/>
      </w:pPr>
      <w:r>
        <w:t>Sección Cuarta. Auto 201/1997, de 4 de junio de 1997. Acuerda el desistimiento en el recurso de amparo 3.531/1996, promovido en causa penal.</w:t>
      </w:r>
      <w:r>
        <w:tab/>
      </w:r>
      <w:r>
        <w:tab/>
      </w:r>
      <w:r>
        <w:fldChar w:fldCharType="begin"/>
      </w:r>
      <w:r>
        <w:instrText xml:space="preserve"> PAGEREF AUTO_1997_201 \h </w:instrText>
      </w:r>
      <w:r>
        <w:fldChar w:fldCharType="separate"/>
      </w:r>
      <w:r w:rsidR="00E14B47">
        <w:rPr>
          <w:noProof/>
        </w:rPr>
        <w:t>947</w:t>
      </w:r>
      <w:r>
        <w:fldChar w:fldCharType="end"/>
      </w:r>
    </w:p>
    <w:p w:rsidR="0084433F" w:rsidRDefault="0084433F" w:rsidP="0084433F"/>
    <w:p w:rsidR="0084433F" w:rsidRDefault="0084433F" w:rsidP="0084433F">
      <w:pPr>
        <w:pStyle w:val="EntradandiceAuto"/>
      </w:pPr>
      <w:r>
        <w:t>Sala Primera. Auto 202/1997, de 4 de junio de 1997. Acordando la suspensión parcial de la ejecución del acto que origina el recurso de amparo 3.826/1996.</w:t>
      </w:r>
      <w:r>
        <w:tab/>
      </w:r>
      <w:r>
        <w:tab/>
      </w:r>
      <w:r>
        <w:fldChar w:fldCharType="begin"/>
      </w:r>
      <w:r>
        <w:instrText xml:space="preserve"> PAGEREF AUTO_1997_202 \h </w:instrText>
      </w:r>
      <w:r>
        <w:fldChar w:fldCharType="separate"/>
      </w:r>
      <w:r w:rsidR="00E14B47">
        <w:rPr>
          <w:noProof/>
        </w:rPr>
        <w:t>948</w:t>
      </w:r>
      <w:r>
        <w:fldChar w:fldCharType="end"/>
      </w:r>
    </w:p>
    <w:p w:rsidR="0084433F" w:rsidRDefault="0084433F" w:rsidP="0084433F"/>
    <w:p w:rsidR="0084433F" w:rsidRDefault="0084433F" w:rsidP="0084433F">
      <w:pPr>
        <w:pStyle w:val="EntradandiceAuto"/>
      </w:pPr>
      <w:r>
        <w:t>Sección Cuarta. Auto 203/1997, de 4 de junio de, 1997. Acordando haber lugar al desistimiento del actor en el recurso de amparo 3.883/1996, promovido en causa penal.</w:t>
      </w:r>
      <w:r>
        <w:tab/>
      </w:r>
      <w:r>
        <w:tab/>
      </w:r>
      <w:r>
        <w:fldChar w:fldCharType="begin"/>
      </w:r>
      <w:r>
        <w:instrText xml:space="preserve"> PAGEREF AUTO_1997_203 \h </w:instrText>
      </w:r>
      <w:r>
        <w:fldChar w:fldCharType="separate"/>
      </w:r>
      <w:r w:rsidR="00E14B47">
        <w:rPr>
          <w:noProof/>
        </w:rPr>
        <w:t>953</w:t>
      </w:r>
      <w:r>
        <w:fldChar w:fldCharType="end"/>
      </w:r>
    </w:p>
    <w:p w:rsidR="0084433F" w:rsidRDefault="0084433F" w:rsidP="0084433F"/>
    <w:p w:rsidR="0084433F" w:rsidRDefault="0084433F" w:rsidP="0084433F">
      <w:pPr>
        <w:pStyle w:val="EntradandiceAuto"/>
      </w:pPr>
      <w:r>
        <w:lastRenderedPageBreak/>
        <w:t>Sección Cuarta. Auto 204/1997, de 4 de junio de 1997. Declarando la falta de competencia del Tribunal Constitucional para conocer de la impugnación de la previa denegación del beneficio de pobreza solicitado por el actor en el recurso de amparo 3.984/1996.</w:t>
      </w:r>
      <w:r>
        <w:tab/>
      </w:r>
      <w:r>
        <w:tab/>
      </w:r>
      <w:r>
        <w:fldChar w:fldCharType="begin"/>
      </w:r>
      <w:r>
        <w:instrText xml:space="preserve"> PAGEREF AUTO_1997_204 \h </w:instrText>
      </w:r>
      <w:r>
        <w:fldChar w:fldCharType="separate"/>
      </w:r>
      <w:r w:rsidR="00E14B47">
        <w:rPr>
          <w:noProof/>
        </w:rPr>
        <w:t>954</w:t>
      </w:r>
      <w:r>
        <w:fldChar w:fldCharType="end"/>
      </w:r>
    </w:p>
    <w:p w:rsidR="0084433F" w:rsidRDefault="0084433F" w:rsidP="0084433F"/>
    <w:p w:rsidR="0084433F" w:rsidRDefault="0084433F" w:rsidP="0084433F">
      <w:pPr>
        <w:pStyle w:val="EntradandiceAuto"/>
      </w:pPr>
      <w:r>
        <w:t>Sala Primera. Auto 205/1997, de 4 de junio de 1997. Denegando la suspensión condicionad de la ejecución del acto que origina el recurso de amparo 1.464/1997.</w:t>
      </w:r>
      <w:r>
        <w:tab/>
      </w:r>
      <w:r>
        <w:tab/>
      </w:r>
      <w:r>
        <w:fldChar w:fldCharType="begin"/>
      </w:r>
      <w:r>
        <w:instrText xml:space="preserve"> PAGEREF AUTO_1997_205 \h </w:instrText>
      </w:r>
      <w:r>
        <w:fldChar w:fldCharType="separate"/>
      </w:r>
      <w:r w:rsidR="00E14B47">
        <w:rPr>
          <w:noProof/>
        </w:rPr>
        <w:t>959</w:t>
      </w:r>
      <w:r>
        <w:fldChar w:fldCharType="end"/>
      </w:r>
    </w:p>
    <w:p w:rsidR="0084433F" w:rsidRDefault="0084433F" w:rsidP="0084433F"/>
    <w:p w:rsidR="0084433F" w:rsidRDefault="0084433F" w:rsidP="0084433F">
      <w:pPr>
        <w:pStyle w:val="EntradandiceAuto"/>
      </w:pPr>
      <w:r>
        <w:t>Sección Segunda. Auto 206/1997, de 9 de junio de 1997. Acuerda el desistimiento en el recurso de amparo 2.783/1996.</w:t>
      </w:r>
      <w:r>
        <w:tab/>
      </w:r>
      <w:r>
        <w:tab/>
      </w:r>
      <w:r>
        <w:fldChar w:fldCharType="begin"/>
      </w:r>
      <w:r>
        <w:instrText xml:space="preserve"> PAGEREF AUTO_1997_206 \h </w:instrText>
      </w:r>
      <w:r>
        <w:fldChar w:fldCharType="separate"/>
      </w:r>
      <w:r w:rsidR="00E14B47">
        <w:rPr>
          <w:noProof/>
        </w:rPr>
        <w:t>964</w:t>
      </w:r>
      <w:r>
        <w:fldChar w:fldCharType="end"/>
      </w:r>
    </w:p>
    <w:p w:rsidR="0084433F" w:rsidRDefault="0084433F" w:rsidP="0084433F"/>
    <w:p w:rsidR="0084433F" w:rsidRDefault="0084433F" w:rsidP="0084433F">
      <w:pPr>
        <w:pStyle w:val="EntradandiceAuto"/>
      </w:pPr>
      <w:r>
        <w:t>Sección Segunda. Auto 207/1997, de 9 de junio de 1997. Acordando la inadmisión a trámite del recurso de amparo 469/1997.</w:t>
      </w:r>
      <w:r>
        <w:tab/>
      </w:r>
      <w:r>
        <w:tab/>
      </w:r>
      <w:r>
        <w:fldChar w:fldCharType="begin"/>
      </w:r>
      <w:r>
        <w:instrText xml:space="preserve"> PAGEREF AUTO_1997_207 \h </w:instrText>
      </w:r>
      <w:r>
        <w:fldChar w:fldCharType="separate"/>
      </w:r>
      <w:r w:rsidR="00E14B47">
        <w:rPr>
          <w:noProof/>
        </w:rPr>
        <w:t>965</w:t>
      </w:r>
      <w:r>
        <w:fldChar w:fldCharType="end"/>
      </w:r>
    </w:p>
    <w:p w:rsidR="0084433F" w:rsidRDefault="0084433F" w:rsidP="0084433F"/>
    <w:p w:rsidR="0084433F" w:rsidRDefault="0084433F" w:rsidP="0084433F">
      <w:pPr>
        <w:pStyle w:val="EntradandiceAuto"/>
      </w:pPr>
      <w:r>
        <w:t>Sección Segunda. Auto 208/1997, de 12 de junio de 1997. Acordando la inadmisión a trámite del recurso de amparo 4.101/1996.</w:t>
      </w:r>
      <w:r>
        <w:tab/>
      </w:r>
      <w:r>
        <w:tab/>
      </w:r>
      <w:r>
        <w:fldChar w:fldCharType="begin"/>
      </w:r>
      <w:r>
        <w:instrText xml:space="preserve"> PAGEREF AUTO_1997_208 \h </w:instrText>
      </w:r>
      <w:r>
        <w:fldChar w:fldCharType="separate"/>
      </w:r>
      <w:r w:rsidR="00E14B47">
        <w:rPr>
          <w:noProof/>
        </w:rPr>
        <w:t>970</w:t>
      </w:r>
      <w:r>
        <w:fldChar w:fldCharType="end"/>
      </w:r>
    </w:p>
    <w:p w:rsidR="0084433F" w:rsidRDefault="0084433F" w:rsidP="0084433F"/>
    <w:p w:rsidR="0084433F" w:rsidRDefault="0084433F" w:rsidP="0084433F">
      <w:pPr>
        <w:pStyle w:val="EntradandiceAuto"/>
      </w:pPr>
      <w:r>
        <w:t>Sección Segunda. Auto 209/1997, de 12 de junio de 1997. Acordando la inadmisión a trámite del recurso de amparo 109/1997.</w:t>
      </w:r>
      <w:r>
        <w:tab/>
      </w:r>
      <w:r>
        <w:tab/>
      </w:r>
      <w:r>
        <w:fldChar w:fldCharType="begin"/>
      </w:r>
      <w:r>
        <w:instrText xml:space="preserve"> PAGEREF AUTO_1997_209 \h </w:instrText>
      </w:r>
      <w:r>
        <w:fldChar w:fldCharType="separate"/>
      </w:r>
      <w:r w:rsidR="00E14B47">
        <w:rPr>
          <w:noProof/>
        </w:rPr>
        <w:t>973</w:t>
      </w:r>
      <w:r>
        <w:fldChar w:fldCharType="end"/>
      </w:r>
    </w:p>
    <w:p w:rsidR="0084433F" w:rsidRDefault="0084433F" w:rsidP="0084433F"/>
    <w:p w:rsidR="0084433F" w:rsidRDefault="0084433F" w:rsidP="0084433F">
      <w:pPr>
        <w:pStyle w:val="EntradandiceAuto"/>
      </w:pPr>
      <w:r>
        <w:t>Sala Segunda. Auto 210/1997, de 12 de junio de 1997. Acordando la suspensión parcial de la ejecución del acto que origina  el recurso de amparo 2.018/1997.</w:t>
      </w:r>
      <w:r>
        <w:tab/>
      </w:r>
      <w:r>
        <w:tab/>
      </w:r>
      <w:r>
        <w:fldChar w:fldCharType="begin"/>
      </w:r>
      <w:r>
        <w:instrText xml:space="preserve"> PAGEREF AUTO_1997_210 \h </w:instrText>
      </w:r>
      <w:r>
        <w:fldChar w:fldCharType="separate"/>
      </w:r>
      <w:r w:rsidR="00E14B47">
        <w:rPr>
          <w:noProof/>
        </w:rPr>
        <w:t>976</w:t>
      </w:r>
      <w:r>
        <w:fldChar w:fldCharType="end"/>
      </w:r>
    </w:p>
    <w:p w:rsidR="0084433F" w:rsidRDefault="0084433F" w:rsidP="0084433F"/>
    <w:p w:rsidR="0084433F" w:rsidRDefault="0084433F" w:rsidP="0084433F">
      <w:pPr>
        <w:pStyle w:val="EntradandiceAuto"/>
      </w:pPr>
      <w:r>
        <w:t>Sala Primera. Auto 211/1997, de 16 de junio de 1997. Denegando la suspensión de la ejecución del acto que origina el recurso de amparo 3.563/1995.</w:t>
      </w:r>
      <w:r>
        <w:tab/>
      </w:r>
      <w:r>
        <w:tab/>
      </w:r>
      <w:r>
        <w:fldChar w:fldCharType="begin"/>
      </w:r>
      <w:r>
        <w:instrText xml:space="preserve"> PAGEREF AUTO_1997_211 \h </w:instrText>
      </w:r>
      <w:r>
        <w:fldChar w:fldCharType="separate"/>
      </w:r>
      <w:r w:rsidR="00E14B47">
        <w:rPr>
          <w:noProof/>
        </w:rPr>
        <w:t>982</w:t>
      </w:r>
      <w:r>
        <w:fldChar w:fldCharType="end"/>
      </w:r>
    </w:p>
    <w:p w:rsidR="0084433F" w:rsidRDefault="0084433F" w:rsidP="0084433F"/>
    <w:p w:rsidR="0084433F" w:rsidRDefault="0084433F" w:rsidP="0084433F">
      <w:pPr>
        <w:pStyle w:val="EntradandiceAuto"/>
      </w:pPr>
      <w:r>
        <w:t>Sala Primera. Auto 212/1997, de 16 de junio de 1997. Denegando la suspensión de la ejecución del acto que origina el recurso de amparo 4.379/1995.</w:t>
      </w:r>
      <w:r>
        <w:tab/>
      </w:r>
      <w:r>
        <w:tab/>
      </w:r>
      <w:r>
        <w:fldChar w:fldCharType="begin"/>
      </w:r>
      <w:r>
        <w:instrText xml:space="preserve"> PAGEREF AUTO_1997_212 \h </w:instrText>
      </w:r>
      <w:r>
        <w:fldChar w:fldCharType="separate"/>
      </w:r>
      <w:r w:rsidR="00E14B47">
        <w:rPr>
          <w:noProof/>
        </w:rPr>
        <w:t>987</w:t>
      </w:r>
      <w:r>
        <w:fldChar w:fldCharType="end"/>
      </w:r>
    </w:p>
    <w:p w:rsidR="0084433F" w:rsidRDefault="0084433F" w:rsidP="0084433F"/>
    <w:p w:rsidR="0084433F" w:rsidRDefault="0084433F" w:rsidP="0084433F">
      <w:pPr>
        <w:pStyle w:val="EntradandiceAuto"/>
      </w:pPr>
      <w:r>
        <w:t>Sala Primera. Auto 213/1997, de 16 de junio de 1997. Denegando la suspensión de la ejecución del acto que origina el recurso de amparo 3.101/1996.</w:t>
      </w:r>
      <w:r>
        <w:tab/>
      </w:r>
      <w:r>
        <w:tab/>
      </w:r>
      <w:r>
        <w:fldChar w:fldCharType="begin"/>
      </w:r>
      <w:r>
        <w:instrText xml:space="preserve"> PAGEREF AUTO_1997_213 \h </w:instrText>
      </w:r>
      <w:r>
        <w:fldChar w:fldCharType="separate"/>
      </w:r>
      <w:r w:rsidR="00E14B47">
        <w:rPr>
          <w:noProof/>
        </w:rPr>
        <w:t>991</w:t>
      </w:r>
      <w:r>
        <w:fldChar w:fldCharType="end"/>
      </w:r>
    </w:p>
    <w:p w:rsidR="0084433F" w:rsidRDefault="0084433F" w:rsidP="0084433F"/>
    <w:p w:rsidR="0084433F" w:rsidRDefault="0084433F" w:rsidP="0084433F">
      <w:pPr>
        <w:pStyle w:val="EntradandiceAuto"/>
      </w:pPr>
      <w:r>
        <w:t>Sala Segunda. Auto 214/1997, de 23 de junio de 1997. Denegando la suspensión de la ejecución del acto que origina el recurso de amparo 3.928/1994.</w:t>
      </w:r>
      <w:r>
        <w:tab/>
      </w:r>
      <w:r>
        <w:tab/>
      </w:r>
      <w:r>
        <w:fldChar w:fldCharType="begin"/>
      </w:r>
      <w:r>
        <w:instrText xml:space="preserve"> PAGEREF AUTO_1997_214 \h </w:instrText>
      </w:r>
      <w:r>
        <w:fldChar w:fldCharType="separate"/>
      </w:r>
      <w:r w:rsidR="00E14B47">
        <w:rPr>
          <w:noProof/>
        </w:rPr>
        <w:t>995</w:t>
      </w:r>
      <w:r>
        <w:fldChar w:fldCharType="end"/>
      </w:r>
    </w:p>
    <w:p w:rsidR="0084433F" w:rsidRDefault="0084433F" w:rsidP="0084433F"/>
    <w:p w:rsidR="0084433F" w:rsidRDefault="0084433F" w:rsidP="0084433F">
      <w:pPr>
        <w:pStyle w:val="EntradandiceAuto"/>
      </w:pPr>
      <w:r>
        <w:t>Sección Tercera. Auto 215/1997, de 23 de junio de 1997. Acuerda el desistimiento en el recurso de amparo 1.872/1995, promovido en proceso militar.</w:t>
      </w:r>
      <w:r>
        <w:tab/>
      </w:r>
      <w:r>
        <w:tab/>
      </w:r>
      <w:r>
        <w:fldChar w:fldCharType="begin"/>
      </w:r>
      <w:r>
        <w:instrText xml:space="preserve"> PAGEREF AUTO_1997_215 \h </w:instrText>
      </w:r>
      <w:r>
        <w:fldChar w:fldCharType="separate"/>
      </w:r>
      <w:r w:rsidR="00E14B47">
        <w:rPr>
          <w:noProof/>
        </w:rPr>
        <w:t>999</w:t>
      </w:r>
      <w:r>
        <w:fldChar w:fldCharType="end"/>
      </w:r>
    </w:p>
    <w:p w:rsidR="0084433F" w:rsidRDefault="0084433F" w:rsidP="0084433F"/>
    <w:p w:rsidR="0084433F" w:rsidRDefault="0084433F" w:rsidP="0084433F">
      <w:pPr>
        <w:pStyle w:val="EntradandiceAuto"/>
      </w:pPr>
      <w:r>
        <w:lastRenderedPageBreak/>
        <w:t>Sala Segunda. Auto 216/1997, de 23 de junio de 1997. Denegando la suspensión de la ejecución del acto que origina el recurso de amparo 3.791/1995.</w:t>
      </w:r>
      <w:r>
        <w:tab/>
      </w:r>
      <w:r>
        <w:tab/>
      </w:r>
      <w:r>
        <w:fldChar w:fldCharType="begin"/>
      </w:r>
      <w:r>
        <w:instrText xml:space="preserve"> PAGEREF AUTO_1997_216 \h </w:instrText>
      </w:r>
      <w:r>
        <w:fldChar w:fldCharType="separate"/>
      </w:r>
      <w:r w:rsidR="00E14B47">
        <w:rPr>
          <w:noProof/>
        </w:rPr>
        <w:t>1000</w:t>
      </w:r>
      <w:r>
        <w:fldChar w:fldCharType="end"/>
      </w:r>
    </w:p>
    <w:p w:rsidR="0084433F" w:rsidRDefault="0084433F" w:rsidP="0084433F"/>
    <w:p w:rsidR="0084433F" w:rsidRDefault="0084433F" w:rsidP="0084433F">
      <w:pPr>
        <w:pStyle w:val="EntradandiceAuto"/>
      </w:pPr>
      <w:r>
        <w:t>Sección Tercera. Auto 217/1997, de 23 de junio de 1997. Acordando haber lugar al desistimiento del actor en el recurso de amparo 138/1996.</w:t>
      </w:r>
      <w:r>
        <w:tab/>
      </w:r>
      <w:r>
        <w:tab/>
      </w:r>
      <w:r>
        <w:fldChar w:fldCharType="begin"/>
      </w:r>
      <w:r>
        <w:instrText xml:space="preserve"> PAGEREF AUTO_1997_217 \h </w:instrText>
      </w:r>
      <w:r>
        <w:fldChar w:fldCharType="separate"/>
      </w:r>
      <w:r w:rsidR="00E14B47">
        <w:rPr>
          <w:noProof/>
        </w:rPr>
        <w:t>1003</w:t>
      </w:r>
      <w:r>
        <w:fldChar w:fldCharType="end"/>
      </w:r>
    </w:p>
    <w:p w:rsidR="0084433F" w:rsidRDefault="0084433F" w:rsidP="0084433F"/>
    <w:p w:rsidR="0084433F" w:rsidRDefault="0084433F" w:rsidP="0084433F">
      <w:pPr>
        <w:pStyle w:val="EntradandiceAuto"/>
      </w:pPr>
      <w:r>
        <w:t>Sección Primera. Auto 218/1997, de 23 de junio de 1997. Desestimando recurso de súplica contra providencia de 20 de enero de 1997, dictada en el recurso de amparo 1.427/1996.</w:t>
      </w:r>
      <w:r>
        <w:tab/>
      </w:r>
      <w:r>
        <w:tab/>
      </w:r>
      <w:r>
        <w:fldChar w:fldCharType="begin"/>
      </w:r>
      <w:r>
        <w:instrText xml:space="preserve"> PAGEREF AUTO_1997_218 \h </w:instrText>
      </w:r>
      <w:r>
        <w:fldChar w:fldCharType="separate"/>
      </w:r>
      <w:r w:rsidR="00E14B47">
        <w:rPr>
          <w:noProof/>
        </w:rPr>
        <w:t>1004</w:t>
      </w:r>
      <w:r>
        <w:fldChar w:fldCharType="end"/>
      </w:r>
    </w:p>
    <w:p w:rsidR="0084433F" w:rsidRDefault="0084433F" w:rsidP="0084433F"/>
    <w:p w:rsidR="0084433F" w:rsidRDefault="0084433F" w:rsidP="0084433F">
      <w:pPr>
        <w:pStyle w:val="EntradandiceAuto"/>
      </w:pPr>
      <w:r>
        <w:t>Sección Tercera. Auto 219/1997, de 23 de junio de 1997. Acordando haber lugar al desistimiento del actor en el recurso de amparo 2.087/1996.</w:t>
      </w:r>
      <w:r>
        <w:tab/>
      </w:r>
      <w:r>
        <w:tab/>
      </w:r>
      <w:r>
        <w:fldChar w:fldCharType="begin"/>
      </w:r>
      <w:r>
        <w:instrText xml:space="preserve"> PAGEREF AUTO_1997_219 \h </w:instrText>
      </w:r>
      <w:r>
        <w:fldChar w:fldCharType="separate"/>
      </w:r>
      <w:r w:rsidR="00E14B47">
        <w:rPr>
          <w:noProof/>
        </w:rPr>
        <w:t>1005</w:t>
      </w:r>
      <w:r>
        <w:fldChar w:fldCharType="end"/>
      </w:r>
    </w:p>
    <w:p w:rsidR="0084433F" w:rsidRDefault="0084433F" w:rsidP="0084433F"/>
    <w:p w:rsidR="0084433F" w:rsidRDefault="0084433F" w:rsidP="0084433F">
      <w:pPr>
        <w:pStyle w:val="EntradandiceAuto"/>
      </w:pPr>
      <w:r>
        <w:t>Sección Tercera. Auto 220/1997, de 23 de junio de 1997. Acordando haber lugar al desistimiento del actor en el recurso de amparo 2.480/1996.</w:t>
      </w:r>
      <w:r>
        <w:tab/>
      </w:r>
      <w:r>
        <w:tab/>
      </w:r>
      <w:r>
        <w:fldChar w:fldCharType="begin"/>
      </w:r>
      <w:r>
        <w:instrText xml:space="preserve"> PAGEREF AUTO_1997_220 \h </w:instrText>
      </w:r>
      <w:r>
        <w:fldChar w:fldCharType="separate"/>
      </w:r>
      <w:r w:rsidR="00E14B47">
        <w:rPr>
          <w:noProof/>
        </w:rPr>
        <w:t>1006</w:t>
      </w:r>
      <w:r>
        <w:fldChar w:fldCharType="end"/>
      </w:r>
    </w:p>
    <w:p w:rsidR="0084433F" w:rsidRDefault="0084433F" w:rsidP="0084433F"/>
    <w:p w:rsidR="0084433F" w:rsidRDefault="0084433F" w:rsidP="0084433F">
      <w:pPr>
        <w:pStyle w:val="EntradandiceAuto"/>
      </w:pPr>
      <w:r>
        <w:t>Sección Tercera. Auto 221/1997, de 23 de junio de 1997. Acordando la inadmisión a trámite del recurso de amparo 2.766/1996.</w:t>
      </w:r>
      <w:r>
        <w:tab/>
      </w:r>
      <w:r>
        <w:tab/>
      </w:r>
      <w:r>
        <w:fldChar w:fldCharType="begin"/>
      </w:r>
      <w:r>
        <w:instrText xml:space="preserve"> PAGEREF AUTO_1997_221 \h </w:instrText>
      </w:r>
      <w:r>
        <w:fldChar w:fldCharType="separate"/>
      </w:r>
      <w:r w:rsidR="00E14B47">
        <w:rPr>
          <w:noProof/>
        </w:rPr>
        <w:t>1007</w:t>
      </w:r>
      <w:r>
        <w:fldChar w:fldCharType="end"/>
      </w:r>
    </w:p>
    <w:p w:rsidR="0084433F" w:rsidRDefault="0084433F" w:rsidP="0084433F"/>
    <w:p w:rsidR="0084433F" w:rsidRDefault="0084433F" w:rsidP="0084433F">
      <w:pPr>
        <w:pStyle w:val="EntradandiceAuto"/>
      </w:pPr>
      <w:r>
        <w:t>Sala Segunda. Auto 222/1997, de 23 de junio de 1997. Acordando la suspensión de la ejecución del acto que origina el recurso de amparo 3.061/1996. Voto particular.</w:t>
      </w:r>
      <w:r>
        <w:tab/>
      </w:r>
      <w:r>
        <w:tab/>
      </w:r>
      <w:r>
        <w:fldChar w:fldCharType="begin"/>
      </w:r>
      <w:r>
        <w:instrText xml:space="preserve"> PAGEREF AUTO_1997_222 \h </w:instrText>
      </w:r>
      <w:r>
        <w:fldChar w:fldCharType="separate"/>
      </w:r>
      <w:r w:rsidR="00E14B47">
        <w:rPr>
          <w:noProof/>
        </w:rPr>
        <w:t>1012</w:t>
      </w:r>
      <w:r>
        <w:fldChar w:fldCharType="end"/>
      </w:r>
    </w:p>
    <w:p w:rsidR="0084433F" w:rsidRDefault="0084433F" w:rsidP="0084433F"/>
    <w:p w:rsidR="0084433F" w:rsidRDefault="0084433F" w:rsidP="0084433F">
      <w:pPr>
        <w:pStyle w:val="EntradandiceAuto"/>
      </w:pPr>
      <w:r>
        <w:t>Sala Segunda. Auto 223/1997, de 23 de junio de 1997. Denegando la suspensión condicionada de la ejecución del acto que origina el recurso de amparo 3.440/1996.</w:t>
      </w:r>
      <w:r>
        <w:tab/>
      </w:r>
      <w:r>
        <w:tab/>
      </w:r>
      <w:r>
        <w:fldChar w:fldCharType="begin"/>
      </w:r>
      <w:r>
        <w:instrText xml:space="preserve"> PAGEREF AUTO_1997_223 \h </w:instrText>
      </w:r>
      <w:r>
        <w:fldChar w:fldCharType="separate"/>
      </w:r>
      <w:r w:rsidR="00E14B47">
        <w:rPr>
          <w:noProof/>
        </w:rPr>
        <w:t>1018</w:t>
      </w:r>
      <w:r>
        <w:fldChar w:fldCharType="end"/>
      </w:r>
    </w:p>
    <w:p w:rsidR="0084433F" w:rsidRDefault="0084433F" w:rsidP="0084433F"/>
    <w:p w:rsidR="0084433F" w:rsidRDefault="0084433F" w:rsidP="0084433F">
      <w:pPr>
        <w:pStyle w:val="EntradandiceAuto"/>
      </w:pPr>
      <w:r>
        <w:t>Sección Tercera. Auto 224/1997, de 23 de junio de 1997. Acuerda el desistimiento en el recurso de amparo 3.594/1996.</w:t>
      </w:r>
      <w:r>
        <w:tab/>
      </w:r>
      <w:r>
        <w:tab/>
      </w:r>
      <w:r>
        <w:fldChar w:fldCharType="begin"/>
      </w:r>
      <w:r>
        <w:instrText xml:space="preserve"> PAGEREF AUTO_1997_224 \h </w:instrText>
      </w:r>
      <w:r>
        <w:fldChar w:fldCharType="separate"/>
      </w:r>
      <w:r w:rsidR="00E14B47">
        <w:rPr>
          <w:noProof/>
        </w:rPr>
        <w:t>1022</w:t>
      </w:r>
      <w:r>
        <w:fldChar w:fldCharType="end"/>
      </w:r>
    </w:p>
    <w:p w:rsidR="0084433F" w:rsidRDefault="0084433F" w:rsidP="0084433F"/>
    <w:p w:rsidR="0084433F" w:rsidRDefault="0084433F" w:rsidP="0084433F">
      <w:pPr>
        <w:pStyle w:val="EntradandiceAuto"/>
      </w:pPr>
      <w:r>
        <w:t>Sección Tercera. Auto 225/1997, de 23 de junio de 1997. Acuerda el desistimiento en el recurso de amparo 3.636/1996.</w:t>
      </w:r>
      <w:r>
        <w:tab/>
      </w:r>
      <w:r>
        <w:tab/>
      </w:r>
      <w:r>
        <w:fldChar w:fldCharType="begin"/>
      </w:r>
      <w:r>
        <w:instrText xml:space="preserve"> PAGEREF AUTO_1997_225 \h </w:instrText>
      </w:r>
      <w:r>
        <w:fldChar w:fldCharType="separate"/>
      </w:r>
      <w:r w:rsidR="00E14B47">
        <w:rPr>
          <w:noProof/>
        </w:rPr>
        <w:t>1023</w:t>
      </w:r>
      <w:r>
        <w:fldChar w:fldCharType="end"/>
      </w:r>
    </w:p>
    <w:p w:rsidR="0084433F" w:rsidRDefault="0084433F" w:rsidP="0084433F"/>
    <w:p w:rsidR="0084433F" w:rsidRDefault="0084433F" w:rsidP="0084433F">
      <w:pPr>
        <w:pStyle w:val="EntradandiceAuto"/>
      </w:pPr>
      <w:r>
        <w:t>Sala Segunda. Auto 226/1997, de 23 de junio de 1997. Denegando la suspensión de la ejecución del acto que origina el recurso de amparo 3.861/1996.</w:t>
      </w:r>
      <w:r>
        <w:tab/>
      </w:r>
      <w:r>
        <w:tab/>
      </w:r>
      <w:r>
        <w:fldChar w:fldCharType="begin"/>
      </w:r>
      <w:r>
        <w:instrText xml:space="preserve"> PAGEREF AUTO_1997_226 \h </w:instrText>
      </w:r>
      <w:r>
        <w:fldChar w:fldCharType="separate"/>
      </w:r>
      <w:r w:rsidR="00E14B47">
        <w:rPr>
          <w:noProof/>
        </w:rPr>
        <w:t>1024</w:t>
      </w:r>
      <w:r>
        <w:fldChar w:fldCharType="end"/>
      </w:r>
    </w:p>
    <w:p w:rsidR="0084433F" w:rsidRDefault="0084433F" w:rsidP="0084433F"/>
    <w:p w:rsidR="0084433F" w:rsidRDefault="0084433F" w:rsidP="0084433F">
      <w:pPr>
        <w:pStyle w:val="EntradandiceAuto"/>
      </w:pPr>
      <w:r>
        <w:t>Sección Tercera. Auto 227/1997, de 23 de junio de 1997. Acuerda el desistimiento en el recurso de amparo 4.190/1996, promovido en pleito civil.</w:t>
      </w:r>
      <w:r>
        <w:tab/>
      </w:r>
      <w:r>
        <w:tab/>
      </w:r>
      <w:r>
        <w:fldChar w:fldCharType="begin"/>
      </w:r>
      <w:r>
        <w:instrText xml:space="preserve"> PAGEREF AUTO_1997_227 \h </w:instrText>
      </w:r>
      <w:r>
        <w:fldChar w:fldCharType="separate"/>
      </w:r>
      <w:r w:rsidR="00E14B47">
        <w:rPr>
          <w:noProof/>
        </w:rPr>
        <w:t>1027</w:t>
      </w:r>
      <w:r>
        <w:fldChar w:fldCharType="end"/>
      </w:r>
    </w:p>
    <w:p w:rsidR="0084433F" w:rsidRDefault="0084433F" w:rsidP="0084433F"/>
    <w:p w:rsidR="0084433F" w:rsidRDefault="0084433F" w:rsidP="0084433F">
      <w:pPr>
        <w:pStyle w:val="EntradandiceAuto"/>
      </w:pPr>
      <w:r>
        <w:lastRenderedPageBreak/>
        <w:t>Sección Primera. Auto 228/1997, de 23 de junio de 1997. Acuerda el desistimiento en el recurso de amparo 497/1997, promovido en pleito civil.</w:t>
      </w:r>
      <w:r>
        <w:tab/>
      </w:r>
      <w:r>
        <w:tab/>
      </w:r>
      <w:r>
        <w:fldChar w:fldCharType="begin"/>
      </w:r>
      <w:r>
        <w:instrText xml:space="preserve"> PAGEREF AUTO_1997_228 \h </w:instrText>
      </w:r>
      <w:r>
        <w:fldChar w:fldCharType="separate"/>
      </w:r>
      <w:r w:rsidR="00E14B47">
        <w:rPr>
          <w:noProof/>
        </w:rPr>
        <w:t>1028</w:t>
      </w:r>
      <w:r>
        <w:fldChar w:fldCharType="end"/>
      </w:r>
    </w:p>
    <w:p w:rsidR="0084433F" w:rsidRDefault="0084433F" w:rsidP="0084433F"/>
    <w:p w:rsidR="0084433F" w:rsidRDefault="0084433F" w:rsidP="0084433F">
      <w:pPr>
        <w:pStyle w:val="EntradandiceAuto"/>
      </w:pPr>
      <w:r>
        <w:t>Sección Primera. Auto 229/1997, de 23 de junio de 1997. Acuerda el desistimiento en el recurso de amparo 959/1997, promovido en causa penal.</w:t>
      </w:r>
      <w:r>
        <w:tab/>
      </w:r>
      <w:r>
        <w:tab/>
      </w:r>
      <w:r>
        <w:fldChar w:fldCharType="begin"/>
      </w:r>
      <w:r>
        <w:instrText xml:space="preserve"> PAGEREF AUTO_1997_229 \h </w:instrText>
      </w:r>
      <w:r>
        <w:fldChar w:fldCharType="separate"/>
      </w:r>
      <w:r w:rsidR="00E14B47">
        <w:rPr>
          <w:noProof/>
        </w:rPr>
        <w:t>1029</w:t>
      </w:r>
      <w:r>
        <w:fldChar w:fldCharType="end"/>
      </w:r>
    </w:p>
    <w:p w:rsidR="0084433F" w:rsidRDefault="0084433F" w:rsidP="0084433F"/>
    <w:p w:rsidR="0084433F" w:rsidRDefault="0084433F" w:rsidP="0084433F">
      <w:pPr>
        <w:pStyle w:val="EntradandiceAuto"/>
      </w:pPr>
      <w:r>
        <w:t>Pleno. Auto 230/1997, de 24 de junio de 1997. Denegando la acumulación de la cuestión de inconstitucionalidad 946/1997 a la registrada con el núm. 2.140/1993.</w:t>
      </w:r>
      <w:r>
        <w:tab/>
      </w:r>
      <w:r>
        <w:tab/>
      </w:r>
      <w:r>
        <w:fldChar w:fldCharType="begin"/>
      </w:r>
      <w:r>
        <w:instrText xml:space="preserve"> PAGEREF AUTO_1997_230 \h </w:instrText>
      </w:r>
      <w:r>
        <w:fldChar w:fldCharType="separate"/>
      </w:r>
      <w:r w:rsidR="00E14B47">
        <w:rPr>
          <w:noProof/>
        </w:rPr>
        <w:t>1030</w:t>
      </w:r>
      <w:r>
        <w:fldChar w:fldCharType="end"/>
      </w:r>
    </w:p>
    <w:p w:rsidR="0084433F" w:rsidRDefault="0084433F" w:rsidP="0084433F"/>
    <w:p w:rsidR="0084433F" w:rsidRDefault="0084433F" w:rsidP="0084433F">
      <w:pPr>
        <w:pStyle w:val="EntradandiceAuto"/>
      </w:pPr>
      <w:r>
        <w:t>Pleno. Auto 231/1997, de 24 de junio de 1997. Manteniendo la suspensión, previamente acordada, de la Ley 4/1996 de Ordenación de la Función Pública del Principado de Asturias en el recurso de inconstitucionalidad 1.296/1997.</w:t>
      </w:r>
      <w:r>
        <w:tab/>
      </w:r>
      <w:r>
        <w:tab/>
      </w:r>
      <w:r>
        <w:fldChar w:fldCharType="begin"/>
      </w:r>
      <w:r>
        <w:instrText xml:space="preserve"> PAGEREF AUTO_1997_231 \h </w:instrText>
      </w:r>
      <w:r>
        <w:fldChar w:fldCharType="separate"/>
      </w:r>
      <w:r w:rsidR="00E14B47">
        <w:rPr>
          <w:noProof/>
        </w:rPr>
        <w:t>1031</w:t>
      </w:r>
      <w:r>
        <w:fldChar w:fldCharType="end"/>
      </w:r>
    </w:p>
    <w:p w:rsidR="0084433F" w:rsidRDefault="0084433F" w:rsidP="0084433F"/>
    <w:p w:rsidR="0084433F" w:rsidRDefault="0084433F" w:rsidP="0084433F">
      <w:pPr>
        <w:pStyle w:val="EntradandiceAuto"/>
      </w:pPr>
      <w:r>
        <w:t>Pleno. Auto 232/1997, de 24 de junio de 1997. Denegando la acumulación del recurso de inconstitucionalidad 1.299/1997 al registrado con el núm. 549/1994.</w:t>
      </w:r>
      <w:r>
        <w:tab/>
      </w:r>
      <w:r>
        <w:tab/>
      </w:r>
      <w:r>
        <w:fldChar w:fldCharType="begin"/>
      </w:r>
      <w:r>
        <w:instrText xml:space="preserve"> PAGEREF AUTO_1997_232 \h </w:instrText>
      </w:r>
      <w:r>
        <w:fldChar w:fldCharType="separate"/>
      </w:r>
      <w:r w:rsidR="00E14B47">
        <w:rPr>
          <w:noProof/>
        </w:rPr>
        <w:t>1035</w:t>
      </w:r>
      <w:r>
        <w:fldChar w:fldCharType="end"/>
      </w:r>
    </w:p>
    <w:p w:rsidR="0084433F" w:rsidRDefault="0084433F" w:rsidP="0084433F"/>
    <w:p w:rsidR="0084433F" w:rsidRDefault="0084433F" w:rsidP="0084433F">
      <w:pPr>
        <w:pStyle w:val="EntradandiceAuto"/>
      </w:pPr>
      <w:r>
        <w:t>Pleno. Auto 233/1997, de 24 de junio de 1997. Manteniendo la suspensión, previamente acordada, del art. 32 de la Ley 10/1996, de 31 de diciembre, de Presupuestos Generales del Principado de Asturias para 1997 en el recurso de inconstitucionalidad 1.301/1997</w:t>
      </w:r>
      <w:r>
        <w:tab/>
      </w:r>
      <w:r>
        <w:tab/>
      </w:r>
      <w:r>
        <w:fldChar w:fldCharType="begin"/>
      </w:r>
      <w:r>
        <w:instrText xml:space="preserve"> PAGEREF AUTO_1997_233 \h </w:instrText>
      </w:r>
      <w:r>
        <w:fldChar w:fldCharType="separate"/>
      </w:r>
      <w:r w:rsidR="00E14B47">
        <w:rPr>
          <w:noProof/>
        </w:rPr>
        <w:t>1036</w:t>
      </w:r>
      <w:r>
        <w:fldChar w:fldCharType="end"/>
      </w:r>
    </w:p>
    <w:p w:rsidR="0084433F" w:rsidRDefault="0084433F" w:rsidP="0084433F"/>
    <w:p w:rsidR="0084433F" w:rsidRDefault="0084433F" w:rsidP="0084433F">
      <w:pPr>
        <w:pStyle w:val="EntradandiceAuto"/>
      </w:pPr>
      <w:r>
        <w:t>Pleno. Auto 234/1997, de 24 de junio de 1997. Acordando la acumulación del recurso de inconstitucionalidad 1.316/1997 al registrado con el núm. 1.313/1997.</w:t>
      </w:r>
      <w:r>
        <w:tab/>
      </w:r>
      <w:r>
        <w:tab/>
      </w:r>
      <w:r>
        <w:fldChar w:fldCharType="begin"/>
      </w:r>
      <w:r>
        <w:instrText xml:space="preserve"> PAGEREF AUTO_1997_234 \h </w:instrText>
      </w:r>
      <w:r>
        <w:fldChar w:fldCharType="separate"/>
      </w:r>
      <w:r w:rsidR="00E14B47">
        <w:rPr>
          <w:noProof/>
        </w:rPr>
        <w:t>1040</w:t>
      </w:r>
      <w:r>
        <w:fldChar w:fldCharType="end"/>
      </w:r>
    </w:p>
    <w:p w:rsidR="0084433F" w:rsidRDefault="0084433F" w:rsidP="0084433F"/>
    <w:p w:rsidR="0084433F" w:rsidRDefault="0084433F" w:rsidP="0084433F">
      <w:pPr>
        <w:pStyle w:val="EntradandiceAuto"/>
      </w:pPr>
      <w:r>
        <w:t>Pleno. Auto 235/1997, de 24 de junio de 1997. Acordando la inadmisión a trámite de la cuestión de inconstitucionalidad 1.622/1997</w:t>
      </w:r>
      <w:r>
        <w:tab/>
      </w:r>
      <w:r>
        <w:tab/>
      </w:r>
      <w:r>
        <w:fldChar w:fldCharType="begin"/>
      </w:r>
      <w:r>
        <w:instrText xml:space="preserve"> PAGEREF AUTO_1997_235 \h </w:instrText>
      </w:r>
      <w:r>
        <w:fldChar w:fldCharType="separate"/>
      </w:r>
      <w:r w:rsidR="00E14B47">
        <w:rPr>
          <w:noProof/>
        </w:rPr>
        <w:t>1041</w:t>
      </w:r>
      <w:r>
        <w:fldChar w:fldCharType="end"/>
      </w:r>
    </w:p>
    <w:p w:rsidR="0084433F" w:rsidRDefault="0084433F" w:rsidP="0084433F"/>
    <w:p w:rsidR="0084433F" w:rsidRDefault="0084433F" w:rsidP="0084433F">
      <w:pPr>
        <w:pStyle w:val="EntradandiceAuto"/>
      </w:pPr>
      <w:r>
        <w:t>Sección Cuarta. Auto 236/1997, de 25 de junio de 1997. Acordando la inadmisión a trámite del recurso de amparo 2.861/1996.</w:t>
      </w:r>
      <w:r>
        <w:tab/>
      </w:r>
      <w:r>
        <w:tab/>
      </w:r>
      <w:r>
        <w:fldChar w:fldCharType="begin"/>
      </w:r>
      <w:r>
        <w:instrText xml:space="preserve"> PAGEREF AUTO_1997_236 \h </w:instrText>
      </w:r>
      <w:r>
        <w:fldChar w:fldCharType="separate"/>
      </w:r>
      <w:r w:rsidR="00E14B47">
        <w:rPr>
          <w:noProof/>
        </w:rPr>
        <w:t>1047</w:t>
      </w:r>
      <w:r>
        <w:fldChar w:fldCharType="end"/>
      </w:r>
    </w:p>
    <w:p w:rsidR="0084433F" w:rsidRDefault="0084433F" w:rsidP="0084433F"/>
    <w:p w:rsidR="0084433F" w:rsidRDefault="0084433F" w:rsidP="0084433F">
      <w:pPr>
        <w:pStyle w:val="EntradandiceAuto"/>
      </w:pPr>
      <w:r>
        <w:t>Sección Cuarta. Auto 237/1997, de 25 de junio de 1997. Acuerda el desistimiento en el recurso de amparo 3.652/1996, promovido en pleito civil.</w:t>
      </w:r>
      <w:r>
        <w:tab/>
      </w:r>
      <w:r>
        <w:tab/>
      </w:r>
      <w:r>
        <w:fldChar w:fldCharType="begin"/>
      </w:r>
      <w:r>
        <w:instrText xml:space="preserve"> PAGEREF AUTO_1997_237 \h </w:instrText>
      </w:r>
      <w:r>
        <w:fldChar w:fldCharType="separate"/>
      </w:r>
      <w:r w:rsidR="00E14B47">
        <w:rPr>
          <w:noProof/>
        </w:rPr>
        <w:t>1050</w:t>
      </w:r>
      <w:r>
        <w:fldChar w:fldCharType="end"/>
      </w:r>
    </w:p>
    <w:p w:rsidR="0084433F" w:rsidRDefault="0084433F" w:rsidP="0084433F"/>
    <w:p w:rsidR="0084433F" w:rsidRDefault="0084433F" w:rsidP="0084433F">
      <w:pPr>
        <w:pStyle w:val="EntradandiceAuto"/>
      </w:pPr>
      <w:r>
        <w:t>Sección Cuarta. Auto 238/1997, de 25 de junio de 1997. Acordando la inadmisión a trámite del recurso de amparo 3.857/1996.</w:t>
      </w:r>
      <w:r>
        <w:tab/>
      </w:r>
      <w:r>
        <w:tab/>
      </w:r>
      <w:r>
        <w:fldChar w:fldCharType="begin"/>
      </w:r>
      <w:r>
        <w:instrText xml:space="preserve"> PAGEREF AUTO_1997_238 \h </w:instrText>
      </w:r>
      <w:r>
        <w:fldChar w:fldCharType="separate"/>
      </w:r>
      <w:r w:rsidR="00E14B47">
        <w:rPr>
          <w:noProof/>
        </w:rPr>
        <w:t>1051</w:t>
      </w:r>
      <w:r>
        <w:fldChar w:fldCharType="end"/>
      </w:r>
    </w:p>
    <w:p w:rsidR="0084433F" w:rsidRDefault="0084433F" w:rsidP="0084433F"/>
    <w:p w:rsidR="0084433F" w:rsidRDefault="0084433F" w:rsidP="0084433F">
      <w:pPr>
        <w:pStyle w:val="EntradandiceAuto"/>
      </w:pPr>
      <w:r>
        <w:t>Sección Cuarta. Auto 239/1997, de 25 de junio de 1997. Acordando la inadmisión a trámite del recurso de amparo 4.551/1996.</w:t>
      </w:r>
      <w:r>
        <w:tab/>
      </w:r>
      <w:r>
        <w:tab/>
      </w:r>
      <w:r>
        <w:fldChar w:fldCharType="begin"/>
      </w:r>
      <w:r>
        <w:instrText xml:space="preserve"> PAGEREF AUTO_1997_239 \h </w:instrText>
      </w:r>
      <w:r>
        <w:fldChar w:fldCharType="separate"/>
      </w:r>
      <w:r w:rsidR="00E14B47">
        <w:rPr>
          <w:noProof/>
        </w:rPr>
        <w:t>1054</w:t>
      </w:r>
      <w:r>
        <w:fldChar w:fldCharType="end"/>
      </w:r>
    </w:p>
    <w:p w:rsidR="0084433F" w:rsidRDefault="0084433F" w:rsidP="0084433F"/>
    <w:p w:rsidR="0084433F" w:rsidRDefault="0084433F" w:rsidP="0084433F">
      <w:pPr>
        <w:pStyle w:val="EntradandiceAuto"/>
      </w:pPr>
      <w:r>
        <w:t>Sección Cuarta. Auto 240/1997, de 25 de junio de 1997. Acordando la inadmisión a trámite del recurso de amparo 869/1997.</w:t>
      </w:r>
      <w:r>
        <w:tab/>
      </w:r>
      <w:r>
        <w:tab/>
      </w:r>
      <w:r>
        <w:fldChar w:fldCharType="begin"/>
      </w:r>
      <w:r>
        <w:instrText xml:space="preserve"> PAGEREF AUTO_1997_240 \h </w:instrText>
      </w:r>
      <w:r>
        <w:fldChar w:fldCharType="separate"/>
      </w:r>
      <w:r w:rsidR="00E14B47">
        <w:rPr>
          <w:noProof/>
        </w:rPr>
        <w:t>1058</w:t>
      </w:r>
      <w:r>
        <w:fldChar w:fldCharType="end"/>
      </w:r>
    </w:p>
    <w:p w:rsidR="0084433F" w:rsidRDefault="0084433F" w:rsidP="0084433F"/>
    <w:p w:rsidR="0084433F" w:rsidRDefault="0084433F" w:rsidP="0084433F">
      <w:pPr>
        <w:pStyle w:val="EntradandiceAuto"/>
      </w:pPr>
      <w:r>
        <w:t>Sección Cuarta. Auto 241/1997, de 25 de junio de 1997. Acuerda el desistimiento en el recurso de amparo 1.335/1997, promovido en causa penal.</w:t>
      </w:r>
      <w:r>
        <w:tab/>
      </w:r>
      <w:r>
        <w:tab/>
      </w:r>
      <w:r>
        <w:fldChar w:fldCharType="begin"/>
      </w:r>
      <w:r>
        <w:instrText xml:space="preserve"> PAGEREF AUTO_1997_241 \h </w:instrText>
      </w:r>
      <w:r>
        <w:fldChar w:fldCharType="separate"/>
      </w:r>
      <w:r w:rsidR="00E14B47">
        <w:rPr>
          <w:noProof/>
        </w:rPr>
        <w:t>1067</w:t>
      </w:r>
      <w:r>
        <w:fldChar w:fldCharType="end"/>
      </w:r>
    </w:p>
    <w:p w:rsidR="0084433F" w:rsidRDefault="0084433F" w:rsidP="0084433F"/>
    <w:p w:rsidR="0084433F" w:rsidRDefault="0084433F" w:rsidP="0084433F">
      <w:pPr>
        <w:pStyle w:val="EntradandiceAuto"/>
      </w:pPr>
      <w:r>
        <w:t>Sala Segunda. Auto 242/1997, de 30 de junio de 1997. Acordando haber lugar al desistimiento del actor en el recurso de amparo 3.465/1994.</w:t>
      </w:r>
      <w:r>
        <w:tab/>
      </w:r>
      <w:r>
        <w:tab/>
      </w:r>
      <w:r>
        <w:fldChar w:fldCharType="begin"/>
      </w:r>
      <w:r>
        <w:instrText xml:space="preserve"> PAGEREF AUTO_1997_242 \h </w:instrText>
      </w:r>
      <w:r>
        <w:fldChar w:fldCharType="separate"/>
      </w:r>
      <w:r w:rsidR="00E14B47">
        <w:rPr>
          <w:noProof/>
        </w:rPr>
        <w:t>1068</w:t>
      </w:r>
      <w:r>
        <w:fldChar w:fldCharType="end"/>
      </w:r>
    </w:p>
    <w:p w:rsidR="0084433F" w:rsidRDefault="0084433F" w:rsidP="0084433F"/>
    <w:p w:rsidR="0084433F" w:rsidRDefault="0084433F" w:rsidP="0084433F">
      <w:pPr>
        <w:pStyle w:val="EntradandiceAuto"/>
      </w:pPr>
      <w:r>
        <w:t>Sala Segunda. Auto 243/1997, de 30 de junio de 1997. Acuerda el desistimiento en el recurso de amparo 1.241/1995, promovido en causa penal.</w:t>
      </w:r>
      <w:r>
        <w:tab/>
      </w:r>
      <w:r>
        <w:tab/>
      </w:r>
      <w:r>
        <w:fldChar w:fldCharType="begin"/>
      </w:r>
      <w:r>
        <w:instrText xml:space="preserve"> PAGEREF AUTO_1997_243 \h </w:instrText>
      </w:r>
      <w:r>
        <w:fldChar w:fldCharType="separate"/>
      </w:r>
      <w:r w:rsidR="00E14B47">
        <w:rPr>
          <w:noProof/>
        </w:rPr>
        <w:t>1069</w:t>
      </w:r>
      <w:r>
        <w:fldChar w:fldCharType="end"/>
      </w:r>
    </w:p>
    <w:p w:rsidR="0084433F" w:rsidRDefault="0084433F" w:rsidP="0084433F"/>
    <w:p w:rsidR="0084433F" w:rsidRDefault="0084433F" w:rsidP="0084433F">
      <w:pPr>
        <w:pStyle w:val="EntradandiceAuto"/>
      </w:pPr>
      <w:r>
        <w:t>Sala Segunda. Auto 244/1997, de 30 de junio de 1997. Desestimando recurso de súplica contra providencia de 29 de abril de 1997, dictada en el recurso de amparo 1.882/1995.</w:t>
      </w:r>
      <w:r>
        <w:tab/>
      </w:r>
      <w:r>
        <w:tab/>
      </w:r>
      <w:r>
        <w:fldChar w:fldCharType="begin"/>
      </w:r>
      <w:r>
        <w:instrText xml:space="preserve"> PAGEREF AUTO_1997_244 \h </w:instrText>
      </w:r>
      <w:r>
        <w:fldChar w:fldCharType="separate"/>
      </w:r>
      <w:r w:rsidR="00E14B47">
        <w:rPr>
          <w:noProof/>
        </w:rPr>
        <w:t>1070</w:t>
      </w:r>
      <w:r>
        <w:fldChar w:fldCharType="end"/>
      </w:r>
    </w:p>
    <w:p w:rsidR="0084433F" w:rsidRDefault="0084433F" w:rsidP="0084433F"/>
    <w:p w:rsidR="0084433F" w:rsidRDefault="0084433F" w:rsidP="0084433F">
      <w:pPr>
        <w:pStyle w:val="EntradandiceAuto"/>
      </w:pPr>
      <w:r>
        <w:t>Sala Segunda. Auto 245/1997, de 30 de junio de 1997. Acuerda el desistimiento en el recurso de amparo 3.888/1995, promovido en pleito civil.</w:t>
      </w:r>
      <w:r>
        <w:tab/>
      </w:r>
      <w:r>
        <w:tab/>
      </w:r>
      <w:r>
        <w:fldChar w:fldCharType="begin"/>
      </w:r>
      <w:r>
        <w:instrText xml:space="preserve"> PAGEREF AUTO_1997_245 \h </w:instrText>
      </w:r>
      <w:r>
        <w:fldChar w:fldCharType="separate"/>
      </w:r>
      <w:r w:rsidR="00E14B47">
        <w:rPr>
          <w:noProof/>
        </w:rPr>
        <w:t>1074</w:t>
      </w:r>
      <w:r>
        <w:fldChar w:fldCharType="end"/>
      </w:r>
    </w:p>
    <w:p w:rsidR="0084433F" w:rsidRDefault="0084433F" w:rsidP="0084433F"/>
    <w:p w:rsidR="0084433F" w:rsidRDefault="0084433F" w:rsidP="0084433F">
      <w:pPr>
        <w:pStyle w:val="EntradandiceAuto"/>
      </w:pPr>
      <w:r>
        <w:t>Sección Segunda. Auto 246/1997, de 30 de junio de 1997. Acordando la inadmisión a trámite del recurso de amparo 435/1996.</w:t>
      </w:r>
      <w:r>
        <w:tab/>
      </w:r>
      <w:r>
        <w:tab/>
      </w:r>
      <w:r>
        <w:fldChar w:fldCharType="begin"/>
      </w:r>
      <w:r>
        <w:instrText xml:space="preserve"> PAGEREF AUTO_1997_246 \h </w:instrText>
      </w:r>
      <w:r>
        <w:fldChar w:fldCharType="separate"/>
      </w:r>
      <w:r w:rsidR="00E14B47">
        <w:rPr>
          <w:noProof/>
        </w:rPr>
        <w:t>1075</w:t>
      </w:r>
      <w:r>
        <w:fldChar w:fldCharType="end"/>
      </w:r>
    </w:p>
    <w:p w:rsidR="0084433F" w:rsidRDefault="0084433F" w:rsidP="0084433F"/>
    <w:p w:rsidR="0084433F" w:rsidRDefault="0084433F" w:rsidP="0084433F">
      <w:pPr>
        <w:pStyle w:val="EntradandiceAuto"/>
      </w:pPr>
      <w:r>
        <w:t>Sala Segunda. Auto 247/1997, de 30 de junio de 1997. Acordando la suspensión parcial de la ejecución del acto que origina el recurso de amparo 507/1996.</w:t>
      </w:r>
      <w:r>
        <w:tab/>
      </w:r>
      <w:r>
        <w:tab/>
      </w:r>
      <w:r>
        <w:fldChar w:fldCharType="begin"/>
      </w:r>
      <w:r>
        <w:instrText xml:space="preserve"> PAGEREF AUTO_1997_247 \h </w:instrText>
      </w:r>
      <w:r>
        <w:fldChar w:fldCharType="separate"/>
      </w:r>
      <w:r w:rsidR="00E14B47">
        <w:rPr>
          <w:noProof/>
        </w:rPr>
        <w:t>1079</w:t>
      </w:r>
      <w:r>
        <w:fldChar w:fldCharType="end"/>
      </w:r>
    </w:p>
    <w:p w:rsidR="0084433F" w:rsidRDefault="0084433F" w:rsidP="0084433F"/>
    <w:p w:rsidR="0084433F" w:rsidRDefault="0084433F" w:rsidP="0084433F">
      <w:pPr>
        <w:pStyle w:val="EntradandiceAuto"/>
      </w:pPr>
      <w:r>
        <w:t>Sala Segunda. Auto 248/1997, de 30 de junio de 1997. Denegando la suspensión de la ejecución del acto que origina el recurso de amparo 2.988/1996.</w:t>
      </w:r>
      <w:r>
        <w:tab/>
      </w:r>
      <w:r>
        <w:tab/>
      </w:r>
      <w:r>
        <w:fldChar w:fldCharType="begin"/>
      </w:r>
      <w:r>
        <w:instrText xml:space="preserve"> PAGEREF AUTO_1997_248 \h </w:instrText>
      </w:r>
      <w:r>
        <w:fldChar w:fldCharType="separate"/>
      </w:r>
      <w:r w:rsidR="00E14B47">
        <w:rPr>
          <w:noProof/>
        </w:rPr>
        <w:t>1082</w:t>
      </w:r>
      <w:r>
        <w:fldChar w:fldCharType="end"/>
      </w:r>
    </w:p>
    <w:p w:rsidR="0084433F" w:rsidRDefault="0084433F" w:rsidP="0084433F"/>
    <w:p w:rsidR="0084433F" w:rsidRDefault="0084433F" w:rsidP="0084433F">
      <w:pPr>
        <w:pStyle w:val="EntradandiceAuto"/>
      </w:pPr>
      <w:r>
        <w:t>Sala Primera. Auto 249/1997, de 30 de junio de 1997. Acuerda el desistimiento en el recurso de amparo 143/1997, promovido en proceso contencioso-administrativo.</w:t>
      </w:r>
      <w:r>
        <w:tab/>
      </w:r>
      <w:r>
        <w:tab/>
      </w:r>
      <w:r>
        <w:fldChar w:fldCharType="begin"/>
      </w:r>
      <w:r>
        <w:instrText xml:space="preserve"> PAGEREF AUTO_1997_249 \h </w:instrText>
      </w:r>
      <w:r>
        <w:fldChar w:fldCharType="separate"/>
      </w:r>
      <w:r w:rsidR="00E14B47">
        <w:rPr>
          <w:noProof/>
        </w:rPr>
        <w:t>1085</w:t>
      </w:r>
      <w:r>
        <w:fldChar w:fldCharType="end"/>
      </w:r>
    </w:p>
    <w:p w:rsidR="0084433F" w:rsidRDefault="0084433F" w:rsidP="0084433F"/>
    <w:p w:rsidR="0084433F" w:rsidRDefault="0084433F" w:rsidP="0084433F">
      <w:pPr>
        <w:pStyle w:val="EntradandiceAuto"/>
      </w:pPr>
      <w:r>
        <w:t>Sección Segunda. Auto 250/1997, de 30 de junio de 1997. Acordando haber lugar al desistimiento del actor en el recurso de amparo 1.287/1997, en pleito civil.</w:t>
      </w:r>
      <w:r>
        <w:tab/>
      </w:r>
      <w:r>
        <w:tab/>
      </w:r>
      <w:r>
        <w:fldChar w:fldCharType="begin"/>
      </w:r>
      <w:r>
        <w:instrText xml:space="preserve"> PAGEREF AUTO_1997_250 \h </w:instrText>
      </w:r>
      <w:r>
        <w:fldChar w:fldCharType="separate"/>
      </w:r>
      <w:r w:rsidR="00E14B47">
        <w:rPr>
          <w:noProof/>
        </w:rPr>
        <w:t>1086</w:t>
      </w:r>
      <w:r>
        <w:fldChar w:fldCharType="end"/>
      </w:r>
    </w:p>
    <w:p w:rsidR="0084433F" w:rsidRDefault="0084433F" w:rsidP="0084433F"/>
    <w:p w:rsidR="0084433F" w:rsidRDefault="0084433F" w:rsidP="0084433F">
      <w:pPr>
        <w:pStyle w:val="EntradandiceAuto"/>
      </w:pPr>
      <w:r>
        <w:t>Sala Primera. Auto 251/1997, de 1 de julio de 1997. Denegando la suspensión de la ejecución del acto que origina el recurso de amparo 577/1997.</w:t>
      </w:r>
      <w:r>
        <w:tab/>
      </w:r>
      <w:r>
        <w:tab/>
      </w:r>
      <w:r>
        <w:fldChar w:fldCharType="begin"/>
      </w:r>
      <w:r>
        <w:instrText xml:space="preserve"> PAGEREF AUTO_1997_251 \h </w:instrText>
      </w:r>
      <w:r>
        <w:fldChar w:fldCharType="separate"/>
      </w:r>
      <w:r w:rsidR="00E14B47">
        <w:rPr>
          <w:noProof/>
        </w:rPr>
        <w:t>1087</w:t>
      </w:r>
      <w:r>
        <w:fldChar w:fldCharType="end"/>
      </w:r>
    </w:p>
    <w:p w:rsidR="0084433F" w:rsidRDefault="0084433F" w:rsidP="0084433F"/>
    <w:p w:rsidR="0084433F" w:rsidRDefault="0084433F" w:rsidP="0084433F">
      <w:pPr>
        <w:pStyle w:val="EntradandiceAuto"/>
      </w:pPr>
      <w:r>
        <w:t>Pleno. Auto 252/1997, de 1 de julio de 1997. Acordando la acumulación de las cuestiones de inconstitucionalidad 47/1997 y 1.115/1997 a la registrada con el núm. 3.536/1996.</w:t>
      </w:r>
      <w:r>
        <w:tab/>
      </w:r>
      <w:r>
        <w:tab/>
      </w:r>
      <w:r>
        <w:fldChar w:fldCharType="begin"/>
      </w:r>
      <w:r>
        <w:instrText xml:space="preserve"> PAGEREF AUTO_1997_252 \h </w:instrText>
      </w:r>
      <w:r>
        <w:fldChar w:fldCharType="separate"/>
      </w:r>
      <w:r w:rsidR="00E14B47">
        <w:rPr>
          <w:noProof/>
        </w:rPr>
        <w:t>1090</w:t>
      </w:r>
      <w:r>
        <w:fldChar w:fldCharType="end"/>
      </w:r>
    </w:p>
    <w:p w:rsidR="0084433F" w:rsidRDefault="0084433F" w:rsidP="0084433F"/>
    <w:p w:rsidR="0084433F" w:rsidRDefault="0084433F" w:rsidP="0084433F">
      <w:pPr>
        <w:pStyle w:val="EntradandiceAuto"/>
      </w:pPr>
      <w:r>
        <w:t>Sala Primera. Auto 253/1997, de 3 de julio de 1997. Acordando la suspensión parcial de la ejecución del acto que origina el recurso de amparo 3.501/1996.</w:t>
      </w:r>
      <w:r>
        <w:tab/>
      </w:r>
      <w:r>
        <w:tab/>
      </w:r>
      <w:r>
        <w:fldChar w:fldCharType="begin"/>
      </w:r>
      <w:r>
        <w:instrText xml:space="preserve"> PAGEREF AUTO_1997_253 \h </w:instrText>
      </w:r>
      <w:r>
        <w:fldChar w:fldCharType="separate"/>
      </w:r>
      <w:r w:rsidR="00E14B47">
        <w:rPr>
          <w:noProof/>
        </w:rPr>
        <w:t>1091</w:t>
      </w:r>
      <w:r>
        <w:fldChar w:fldCharType="end"/>
      </w:r>
    </w:p>
    <w:p w:rsidR="0084433F" w:rsidRDefault="0084433F" w:rsidP="0084433F"/>
    <w:p w:rsidR="0084433F" w:rsidRDefault="0084433F" w:rsidP="0084433F">
      <w:pPr>
        <w:pStyle w:val="EntradandiceAuto"/>
      </w:pPr>
      <w:r>
        <w:t>Sección Segunda. Auto 254/1997, de 8 de julio de 1997. Acordando la inadmisión a trámite del recurso de amparo 1.138/1997.</w:t>
      </w:r>
      <w:r>
        <w:tab/>
      </w:r>
      <w:r>
        <w:tab/>
      </w:r>
      <w:r>
        <w:fldChar w:fldCharType="begin"/>
      </w:r>
      <w:r>
        <w:instrText xml:space="preserve"> PAGEREF AUTO_1997_254 \h </w:instrText>
      </w:r>
      <w:r>
        <w:fldChar w:fldCharType="separate"/>
      </w:r>
      <w:r w:rsidR="00E14B47">
        <w:rPr>
          <w:noProof/>
        </w:rPr>
        <w:t>1095</w:t>
      </w:r>
      <w:r>
        <w:fldChar w:fldCharType="end"/>
      </w:r>
    </w:p>
    <w:p w:rsidR="0084433F" w:rsidRDefault="0084433F" w:rsidP="0084433F"/>
    <w:p w:rsidR="0084433F" w:rsidRDefault="0084433F" w:rsidP="0084433F">
      <w:pPr>
        <w:pStyle w:val="EntradandiceAuto"/>
      </w:pPr>
      <w:r>
        <w:t>Sección Tercera. Auto 255/1997, de 1 de julio de 1997. Acuerda el desistimiento en el recurso de amparo 3.280/1996, promovido en litigio social.</w:t>
      </w:r>
      <w:r>
        <w:tab/>
      </w:r>
      <w:r>
        <w:tab/>
      </w:r>
      <w:r>
        <w:fldChar w:fldCharType="begin"/>
      </w:r>
      <w:r>
        <w:instrText xml:space="preserve"> PAGEREF AUTO_1997_255 \h </w:instrText>
      </w:r>
      <w:r>
        <w:fldChar w:fldCharType="separate"/>
      </w:r>
      <w:r w:rsidR="00E14B47">
        <w:rPr>
          <w:noProof/>
        </w:rPr>
        <w:t>1100</w:t>
      </w:r>
      <w:r>
        <w:fldChar w:fldCharType="end"/>
      </w:r>
    </w:p>
    <w:p w:rsidR="0084433F" w:rsidRDefault="0084433F" w:rsidP="0084433F"/>
    <w:p w:rsidR="0084433F" w:rsidRDefault="0084433F" w:rsidP="0084433F">
      <w:pPr>
        <w:pStyle w:val="EntradandiceAuto"/>
      </w:pPr>
      <w:r>
        <w:t>Sección Cuarta. Auto 256/1997, de 9 de julio de 1997. Acuerda el desistimiento en el recurso de amparo 699/1997.</w:t>
      </w:r>
      <w:r>
        <w:tab/>
      </w:r>
      <w:r>
        <w:tab/>
      </w:r>
      <w:r>
        <w:fldChar w:fldCharType="begin"/>
      </w:r>
      <w:r>
        <w:instrText xml:space="preserve"> PAGEREF AUTO_1997_256 \h </w:instrText>
      </w:r>
      <w:r>
        <w:fldChar w:fldCharType="separate"/>
      </w:r>
      <w:r w:rsidR="00E14B47">
        <w:rPr>
          <w:noProof/>
        </w:rPr>
        <w:t>1101</w:t>
      </w:r>
      <w:r>
        <w:fldChar w:fldCharType="end"/>
      </w:r>
    </w:p>
    <w:p w:rsidR="0084433F" w:rsidRDefault="0084433F" w:rsidP="0084433F"/>
    <w:p w:rsidR="0084433F" w:rsidRDefault="0084433F" w:rsidP="0084433F">
      <w:pPr>
        <w:pStyle w:val="EntradandiceAuto"/>
      </w:pPr>
      <w:r>
        <w:t>Sección Cuarta. Auto 257/1997, de 9 de julio de 1997. Acuerda el desistimiento del actor en el recurso de amparo 1.145/1997.</w:t>
      </w:r>
      <w:r>
        <w:tab/>
      </w:r>
      <w:r>
        <w:tab/>
      </w:r>
      <w:r>
        <w:fldChar w:fldCharType="begin"/>
      </w:r>
      <w:r>
        <w:instrText xml:space="preserve"> PAGEREF AUTO_1997_257 \h </w:instrText>
      </w:r>
      <w:r>
        <w:fldChar w:fldCharType="separate"/>
      </w:r>
      <w:r w:rsidR="00E14B47">
        <w:rPr>
          <w:noProof/>
        </w:rPr>
        <w:t>1102</w:t>
      </w:r>
      <w:r>
        <w:fldChar w:fldCharType="end"/>
      </w:r>
    </w:p>
    <w:p w:rsidR="0084433F" w:rsidRDefault="0084433F" w:rsidP="0084433F"/>
    <w:p w:rsidR="0084433F" w:rsidRDefault="0084433F" w:rsidP="0084433F">
      <w:pPr>
        <w:pStyle w:val="EntradandiceAuto"/>
      </w:pPr>
      <w:r>
        <w:t>Sala Segunda. Auto 258/1997, de 14 de julio de 1997. Desestimando recurso de súplica contra providencia de 17 de abril de 1997 dictada en el recurso de amparo 3.157/1992.</w:t>
      </w:r>
      <w:r>
        <w:tab/>
      </w:r>
      <w:r>
        <w:tab/>
      </w:r>
      <w:r>
        <w:fldChar w:fldCharType="begin"/>
      </w:r>
      <w:r>
        <w:instrText xml:space="preserve"> PAGEREF AUTO_1997_258 \h </w:instrText>
      </w:r>
      <w:r>
        <w:fldChar w:fldCharType="separate"/>
      </w:r>
      <w:r w:rsidR="00E14B47">
        <w:rPr>
          <w:noProof/>
        </w:rPr>
        <w:t>1103</w:t>
      </w:r>
      <w:r>
        <w:fldChar w:fldCharType="end"/>
      </w:r>
    </w:p>
    <w:p w:rsidR="0084433F" w:rsidRDefault="0084433F" w:rsidP="0084433F"/>
    <w:p w:rsidR="0084433F" w:rsidRDefault="0084433F" w:rsidP="0084433F">
      <w:pPr>
        <w:pStyle w:val="EntradandiceAuto"/>
      </w:pPr>
      <w:r>
        <w:t>Sala Primera. Auto 259/1997, de 14 de julio de 1997. Declarando la extinción, por satisfacción extraprocesal, del recurso de amparo 3.511/1996.</w:t>
      </w:r>
      <w:r>
        <w:tab/>
      </w:r>
      <w:r>
        <w:tab/>
      </w:r>
      <w:r>
        <w:fldChar w:fldCharType="begin"/>
      </w:r>
      <w:r>
        <w:instrText xml:space="preserve"> PAGEREF AUTO_1997_259 \h </w:instrText>
      </w:r>
      <w:r>
        <w:fldChar w:fldCharType="separate"/>
      </w:r>
      <w:r w:rsidR="00E14B47">
        <w:rPr>
          <w:noProof/>
        </w:rPr>
        <w:t>1106</w:t>
      </w:r>
      <w:r>
        <w:fldChar w:fldCharType="end"/>
      </w:r>
    </w:p>
    <w:p w:rsidR="0084433F" w:rsidRDefault="0084433F" w:rsidP="0084433F"/>
    <w:p w:rsidR="0084433F" w:rsidRDefault="0084433F" w:rsidP="0084433F">
      <w:pPr>
        <w:pStyle w:val="EntradandiceAuto"/>
      </w:pPr>
      <w:r>
        <w:t>Sección Tercera. Auto 260/1997, de 14 de julio de 1997. Desestimando recurso de súplica contra providencia de 26 de mayo de 1997, dictada en el recurso de amparo 3.701/1996.</w:t>
      </w:r>
      <w:r>
        <w:tab/>
      </w:r>
      <w:r>
        <w:tab/>
      </w:r>
      <w:r>
        <w:fldChar w:fldCharType="begin"/>
      </w:r>
      <w:r>
        <w:instrText xml:space="preserve"> PAGEREF AUTO_1997_260 \h </w:instrText>
      </w:r>
      <w:r>
        <w:fldChar w:fldCharType="separate"/>
      </w:r>
      <w:r w:rsidR="00E14B47">
        <w:rPr>
          <w:noProof/>
        </w:rPr>
        <w:t>1107</w:t>
      </w:r>
      <w:r>
        <w:fldChar w:fldCharType="end"/>
      </w:r>
    </w:p>
    <w:p w:rsidR="0084433F" w:rsidRDefault="0084433F" w:rsidP="0084433F"/>
    <w:p w:rsidR="0084433F" w:rsidRDefault="0084433F" w:rsidP="0084433F">
      <w:pPr>
        <w:pStyle w:val="EntradandiceAuto"/>
      </w:pPr>
      <w:r>
        <w:t>Sala Segunda. Auto 261/1997, de 14 de julio de 1997. Acordando la suspensión parcial de la ejecución del acto que origina el recurso de amparo 4.227/1996.</w:t>
      </w:r>
      <w:r>
        <w:tab/>
      </w:r>
      <w:r>
        <w:tab/>
      </w:r>
      <w:r>
        <w:fldChar w:fldCharType="begin"/>
      </w:r>
      <w:r>
        <w:instrText xml:space="preserve"> PAGEREF AUTO_1997_261 \h </w:instrText>
      </w:r>
      <w:r>
        <w:fldChar w:fldCharType="separate"/>
      </w:r>
      <w:r w:rsidR="00E14B47">
        <w:rPr>
          <w:noProof/>
        </w:rPr>
        <w:t>1112</w:t>
      </w:r>
      <w:r>
        <w:fldChar w:fldCharType="end"/>
      </w:r>
    </w:p>
    <w:p w:rsidR="0084433F" w:rsidRDefault="0084433F" w:rsidP="0084433F"/>
    <w:p w:rsidR="0084433F" w:rsidRDefault="0084433F" w:rsidP="0084433F">
      <w:pPr>
        <w:pStyle w:val="EntradandiceAuto"/>
      </w:pPr>
      <w:r>
        <w:t>Sala Segunda. Auto 262/1997, de 14 de julio de 1997. Acordando la acumulación del recurso de amparo 4.227/1996 a los registrados con los núms. 4.229/1996 y 4.231/1996.</w:t>
      </w:r>
      <w:r>
        <w:tab/>
      </w:r>
      <w:r>
        <w:tab/>
      </w:r>
      <w:r>
        <w:fldChar w:fldCharType="begin"/>
      </w:r>
      <w:r>
        <w:instrText xml:space="preserve"> PAGEREF AUTO_1997_262 \h </w:instrText>
      </w:r>
      <w:r>
        <w:fldChar w:fldCharType="separate"/>
      </w:r>
      <w:r w:rsidR="00E14B47">
        <w:rPr>
          <w:noProof/>
        </w:rPr>
        <w:t>1115</w:t>
      </w:r>
      <w:r>
        <w:fldChar w:fldCharType="end"/>
      </w:r>
    </w:p>
    <w:p w:rsidR="0084433F" w:rsidRDefault="0084433F" w:rsidP="0084433F"/>
    <w:p w:rsidR="0084433F" w:rsidRDefault="0084433F" w:rsidP="0084433F">
      <w:pPr>
        <w:pStyle w:val="EntradandiceAuto"/>
      </w:pPr>
      <w:r>
        <w:lastRenderedPageBreak/>
        <w:t>Sección Primera. Auto 263/1997, de 14 de julio de 1997. Acordando la inadmisión a trámite del recurso de amparo 4.357/1996.</w:t>
      </w:r>
      <w:r>
        <w:tab/>
      </w:r>
      <w:r>
        <w:tab/>
      </w:r>
      <w:r>
        <w:fldChar w:fldCharType="begin"/>
      </w:r>
      <w:r>
        <w:instrText xml:space="preserve"> PAGEREF AUTO_1997_263 \h </w:instrText>
      </w:r>
      <w:r>
        <w:fldChar w:fldCharType="separate"/>
      </w:r>
      <w:r w:rsidR="00E14B47">
        <w:rPr>
          <w:noProof/>
        </w:rPr>
        <w:t>1116</w:t>
      </w:r>
      <w:r>
        <w:fldChar w:fldCharType="end"/>
      </w:r>
    </w:p>
    <w:p w:rsidR="0084433F" w:rsidRDefault="0084433F" w:rsidP="0084433F"/>
    <w:p w:rsidR="0084433F" w:rsidRDefault="0084433F" w:rsidP="0084433F">
      <w:pPr>
        <w:pStyle w:val="EntradandiceAuto"/>
      </w:pPr>
      <w:r>
        <w:t>Sección Primera. Auto 264/1997, de 14 de julio de 1997. Acordando la inadmisión a trámite del recurso de amparo 4.532/1996.</w:t>
      </w:r>
      <w:r>
        <w:tab/>
      </w:r>
      <w:r>
        <w:tab/>
      </w:r>
      <w:r>
        <w:fldChar w:fldCharType="begin"/>
      </w:r>
      <w:r>
        <w:instrText xml:space="preserve"> PAGEREF AUTO_1997_264 \h </w:instrText>
      </w:r>
      <w:r>
        <w:fldChar w:fldCharType="separate"/>
      </w:r>
      <w:r w:rsidR="00E14B47">
        <w:rPr>
          <w:noProof/>
        </w:rPr>
        <w:t>1119</w:t>
      </w:r>
      <w:r>
        <w:fldChar w:fldCharType="end"/>
      </w:r>
    </w:p>
    <w:p w:rsidR="0084433F" w:rsidRDefault="0084433F" w:rsidP="0084433F"/>
    <w:p w:rsidR="0084433F" w:rsidRDefault="0084433F" w:rsidP="0084433F">
      <w:pPr>
        <w:pStyle w:val="EntradandiceAuto"/>
      </w:pPr>
      <w:r>
        <w:t>Sala Segunda. Auto 265/1997, de 14 de julio de 1997. Acordando la suspensión de la ejecución del acto que origina el recurso de amparo 4.636/1996.</w:t>
      </w:r>
      <w:r>
        <w:tab/>
      </w:r>
      <w:r>
        <w:tab/>
      </w:r>
      <w:r>
        <w:fldChar w:fldCharType="begin"/>
      </w:r>
      <w:r>
        <w:instrText xml:space="preserve"> PAGEREF AUTO_1997_265 \h </w:instrText>
      </w:r>
      <w:r>
        <w:fldChar w:fldCharType="separate"/>
      </w:r>
      <w:r w:rsidR="00E14B47">
        <w:rPr>
          <w:noProof/>
        </w:rPr>
        <w:t>1122</w:t>
      </w:r>
      <w:r>
        <w:fldChar w:fldCharType="end"/>
      </w:r>
    </w:p>
    <w:p w:rsidR="0084433F" w:rsidRDefault="0084433F" w:rsidP="0084433F"/>
    <w:p w:rsidR="0084433F" w:rsidRDefault="0084433F" w:rsidP="0084433F">
      <w:pPr>
        <w:pStyle w:val="EntradandiceAuto"/>
      </w:pPr>
      <w:r>
        <w:t>Sala Primera. Auto 266/1997, de 14 de julio de 1997. Acordando la suspensión parcial de la ejecución del acto que origina el recurso de amparo 115/1997.</w:t>
      </w:r>
      <w:r>
        <w:tab/>
      </w:r>
      <w:r>
        <w:tab/>
      </w:r>
      <w:r>
        <w:fldChar w:fldCharType="begin"/>
      </w:r>
      <w:r>
        <w:instrText xml:space="preserve"> PAGEREF AUTO_1997_266 \h </w:instrText>
      </w:r>
      <w:r>
        <w:fldChar w:fldCharType="separate"/>
      </w:r>
      <w:r w:rsidR="00E14B47">
        <w:rPr>
          <w:noProof/>
        </w:rPr>
        <w:t>1125</w:t>
      </w:r>
      <w:r>
        <w:fldChar w:fldCharType="end"/>
      </w:r>
    </w:p>
    <w:p w:rsidR="0084433F" w:rsidRDefault="0084433F" w:rsidP="0084433F"/>
    <w:p w:rsidR="0084433F" w:rsidRDefault="0084433F" w:rsidP="0084433F">
      <w:pPr>
        <w:pStyle w:val="EntradandiceAuto"/>
      </w:pPr>
      <w:r>
        <w:t>Sección Tercera. Auto 267/1997, de 14 de julio de 1997. Acordando la inadmisión a trámite del recurso de amparo 1.028/1997.</w:t>
      </w:r>
      <w:r>
        <w:tab/>
      </w:r>
      <w:r>
        <w:tab/>
      </w:r>
      <w:r>
        <w:fldChar w:fldCharType="begin"/>
      </w:r>
      <w:r>
        <w:instrText xml:space="preserve"> PAGEREF AUTO_1997_267 \h </w:instrText>
      </w:r>
      <w:r>
        <w:fldChar w:fldCharType="separate"/>
      </w:r>
      <w:r w:rsidR="00E14B47">
        <w:rPr>
          <w:noProof/>
        </w:rPr>
        <w:t>1128</w:t>
      </w:r>
      <w:r>
        <w:fldChar w:fldCharType="end"/>
      </w:r>
    </w:p>
    <w:p w:rsidR="0084433F" w:rsidRDefault="0084433F" w:rsidP="0084433F"/>
    <w:p w:rsidR="0084433F" w:rsidRDefault="0084433F" w:rsidP="0084433F">
      <w:pPr>
        <w:pStyle w:val="EntradandiceAuto"/>
      </w:pPr>
      <w:r>
        <w:t>Sección Primera. Auto 268/1997, de 14 de julio de 1997. Acordando la inadmisión a trámite del recurso de amparo 1.146/1997.</w:t>
      </w:r>
      <w:r>
        <w:tab/>
      </w:r>
      <w:r>
        <w:tab/>
      </w:r>
      <w:r>
        <w:fldChar w:fldCharType="begin"/>
      </w:r>
      <w:r>
        <w:instrText xml:space="preserve"> PAGEREF AUTO_1997_268 \h </w:instrText>
      </w:r>
      <w:r>
        <w:fldChar w:fldCharType="separate"/>
      </w:r>
      <w:r w:rsidR="00E14B47">
        <w:rPr>
          <w:noProof/>
        </w:rPr>
        <w:t>1133</w:t>
      </w:r>
      <w:r>
        <w:fldChar w:fldCharType="end"/>
      </w:r>
    </w:p>
    <w:p w:rsidR="0084433F" w:rsidRDefault="0084433F" w:rsidP="0084433F"/>
    <w:p w:rsidR="0084433F" w:rsidRDefault="0084433F" w:rsidP="0084433F">
      <w:pPr>
        <w:pStyle w:val="EntradandiceAuto"/>
      </w:pPr>
      <w:r>
        <w:t>Pleno. Auto 269/1997, de 15 de julio de 1997. Acordando la acumulación de las cuestiones de inconstitucionalidad 2.820/1996, 4.626/1996, 4.646/1996 y 745/1997 a los recursos de inconstitucionalidad 572/1989, 587/1989, 591/1989 y a la cuestión de inconstitucionalidad 2.679/1996, ya acumulados.</w:t>
      </w:r>
      <w:r>
        <w:tab/>
      </w:r>
      <w:r>
        <w:tab/>
      </w:r>
      <w:r>
        <w:fldChar w:fldCharType="begin"/>
      </w:r>
      <w:r>
        <w:instrText xml:space="preserve"> PAGEREF AUTO_1997_269 \h </w:instrText>
      </w:r>
      <w:r>
        <w:fldChar w:fldCharType="separate"/>
      </w:r>
      <w:r w:rsidR="00E14B47">
        <w:rPr>
          <w:noProof/>
        </w:rPr>
        <w:t>1137</w:t>
      </w:r>
      <w:r>
        <w:fldChar w:fldCharType="end"/>
      </w:r>
    </w:p>
    <w:p w:rsidR="0084433F" w:rsidRDefault="0084433F" w:rsidP="0084433F"/>
    <w:p w:rsidR="0084433F" w:rsidRDefault="0084433F" w:rsidP="0084433F">
      <w:pPr>
        <w:pStyle w:val="EntradandiceAuto"/>
      </w:pPr>
      <w:r>
        <w:t>Pleno. Auto 270/1997, de 15 de julio de 1997. Manteniendo la suspensión, previamente acordada, del art. 51 de la Ley del Parlamento de Canarias 5/1996, de Presupuestos Generales de Canarias para 1997, en el recurso de inconstitucionalidad 1.297/1997</w:t>
      </w:r>
      <w:r>
        <w:tab/>
      </w:r>
      <w:r>
        <w:tab/>
      </w:r>
      <w:r>
        <w:fldChar w:fldCharType="begin"/>
      </w:r>
      <w:r>
        <w:instrText xml:space="preserve"> PAGEREF AUTO_1997_270 \h </w:instrText>
      </w:r>
      <w:r>
        <w:fldChar w:fldCharType="separate"/>
      </w:r>
      <w:r w:rsidR="00E14B47">
        <w:rPr>
          <w:noProof/>
        </w:rPr>
        <w:t>1138</w:t>
      </w:r>
      <w:r>
        <w:fldChar w:fldCharType="end"/>
      </w:r>
    </w:p>
    <w:p w:rsidR="0084433F" w:rsidRDefault="0084433F" w:rsidP="0084433F"/>
    <w:p w:rsidR="0084433F" w:rsidRDefault="0084433F" w:rsidP="0084433F">
      <w:pPr>
        <w:pStyle w:val="EntradandiceAuto"/>
      </w:pPr>
      <w:r>
        <w:t>Pleno. Auto 271/1997, de 15 de julio de 1997. Manteniendo la suspensión, previamente acordada, de determinados preceptos de la Ley del Parlamento Vaso 10/1996, de Presupuestos Generales del País Vasco para 1997, en el recurso de inconstitucionalidad 1.298/1997</w:t>
      </w:r>
      <w:r>
        <w:tab/>
      </w:r>
      <w:r>
        <w:tab/>
      </w:r>
      <w:r>
        <w:fldChar w:fldCharType="begin"/>
      </w:r>
      <w:r>
        <w:instrText xml:space="preserve"> PAGEREF AUTO_1997_271 \h </w:instrText>
      </w:r>
      <w:r>
        <w:fldChar w:fldCharType="separate"/>
      </w:r>
      <w:r w:rsidR="00E14B47">
        <w:rPr>
          <w:noProof/>
        </w:rPr>
        <w:t>1143</w:t>
      </w:r>
      <w:r>
        <w:fldChar w:fldCharType="end"/>
      </w:r>
    </w:p>
    <w:p w:rsidR="0084433F" w:rsidRDefault="0084433F" w:rsidP="0084433F"/>
    <w:p w:rsidR="0084433F" w:rsidRDefault="0084433F" w:rsidP="0084433F">
      <w:pPr>
        <w:pStyle w:val="EntradandiceAuto"/>
      </w:pPr>
      <w:r>
        <w:t>Pleno. Auto 272/1997, de 15 de julio de 1997. Acordando la acumulación de los recursos de inconstitucionalidad 1.105/1997 y otros catorce a los registrados con los núms. 104/1997, 105/1997 y 106/1997.</w:t>
      </w:r>
      <w:r>
        <w:tab/>
      </w:r>
      <w:r>
        <w:tab/>
      </w:r>
      <w:r>
        <w:fldChar w:fldCharType="begin"/>
      </w:r>
      <w:r>
        <w:instrText xml:space="preserve"> PAGEREF AUTO_1997_272 \h </w:instrText>
      </w:r>
      <w:r>
        <w:fldChar w:fldCharType="separate"/>
      </w:r>
      <w:r w:rsidR="00E14B47">
        <w:rPr>
          <w:noProof/>
        </w:rPr>
        <w:t>1148</w:t>
      </w:r>
      <w:r>
        <w:fldChar w:fldCharType="end"/>
      </w:r>
    </w:p>
    <w:p w:rsidR="0084433F" w:rsidRDefault="0084433F" w:rsidP="0084433F"/>
    <w:p w:rsidR="0084433F" w:rsidRDefault="0084433F" w:rsidP="0084433F">
      <w:pPr>
        <w:pStyle w:val="EntradandiceAuto"/>
      </w:pPr>
      <w:r>
        <w:t>Pleno. Auto 273/1997, de 15 de julio de 1997. Estimando recurso de súplica contra providencia de 3 de junio de q997, dictada en la cuestión de inconstitucionalidad 1.708/1997</w:t>
      </w:r>
      <w:r>
        <w:tab/>
      </w:r>
      <w:r>
        <w:tab/>
      </w:r>
      <w:r>
        <w:fldChar w:fldCharType="begin"/>
      </w:r>
      <w:r>
        <w:instrText xml:space="preserve"> PAGEREF AUTO_1997_273 \h </w:instrText>
      </w:r>
      <w:r>
        <w:fldChar w:fldCharType="separate"/>
      </w:r>
      <w:r w:rsidR="00E14B47">
        <w:rPr>
          <w:noProof/>
        </w:rPr>
        <w:t>1149</w:t>
      </w:r>
      <w:r>
        <w:fldChar w:fldCharType="end"/>
      </w:r>
    </w:p>
    <w:p w:rsidR="0084433F" w:rsidRDefault="0084433F" w:rsidP="0084433F"/>
    <w:p w:rsidR="0084433F" w:rsidRDefault="0084433F" w:rsidP="0084433F">
      <w:pPr>
        <w:pStyle w:val="EntradandiceAuto"/>
      </w:pPr>
      <w:r>
        <w:t>Sección Cuarta. Auto 274/1997, de 16 de julio de 1997. Acordando la inadmisión a trámite del recurso de amparo 184/1996.</w:t>
      </w:r>
      <w:r>
        <w:tab/>
      </w:r>
      <w:r>
        <w:tab/>
      </w:r>
      <w:r>
        <w:fldChar w:fldCharType="begin"/>
      </w:r>
      <w:r>
        <w:instrText xml:space="preserve"> PAGEREF AUTO_1997_274 \h </w:instrText>
      </w:r>
      <w:r>
        <w:fldChar w:fldCharType="separate"/>
      </w:r>
      <w:r w:rsidR="00E14B47">
        <w:rPr>
          <w:noProof/>
        </w:rPr>
        <w:t>1154</w:t>
      </w:r>
      <w:r>
        <w:fldChar w:fldCharType="end"/>
      </w:r>
    </w:p>
    <w:p w:rsidR="0084433F" w:rsidRDefault="0084433F" w:rsidP="0084433F"/>
    <w:p w:rsidR="0084433F" w:rsidRDefault="0084433F" w:rsidP="0084433F">
      <w:pPr>
        <w:pStyle w:val="EntradandiceAuto"/>
      </w:pPr>
      <w:r>
        <w:t>Sección Cuarta. Auto 275/1997, de 16 de julio de 1997. Acordando la inadmisión a trámite del recurso de amparo 3.474/1996.</w:t>
      </w:r>
      <w:r>
        <w:tab/>
      </w:r>
      <w:r>
        <w:tab/>
      </w:r>
      <w:r>
        <w:fldChar w:fldCharType="begin"/>
      </w:r>
      <w:r>
        <w:instrText xml:space="preserve"> PAGEREF AUTO_1997_275 \h </w:instrText>
      </w:r>
      <w:r>
        <w:fldChar w:fldCharType="separate"/>
      </w:r>
      <w:r w:rsidR="00E14B47">
        <w:rPr>
          <w:noProof/>
        </w:rPr>
        <w:t>1157</w:t>
      </w:r>
      <w:r>
        <w:fldChar w:fldCharType="end"/>
      </w:r>
    </w:p>
    <w:p w:rsidR="0084433F" w:rsidRDefault="0084433F" w:rsidP="0084433F"/>
    <w:p w:rsidR="0084433F" w:rsidRDefault="0084433F" w:rsidP="0084433F">
      <w:pPr>
        <w:pStyle w:val="EntradandiceAuto"/>
      </w:pPr>
      <w:r>
        <w:t>Sección Cuarta. Auto 276/1997, de 16 de julio de 1997. Acuerda el desistimiento en el recurso de amparo 494/1997.</w:t>
      </w:r>
      <w:r>
        <w:tab/>
      </w:r>
      <w:r>
        <w:tab/>
      </w:r>
      <w:r>
        <w:fldChar w:fldCharType="begin"/>
      </w:r>
      <w:r>
        <w:instrText xml:space="preserve"> PAGEREF AUTO_1997_276 \h </w:instrText>
      </w:r>
      <w:r>
        <w:fldChar w:fldCharType="separate"/>
      </w:r>
      <w:r w:rsidR="00E14B47">
        <w:rPr>
          <w:noProof/>
        </w:rPr>
        <w:t>1162</w:t>
      </w:r>
      <w:r>
        <w:fldChar w:fldCharType="end"/>
      </w:r>
    </w:p>
    <w:p w:rsidR="0084433F" w:rsidRDefault="0084433F" w:rsidP="0084433F"/>
    <w:p w:rsidR="0084433F" w:rsidRDefault="0084433F" w:rsidP="0084433F">
      <w:pPr>
        <w:pStyle w:val="EntradandiceAuto"/>
      </w:pPr>
      <w:r>
        <w:t>Sección Cuarta. Auto 277/1997, de 16 de julio de 1997. Acordando la inadmisión a trámite del recurso de amparo 826/1997.</w:t>
      </w:r>
      <w:r>
        <w:tab/>
      </w:r>
      <w:r>
        <w:tab/>
      </w:r>
      <w:r>
        <w:fldChar w:fldCharType="begin"/>
      </w:r>
      <w:r>
        <w:instrText xml:space="preserve"> PAGEREF AUTO_1997_277 \h </w:instrText>
      </w:r>
      <w:r>
        <w:fldChar w:fldCharType="separate"/>
      </w:r>
      <w:r w:rsidR="00E14B47">
        <w:rPr>
          <w:noProof/>
        </w:rPr>
        <w:t>1163</w:t>
      </w:r>
      <w:r>
        <w:fldChar w:fldCharType="end"/>
      </w:r>
    </w:p>
    <w:p w:rsidR="0084433F" w:rsidRDefault="0084433F" w:rsidP="0084433F"/>
    <w:p w:rsidR="0084433F" w:rsidRDefault="0084433F" w:rsidP="0084433F">
      <w:pPr>
        <w:pStyle w:val="EntradandiceAuto"/>
      </w:pPr>
      <w:r>
        <w:t>Sección Cuarta. Auto 278/1997, de 16 de julio de 1997. Acordando la inadmisión a trámite del recurso de amparo 1.211/1997.</w:t>
      </w:r>
      <w:r>
        <w:tab/>
      </w:r>
      <w:r>
        <w:tab/>
      </w:r>
      <w:r>
        <w:fldChar w:fldCharType="begin"/>
      </w:r>
      <w:r>
        <w:instrText xml:space="preserve"> PAGEREF AUTO_1997_278 \h </w:instrText>
      </w:r>
      <w:r>
        <w:fldChar w:fldCharType="separate"/>
      </w:r>
      <w:r w:rsidR="00E14B47">
        <w:rPr>
          <w:noProof/>
        </w:rPr>
        <w:t>1168</w:t>
      </w:r>
      <w:r>
        <w:fldChar w:fldCharType="end"/>
      </w:r>
    </w:p>
    <w:p w:rsidR="0084433F" w:rsidRDefault="0084433F" w:rsidP="0084433F"/>
    <w:p w:rsidR="0084433F" w:rsidRDefault="0084433F" w:rsidP="0084433F">
      <w:pPr>
        <w:pStyle w:val="EntradandiceAuto"/>
      </w:pPr>
      <w:r>
        <w:t>Pleno. Auto 279/1997, de 17 de julio de 1997. Acordando la aclaración de la STC 133/1997.</w:t>
      </w:r>
      <w:r>
        <w:tab/>
      </w:r>
      <w:r>
        <w:tab/>
      </w:r>
      <w:r>
        <w:fldChar w:fldCharType="begin"/>
      </w:r>
      <w:r>
        <w:instrText xml:space="preserve"> PAGEREF AUTO_1997_279 \h </w:instrText>
      </w:r>
      <w:r>
        <w:fldChar w:fldCharType="separate"/>
      </w:r>
      <w:r w:rsidR="00E14B47">
        <w:rPr>
          <w:noProof/>
        </w:rPr>
        <w:t>1170</w:t>
      </w:r>
      <w:r>
        <w:fldChar w:fldCharType="end"/>
      </w:r>
    </w:p>
    <w:p w:rsidR="0084433F" w:rsidRDefault="0084433F" w:rsidP="0084433F"/>
    <w:p w:rsidR="0084433F" w:rsidRDefault="0084433F" w:rsidP="0084433F">
      <w:pPr>
        <w:pStyle w:val="EntradandiceAuto"/>
      </w:pPr>
      <w:r>
        <w:t>Sala Primera. Auto 280/1997, de 21 de julio de 1997. Denegando la suspensión de la ejecución del acto que origina el recurso de amparo 1.316/1996.</w:t>
      </w:r>
      <w:r>
        <w:tab/>
      </w:r>
      <w:r>
        <w:tab/>
      </w:r>
      <w:r>
        <w:fldChar w:fldCharType="begin"/>
      </w:r>
      <w:r>
        <w:instrText xml:space="preserve"> PAGEREF AUTO_1997_280 \h </w:instrText>
      </w:r>
      <w:r>
        <w:fldChar w:fldCharType="separate"/>
      </w:r>
      <w:r w:rsidR="00E14B47">
        <w:rPr>
          <w:noProof/>
        </w:rPr>
        <w:t>1173</w:t>
      </w:r>
      <w:r>
        <w:fldChar w:fldCharType="end"/>
      </w:r>
    </w:p>
    <w:p w:rsidR="0084433F" w:rsidRDefault="0084433F" w:rsidP="0084433F"/>
    <w:p w:rsidR="0084433F" w:rsidRDefault="0084433F" w:rsidP="0084433F">
      <w:pPr>
        <w:pStyle w:val="EntradandiceAuto"/>
      </w:pPr>
      <w:r>
        <w:t>Sala Segunda. Auto 281/1997, de 21 de julio de 1997. Denegando la modificación de la suspensión acordada en el recurso de amparo 3.029/1996.</w:t>
      </w:r>
      <w:r>
        <w:tab/>
      </w:r>
      <w:r>
        <w:tab/>
      </w:r>
      <w:r>
        <w:fldChar w:fldCharType="begin"/>
      </w:r>
      <w:r>
        <w:instrText xml:space="preserve"> PAGEREF AUTO_1997_281 \h </w:instrText>
      </w:r>
      <w:r>
        <w:fldChar w:fldCharType="separate"/>
      </w:r>
      <w:r w:rsidR="00E14B47">
        <w:rPr>
          <w:noProof/>
        </w:rPr>
        <w:t>1176</w:t>
      </w:r>
      <w:r>
        <w:fldChar w:fldCharType="end"/>
      </w:r>
    </w:p>
    <w:p w:rsidR="0084433F" w:rsidRDefault="0084433F" w:rsidP="0084433F"/>
    <w:p w:rsidR="0084433F" w:rsidRDefault="0084433F" w:rsidP="0084433F">
      <w:pPr>
        <w:pStyle w:val="EntradandiceAuto"/>
      </w:pPr>
      <w:r>
        <w:t>Sala Primera. Auto 282/1997, de 21 de julio de 1997. Denegando la suspensión de la ejecución del acto que origina el recurso de amparo 4.423/1996.</w:t>
      </w:r>
      <w:r>
        <w:tab/>
      </w:r>
      <w:r>
        <w:tab/>
      </w:r>
      <w:r>
        <w:fldChar w:fldCharType="begin"/>
      </w:r>
      <w:r>
        <w:instrText xml:space="preserve"> PAGEREF AUTO_1997_282 \h </w:instrText>
      </w:r>
      <w:r>
        <w:fldChar w:fldCharType="separate"/>
      </w:r>
      <w:r w:rsidR="00E14B47">
        <w:rPr>
          <w:noProof/>
        </w:rPr>
        <w:t>1178</w:t>
      </w:r>
      <w:r>
        <w:fldChar w:fldCharType="end"/>
      </w:r>
    </w:p>
    <w:p w:rsidR="0084433F" w:rsidRDefault="0084433F" w:rsidP="0084433F"/>
    <w:p w:rsidR="0084433F" w:rsidRDefault="0084433F" w:rsidP="0084433F">
      <w:pPr>
        <w:pStyle w:val="EntradandiceAuto"/>
      </w:pPr>
      <w:r>
        <w:t>Sala Segunda. Auto 283/1997, de 21 de julio de 1997. Denegando la suspensión de la ejecución del acto que origina el recurso de amparo 286/1997.</w:t>
      </w:r>
      <w:r>
        <w:tab/>
      </w:r>
      <w:r>
        <w:tab/>
      </w:r>
      <w:r>
        <w:fldChar w:fldCharType="begin"/>
      </w:r>
      <w:r>
        <w:instrText xml:space="preserve"> PAGEREF AUTO_1997_283 \h </w:instrText>
      </w:r>
      <w:r>
        <w:fldChar w:fldCharType="separate"/>
      </w:r>
      <w:r w:rsidR="00E14B47">
        <w:rPr>
          <w:noProof/>
        </w:rPr>
        <w:t>1181</w:t>
      </w:r>
      <w:r>
        <w:fldChar w:fldCharType="end"/>
      </w:r>
    </w:p>
    <w:p w:rsidR="0084433F" w:rsidRDefault="0084433F" w:rsidP="0084433F"/>
    <w:p w:rsidR="0084433F" w:rsidRDefault="0084433F" w:rsidP="0084433F">
      <w:pPr>
        <w:pStyle w:val="EntradandiceAuto"/>
      </w:pPr>
      <w:r>
        <w:t>Sala Primera. Auto 284/1997, de 21 de julio de 1997. Denegando la suspensión de la ejecución del acto que origina el recurso de amparo 545/1996.</w:t>
      </w:r>
      <w:r>
        <w:tab/>
      </w:r>
      <w:r>
        <w:tab/>
      </w:r>
      <w:r>
        <w:fldChar w:fldCharType="begin"/>
      </w:r>
      <w:r>
        <w:instrText xml:space="preserve"> PAGEREF AUTO_1997_284 \h </w:instrText>
      </w:r>
      <w:r>
        <w:fldChar w:fldCharType="separate"/>
      </w:r>
      <w:r w:rsidR="00E14B47">
        <w:rPr>
          <w:noProof/>
        </w:rPr>
        <w:t>1185</w:t>
      </w:r>
      <w:r>
        <w:fldChar w:fldCharType="end"/>
      </w:r>
    </w:p>
    <w:p w:rsidR="0084433F" w:rsidRDefault="0084433F" w:rsidP="0084433F"/>
    <w:p w:rsidR="0084433F" w:rsidRDefault="0084433F" w:rsidP="0084433F">
      <w:pPr>
        <w:pStyle w:val="EntradandiceAuto"/>
      </w:pPr>
      <w:r>
        <w:t>Sala Segunda. Auto 285/1997, de 21 de julio de 1997. Denegando la suspensión de la ejecución del acto que origina el recurso de amparo 713/1997.</w:t>
      </w:r>
      <w:r>
        <w:tab/>
      </w:r>
      <w:r>
        <w:tab/>
      </w:r>
      <w:r>
        <w:fldChar w:fldCharType="begin"/>
      </w:r>
      <w:r>
        <w:instrText xml:space="preserve"> PAGEREF AUTO_1997_285 \h </w:instrText>
      </w:r>
      <w:r>
        <w:fldChar w:fldCharType="separate"/>
      </w:r>
      <w:r w:rsidR="00E14B47">
        <w:rPr>
          <w:noProof/>
        </w:rPr>
        <w:t>1188</w:t>
      </w:r>
      <w:r>
        <w:fldChar w:fldCharType="end"/>
      </w:r>
    </w:p>
    <w:p w:rsidR="0084433F" w:rsidRDefault="0084433F" w:rsidP="0084433F"/>
    <w:p w:rsidR="0084433F" w:rsidRDefault="0084433F" w:rsidP="0084433F">
      <w:pPr>
        <w:pStyle w:val="EntradandiceAuto"/>
      </w:pPr>
      <w:r>
        <w:lastRenderedPageBreak/>
        <w:t>Sala Primera. Auto 286/1997, de 21 de julio de 1997. Acordando la suspensión de la ejecución del acto que origina el recurso de amparo 732/1997.</w:t>
      </w:r>
      <w:r>
        <w:tab/>
      </w:r>
      <w:r>
        <w:tab/>
      </w:r>
      <w:r>
        <w:fldChar w:fldCharType="begin"/>
      </w:r>
      <w:r>
        <w:instrText xml:space="preserve"> PAGEREF AUTO_1997_286 \h </w:instrText>
      </w:r>
      <w:r>
        <w:fldChar w:fldCharType="separate"/>
      </w:r>
      <w:r w:rsidR="00E14B47">
        <w:rPr>
          <w:noProof/>
        </w:rPr>
        <w:t>1192</w:t>
      </w:r>
      <w:r>
        <w:fldChar w:fldCharType="end"/>
      </w:r>
    </w:p>
    <w:p w:rsidR="0084433F" w:rsidRDefault="0084433F" w:rsidP="0084433F"/>
    <w:p w:rsidR="0084433F" w:rsidRDefault="0084433F" w:rsidP="0084433F">
      <w:pPr>
        <w:pStyle w:val="EntradandiceAuto"/>
      </w:pPr>
      <w:r>
        <w:t>Sala Segunda. Auto 287/1997, de 21 de julio de 1997. Acordando la suspensión de la ejecución del acto que origina el recurso de amparo 741/1997.</w:t>
      </w:r>
      <w:r>
        <w:tab/>
      </w:r>
      <w:r>
        <w:tab/>
      </w:r>
      <w:r>
        <w:fldChar w:fldCharType="begin"/>
      </w:r>
      <w:r>
        <w:instrText xml:space="preserve"> PAGEREF AUTO_1997_287 \h </w:instrText>
      </w:r>
      <w:r>
        <w:fldChar w:fldCharType="separate"/>
      </w:r>
      <w:r w:rsidR="00E14B47">
        <w:rPr>
          <w:noProof/>
        </w:rPr>
        <w:t>1197</w:t>
      </w:r>
      <w:r>
        <w:fldChar w:fldCharType="end"/>
      </w:r>
    </w:p>
    <w:p w:rsidR="0084433F" w:rsidRDefault="0084433F" w:rsidP="0084433F"/>
    <w:p w:rsidR="0084433F" w:rsidRDefault="0084433F" w:rsidP="0084433F">
      <w:pPr>
        <w:pStyle w:val="EntradandiceAuto"/>
      </w:pPr>
      <w:r>
        <w:t>Sala Segunda. Auto 288/1997, de 21 de julio de 1997. Denegando la suspensión de la ejecución del acto que origina el recurso de amparo 1.155/1997.</w:t>
      </w:r>
      <w:r>
        <w:tab/>
      </w:r>
      <w:r>
        <w:tab/>
      </w:r>
      <w:r>
        <w:fldChar w:fldCharType="begin"/>
      </w:r>
      <w:r>
        <w:instrText xml:space="preserve"> PAGEREF AUTO_1997_288 \h </w:instrText>
      </w:r>
      <w:r>
        <w:fldChar w:fldCharType="separate"/>
      </w:r>
      <w:r w:rsidR="00E14B47">
        <w:rPr>
          <w:noProof/>
        </w:rPr>
        <w:t>1201</w:t>
      </w:r>
      <w:r>
        <w:fldChar w:fldCharType="end"/>
      </w:r>
    </w:p>
    <w:p w:rsidR="0084433F" w:rsidRDefault="0084433F" w:rsidP="0084433F"/>
    <w:p w:rsidR="0084433F" w:rsidRDefault="0084433F" w:rsidP="0084433F">
      <w:pPr>
        <w:pStyle w:val="EntradandiceAuto"/>
      </w:pPr>
      <w:r>
        <w:t>Sala Primera. Auto 289/1997, de 21 de julio de 1997. Denegando la suspensión de la ejecución del acto que origina el recurso de amparo 1.266/1997.</w:t>
      </w:r>
      <w:r>
        <w:tab/>
      </w:r>
      <w:r>
        <w:tab/>
      </w:r>
      <w:r>
        <w:fldChar w:fldCharType="begin"/>
      </w:r>
      <w:r>
        <w:instrText xml:space="preserve"> PAGEREF AUTO_1997_289 \h </w:instrText>
      </w:r>
      <w:r>
        <w:fldChar w:fldCharType="separate"/>
      </w:r>
      <w:r w:rsidR="00E14B47">
        <w:rPr>
          <w:noProof/>
        </w:rPr>
        <w:t>1206</w:t>
      </w:r>
      <w:r>
        <w:fldChar w:fldCharType="end"/>
      </w:r>
    </w:p>
    <w:p w:rsidR="0084433F" w:rsidRDefault="0084433F" w:rsidP="0084433F"/>
    <w:p w:rsidR="0084433F" w:rsidRDefault="0084433F" w:rsidP="0084433F">
      <w:pPr>
        <w:pStyle w:val="EntradandiceAuto"/>
      </w:pPr>
      <w:r>
        <w:t>Sección Tercera. Auto 290/1997, de 21 de julio de 1997. Acordando la inadmisión a trámite del recurso de amparo 1.582/1997.</w:t>
      </w:r>
      <w:r>
        <w:tab/>
      </w:r>
      <w:r>
        <w:tab/>
      </w:r>
      <w:r>
        <w:fldChar w:fldCharType="begin"/>
      </w:r>
      <w:r>
        <w:instrText xml:space="preserve"> PAGEREF AUTO_1997_290 \h </w:instrText>
      </w:r>
      <w:r>
        <w:fldChar w:fldCharType="separate"/>
      </w:r>
      <w:r w:rsidR="00E14B47">
        <w:rPr>
          <w:noProof/>
        </w:rPr>
        <w:t>1209</w:t>
      </w:r>
      <w:r>
        <w:fldChar w:fldCharType="end"/>
      </w:r>
    </w:p>
    <w:p w:rsidR="0084433F" w:rsidRDefault="0084433F" w:rsidP="0084433F"/>
    <w:p w:rsidR="0084433F" w:rsidRDefault="0084433F" w:rsidP="0084433F">
      <w:pPr>
        <w:pStyle w:val="EntradandiceAuto"/>
      </w:pPr>
      <w:r>
        <w:t>Sección Cuarta. Auto 291/1997, de 22 de julio de 1997. Acordando la inadmisión a trámite del recurso de amparo 562/1997.</w:t>
      </w:r>
      <w:r>
        <w:tab/>
      </w:r>
      <w:r>
        <w:tab/>
      </w:r>
      <w:r>
        <w:fldChar w:fldCharType="begin"/>
      </w:r>
      <w:r>
        <w:instrText xml:space="preserve"> PAGEREF AUTO_1997_291 \h </w:instrText>
      </w:r>
      <w:r>
        <w:fldChar w:fldCharType="separate"/>
      </w:r>
      <w:r w:rsidR="00E14B47">
        <w:rPr>
          <w:noProof/>
        </w:rPr>
        <w:t>1213</w:t>
      </w:r>
      <w:r>
        <w:fldChar w:fldCharType="end"/>
      </w:r>
    </w:p>
    <w:p w:rsidR="0084433F" w:rsidRDefault="0084433F" w:rsidP="0084433F"/>
    <w:p w:rsidR="0084433F" w:rsidRDefault="0084433F" w:rsidP="0084433F">
      <w:pPr>
        <w:pStyle w:val="EntradandiceAuto"/>
      </w:pPr>
      <w:r>
        <w:t>Pleno. Auto 292/1997, de 22 de julio de 1997. Acordando la inadmisión a trámite de la cuestión de inconstitucionalidad 1.999/1997</w:t>
      </w:r>
      <w:r>
        <w:tab/>
      </w:r>
      <w:r>
        <w:tab/>
      </w:r>
      <w:r>
        <w:fldChar w:fldCharType="begin"/>
      </w:r>
      <w:r>
        <w:instrText xml:space="preserve"> PAGEREF AUTO_1997_292 \h </w:instrText>
      </w:r>
      <w:r>
        <w:fldChar w:fldCharType="separate"/>
      </w:r>
      <w:r w:rsidR="00E14B47">
        <w:rPr>
          <w:noProof/>
        </w:rPr>
        <w:t>1220</w:t>
      </w:r>
      <w:r>
        <w:fldChar w:fldCharType="end"/>
      </w:r>
    </w:p>
    <w:p w:rsidR="0084433F" w:rsidRDefault="0084433F" w:rsidP="0084433F"/>
    <w:p w:rsidR="0084433F" w:rsidRDefault="0084433F" w:rsidP="0084433F">
      <w:pPr>
        <w:pStyle w:val="EntradandiceAuto"/>
      </w:pPr>
      <w:r>
        <w:t>Pleno. Auto 293/1997, de 22 de julio de 1997. Acordando la inadmisión a trámite de la cuestión de inconstitucionalidad 2.100/1997</w:t>
      </w:r>
      <w:r>
        <w:tab/>
      </w:r>
      <w:r>
        <w:tab/>
      </w:r>
      <w:r>
        <w:fldChar w:fldCharType="begin"/>
      </w:r>
      <w:r>
        <w:instrText xml:space="preserve"> PAGEREF AUTO_1997_293 \h </w:instrText>
      </w:r>
      <w:r>
        <w:fldChar w:fldCharType="separate"/>
      </w:r>
      <w:r w:rsidR="00E14B47">
        <w:rPr>
          <w:noProof/>
        </w:rPr>
        <w:t>1224</w:t>
      </w:r>
      <w:r>
        <w:fldChar w:fldCharType="end"/>
      </w:r>
    </w:p>
    <w:p w:rsidR="0084433F" w:rsidRDefault="0084433F" w:rsidP="0084433F"/>
    <w:p w:rsidR="0084433F" w:rsidRDefault="0084433F" w:rsidP="0084433F">
      <w:pPr>
        <w:pStyle w:val="EntradandiceAuto"/>
      </w:pPr>
      <w:r>
        <w:t>Sección Segunda. Auto 294/1997, de 23 de julio de 1997. Acordando la inadmisión a trámite del recurso de amparo 2.481/1996.</w:t>
      </w:r>
      <w:r>
        <w:tab/>
      </w:r>
      <w:r>
        <w:tab/>
      </w:r>
      <w:r>
        <w:fldChar w:fldCharType="begin"/>
      </w:r>
      <w:r>
        <w:instrText xml:space="preserve"> PAGEREF AUTO_1997_294 \h </w:instrText>
      </w:r>
      <w:r>
        <w:fldChar w:fldCharType="separate"/>
      </w:r>
      <w:r w:rsidR="00E14B47">
        <w:rPr>
          <w:noProof/>
        </w:rPr>
        <w:t>1229</w:t>
      </w:r>
      <w:r>
        <w:fldChar w:fldCharType="end"/>
      </w:r>
    </w:p>
    <w:p w:rsidR="0084433F" w:rsidRDefault="0084433F" w:rsidP="0084433F"/>
    <w:p w:rsidR="0084433F" w:rsidRDefault="0084433F" w:rsidP="0084433F">
      <w:pPr>
        <w:pStyle w:val="EntradandiceAuto"/>
      </w:pPr>
      <w:r>
        <w:t>Sección Segunda. Auto 295/1997, de 23 de julio de 1997. Acordando la inadmisión a trámite del recurso de amparo 402/1997.</w:t>
      </w:r>
      <w:r>
        <w:tab/>
      </w:r>
      <w:r>
        <w:tab/>
      </w:r>
      <w:r>
        <w:fldChar w:fldCharType="begin"/>
      </w:r>
      <w:r>
        <w:instrText xml:space="preserve"> PAGEREF AUTO_1997_295 \h </w:instrText>
      </w:r>
      <w:r>
        <w:fldChar w:fldCharType="separate"/>
      </w:r>
      <w:r w:rsidR="00E14B47">
        <w:rPr>
          <w:noProof/>
        </w:rPr>
        <w:t>1233</w:t>
      </w:r>
      <w:r>
        <w:fldChar w:fldCharType="end"/>
      </w:r>
    </w:p>
    <w:p w:rsidR="0084433F" w:rsidRDefault="0084433F" w:rsidP="0084433F"/>
    <w:p w:rsidR="0084433F" w:rsidRDefault="0084433F" w:rsidP="0084433F">
      <w:pPr>
        <w:pStyle w:val="EntradandiceAuto"/>
      </w:pPr>
      <w:r>
        <w:t>Sección de Vacaciones. Auto 296/1997, de 14 de agosto de 1997. Acuerda el desistimiento en el recurso de amparo 82/1993, promovido en causa penal.</w:t>
      </w:r>
      <w:r>
        <w:tab/>
      </w:r>
      <w:r>
        <w:tab/>
      </w:r>
      <w:r>
        <w:fldChar w:fldCharType="begin"/>
      </w:r>
      <w:r>
        <w:instrText xml:space="preserve"> PAGEREF AUTO_1997_296 \h </w:instrText>
      </w:r>
      <w:r>
        <w:fldChar w:fldCharType="separate"/>
      </w:r>
      <w:r w:rsidR="00E14B47">
        <w:rPr>
          <w:noProof/>
        </w:rPr>
        <w:t>1237</w:t>
      </w:r>
      <w:r>
        <w:fldChar w:fldCharType="end"/>
      </w:r>
    </w:p>
    <w:p w:rsidR="0084433F" w:rsidRDefault="0084433F">
      <w:r>
        <w:br w:type="page"/>
      </w:r>
    </w:p>
    <w:p w:rsidR="0084433F" w:rsidRDefault="0084433F" w:rsidP="006854DA"/>
    <w:p w:rsidR="0084433F" w:rsidRDefault="0084433F" w:rsidP="006854DA"/>
    <w:p w:rsidR="006854DA" w:rsidRDefault="006854DA" w:rsidP="006854DA"/>
    <w:p w:rsidR="006854DA" w:rsidRDefault="006854DA" w:rsidP="006854DA"/>
    <w:p w:rsidR="006854DA" w:rsidRDefault="006854DA" w:rsidP="006854DA"/>
    <w:p w:rsidR="006854DA" w:rsidRDefault="006854DA" w:rsidP="006854DA"/>
    <w:p w:rsidR="006854DA" w:rsidRDefault="006854DA" w:rsidP="006854DA"/>
    <w:p w:rsidR="006854DA" w:rsidRDefault="006854DA" w:rsidP="006854DA"/>
    <w:p w:rsidR="006854DA" w:rsidRDefault="006854DA" w:rsidP="006854DA">
      <w:pPr>
        <w:pStyle w:val="CabeceraApartado"/>
      </w:pPr>
      <w:r>
        <w:t>SENTENCIAS</w:t>
      </w:r>
    </w:p>
    <w:p w:rsidR="006854DA" w:rsidRDefault="006854DA">
      <w:pPr>
        <w:rPr>
          <w:rFonts w:ascii="Times New Roman" w:eastAsia="Times New Roman" w:hAnsi="Times New Roman" w:cs="Times New Roman"/>
          <w:sz w:val="48"/>
          <w:szCs w:val="24"/>
          <w:lang w:eastAsia="es-ES"/>
        </w:rPr>
      </w:pPr>
      <w:r>
        <w:br w:type="page"/>
      </w:r>
    </w:p>
    <w:p w:rsidR="006854DA" w:rsidRDefault="006854DA" w:rsidP="006854DA">
      <w:pPr>
        <w:pStyle w:val="TtuloResolucin"/>
      </w:pPr>
      <w:bookmarkStart w:id="4" w:name="SENTENCIA_1997_88"/>
      <w:r>
        <w:lastRenderedPageBreak/>
        <w:t>SENTENCIA 88/1997, de 5 de mayo de 1997</w:t>
      </w:r>
    </w:p>
    <w:bookmarkEnd w:id="4"/>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ECLI:ES:TC:1997:88</w:t>
      </w:r>
    </w:p>
    <w:p w:rsidR="006854DA" w:rsidRDefault="006854DA" w:rsidP="006854DA">
      <w:pPr>
        <w:pStyle w:val="SntesisDescriptiva"/>
      </w:pPr>
    </w:p>
    <w:p w:rsidR="006854DA" w:rsidRDefault="006854DA" w:rsidP="006854DA">
      <w:pPr>
        <w:pStyle w:val="SntesisDescriptiva"/>
      </w:pPr>
      <w:r>
        <w:t>Recurso de amparo 1.573/1993. Contra Sentencia de la Audiencia Provincial de Málaga confirmatoria en apelación de la del Juzgado de lo Penal núm. 2 de la misma ciudad condenatoria por delito de robo con fuerza en las cosas.</w:t>
      </w:r>
    </w:p>
    <w:p w:rsidR="006854DA" w:rsidRDefault="006854DA" w:rsidP="006854DA">
      <w:pPr>
        <w:pStyle w:val="SntesisDescriptiva"/>
      </w:pPr>
    </w:p>
    <w:p w:rsidR="006854DA" w:rsidRDefault="006854DA" w:rsidP="006854DA">
      <w:pPr>
        <w:pStyle w:val="SntesisAnaltica"/>
      </w:pPr>
      <w:r>
        <w:t>Vulneración del derecho a la tutela judicial efectiva: interpretación restrictiva de las normas reguladoras de la notificación de Sentencias penales.</w:t>
      </w:r>
    </w:p>
    <w:p w:rsidR="006854DA" w:rsidRDefault="006854DA" w:rsidP="006854DA">
      <w:pPr>
        <w:pStyle w:val="SntesisAnaltica"/>
      </w:pPr>
    </w:p>
    <w:p w:rsidR="006854DA" w:rsidRDefault="006854DA" w:rsidP="006854DA">
      <w:pPr>
        <w:pStyle w:val="Extracto"/>
      </w:pPr>
      <w:r>
        <w:t>1.</w:t>
      </w:r>
      <w:r>
        <w:tab/>
        <w:t>Cuando se trate del acceso a un recurso penal de quien resultó condenado en la primera instancia judicial, es más rigurosa la vinculación constitucional del Juez «ex» art. 24.1 C.E. en la interpretación de las causas de inadmisión, siendo aquí de aplicación el principio de interpretación «pro actione» en virtud de la exigencia constitucional de una doble instancia en favor del reo cuando del proceso penal se trata. Razones materiales evidentes, derivadas de la entidad de lo que se ventila en tal tipo de remedios procesales, imponen la aplicación de este principio entendido como la interdicción de aquellas decisiones de inadmisión que por su rigorismo, por su formalismo excesivo o por cualquier otra razón revelen una clara desproporción entre los fines que aquellas causas preservan y los intereses que sacrifican [F.J. 2].</w:t>
      </w:r>
    </w:p>
    <w:p w:rsidR="006854DA" w:rsidRDefault="006854DA" w:rsidP="006854DA">
      <w:pPr>
        <w:pStyle w:val="Extracto"/>
      </w:pPr>
    </w:p>
    <w:p w:rsidR="006854DA" w:rsidRDefault="006854DA" w:rsidP="006854DA">
      <w:pPr>
        <w:pStyle w:val="Extracto"/>
      </w:pPr>
      <w:r>
        <w:t>2.</w:t>
      </w:r>
      <w:r>
        <w:tab/>
        <w:t>Es de este modo como debe entenderse en este ámbito el principio interpretativo «pro actione» (SSTC 110/1985, 123/1986, 78/1991, 96/1991 y 120/1993) y no, aunque pueda sugerirlo también su ambigua denominación, como la forzosa selección de la interpretación más favorable a la admisión de entre todas las posibles de las normas que la regulan. A partir del amplísimo margen que ofrecen potencialmente a la interpretación las normas jurídicas, y, en el ámbito de la regulación de la admisión de recursos, peculiarmente las que contemplan causas de índole material, un tal entendimiento acarrearía perniciosas consecuencias. No sólo constreñiría sobremanera las legítimas facultades judiciales de ordenación del proceso, sino que podría poner en cuestión los importantes fines a los que sirven los requisitos legales de acceso al recurso, tales como la seguridad jurídica, la economía procesal, la celeridad del procedimiento y la preservación de los derechos e interes de todas las partes del mismo [F.J. 2]</w:t>
      </w:r>
    </w:p>
    <w:p w:rsidR="006854DA" w:rsidRDefault="006854DA" w:rsidP="006854DA">
      <w:pPr>
        <w:pStyle w:val="Extracto"/>
      </w:pPr>
    </w:p>
    <w:p w:rsidR="006854DA" w:rsidRDefault="006854DA" w:rsidP="006854DA">
      <w:pPr>
        <w:pStyle w:val="Extracto"/>
      </w:pPr>
      <w:r>
        <w:t>3.</w:t>
      </w:r>
      <w:r>
        <w:tab/>
        <w:t xml:space="preserve">Asentados en los fundamentos precedentes los datos fácticos del conflicto y la doctrina jurisprudencial aplicable al mismo, cabe calificar como crucial para su resolución la siguiente cuestión: Si a la vista de las normas que regulan la notificación de las Sentencias penales dictadas en primera instancia, el plazo de interposición del recurso de apelación y las causas de inadmisión del mismo, cabe entender que, en este concreto supuesto, la consideración por parte de la Audiencia de que el plazo mencionado tenía por término inicial el de la notificación al Procurador del condenado y no el de la posterior notificación personal no constituye </w:t>
      </w:r>
      <w:r>
        <w:lastRenderedPageBreak/>
        <w:t>una interpretación vedada por el art. 24.1 C.E. en cuanto injustificada o desproporcionadamente restrictiva del acceso al remedio procesal legalmente disponible. A la cuestión enunciada corresponde una respuesta afirmativa. Así lo consideramos ya en la STC 190/1994. Frente a una Sentencia que, en principio, requiere doble notificación a tenor del art. 160 L.E.Crim., la Audiencia Provincial, en contra de lo apreciado por el Juzgado de lo Penal, desconoce uno de los principales efectos de dicha garantía excepcional, cual es la del inicio del cómputo del plazo cuando la notificación se completa o, al menos, cuando se produce la notificación que tiene por destinatario al interesado. Lo desconoce, además, sin explicación alguna que pudiera revelar la razonabilidad de la medida generando la indefensión propia de quien se ve privado de recurrir en demanda de su absolución de una condena penal por confiar, en una interpretación no irrazonable, en que aún no había comenzado el plazo que le concede para ello la legislación procesal aplicable [FF.JJ. 3 y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Fernado García-Mon y González-Regueral,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1.573/93, promovido por don Salvador Rosa Rueda, representado por la Procuradora de los Tribunales doña Milagros Pastor Fernández y asistido por la Abogada doña Carmen Domínguez Carrillo, contra la Sentencia de la Sección Segunda de la Audiencia Provincial de Málaga 254/93, de 16 de abril, confirmatoria en apelación de la del Juzgado de lo Penal núm. 2 de la misma ciudad, condenatoria por delito de robo con fuerza en las cosas. Ha intervenido el Ministerio Fiscal. Ha sido Ponente el Magistrado don Carles Viver Pi-Sunyer,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el Juzgado de Guardia el día 14 de mayo de 1993 y en este Tribunal el día 17 de mayo, don Antonio Manuel Ruiz Carmona y don Salvador Rosa Rueda, asistidos por la Abogada doña Carmen Domínguez Carrillo, manifiestan su voluntad de interponer recurso de amparo contra la resolución de la que se hace mérito en el encabezamiento. Solicitan para ello la designación de un Procurador del turno de oficio. El escrito incluye la petición de la suspensión de la ejecución de la Sentencia impugnada.</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2</w:t>
      </w:r>
      <w:r>
        <w:t>. La Sección Cuarta de este Tribunal acuerda, mediante providencia de 31 de mayo de 1993, tramitar la designación requerida, que recae en doña Milagros Pastor Fernández (providencia de 21 de junio de 1993). La demanda formalizada de amparo se presenta el día 20 de julio de 1993.</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Los hechos relevantes para el examen de la pretensión de amparo son, en síntesis, los siguientes: </w:t>
      </w:r>
    </w:p>
    <w:p w:rsidR="006854DA" w:rsidRDefault="006854DA" w:rsidP="006854DA">
      <w:pPr>
        <w:pStyle w:val="TextoNormal"/>
      </w:pPr>
      <w:r>
        <w:t xml:space="preserve">a) El fallo de la Sentencia del Juzgado de lo Penal núm. 2 de Málaga, de 6 de junio de 1992, condenó a los dos acusados, los recurrentes en amparo, a la pena de un mes y un día de arresto mayor por la autoría de un delito continuado de robo con fuerza en las cosas. La condena incluía el pago de las costas procesales y una indemnización de 5.004 pesetas. </w:t>
      </w:r>
    </w:p>
    <w:p w:rsidR="006854DA" w:rsidRDefault="006854DA" w:rsidP="006854DA">
      <w:pPr>
        <w:pStyle w:val="TextoNormal"/>
      </w:pPr>
      <w:r>
        <w:t xml:space="preserve">b) Mediante exhorto, de 10 de junio de 1992, dirigido al Juzgado de Instrucción Decano de Málaga, el Juzgado que dictó la Sentencia, interesó su notificación personal a los acusados. El exhorto se recordó mediante providencias de 29 de julio de 1992 y de 21 de enero de 1993 y se cumplió el día 9 de febrero de 1993. Previamente, el día 11 de junio de 1992, se había notificado la Sentencia a la Procuradora de los condenados a través de una empleada del Colegio de Procuradores. </w:t>
      </w:r>
    </w:p>
    <w:p w:rsidR="006854DA" w:rsidRDefault="006854DA" w:rsidP="006854DA">
      <w:pPr>
        <w:pStyle w:val="TextoNormal"/>
      </w:pPr>
      <w:r>
        <w:t xml:space="preserve">c) El Ministerio Fiscal interpuso recurso de apelación contra la Sentencia dictada, interesando la imposición de una pena superior. Trasladado a la representación de los acusados, ésta procedió a su impugnación mediante escrito registrado el día 7 de julio, "y por economía procesal, y a pesar de que la Sentencia impugnada no ha sido todavía notificada a los condenados", formuló "recurso de apelación", solicitando la declaración de la prescripción del delito. </w:t>
      </w:r>
    </w:p>
    <w:p w:rsidR="006854DA" w:rsidRDefault="006854DA" w:rsidP="006854DA">
      <w:pPr>
        <w:pStyle w:val="TextoNormal"/>
      </w:pPr>
      <w:r>
        <w:t xml:space="preserve">La providencia del Juzgado de 8 de julio tuvo por formulada la impugnación al recurso del Fiscal. El recurso que acompañaba a la misma se tuvo por interpuesto; la decisión sobre su admisión se aplazó hasta el momento de la notificación a los acusados. Producida la misma, el día 9 de febrero de 1993, la providencia de 24 de febrero lo tuvo por interpuesto en tiempo y forma, admitió el recurso y lo trasladó a las partes. </w:t>
      </w:r>
    </w:p>
    <w:p w:rsidR="006854DA" w:rsidRDefault="006854DA" w:rsidP="006854DA">
      <w:pPr>
        <w:pStyle w:val="TextoNormal"/>
      </w:pPr>
      <w:r>
        <w:t>d) La Sentencia de apelación, que es la combatida en esta sede, confirmó la del Juzgado. En relación con lo alegado por los acusados en forma de recurso, la Sala considera que "al haberse aquietado la parte acusada con la condena, no puede entrar a valorar ahora la contundencia de los argumentos esgrimidos en apoyo de la absolución, por ser extemporánea tal pretensión. Desde su situación procesal, lo único que le estaba permitido a la defensa era impugnar los argumentos del recurrente".</w:t>
      </w:r>
    </w:p>
    <w:p w:rsidR="006854DA" w:rsidRDefault="006854DA" w:rsidP="006854DA">
      <w:pPr>
        <w:pStyle w:val="TextoNormal"/>
      </w:pPr>
    </w:p>
    <w:p w:rsidR="006854DA" w:rsidRDefault="006854DA" w:rsidP="006854DA">
      <w:pPr>
        <w:pStyle w:val="TextoNormal"/>
      </w:pPr>
      <w:r w:rsidRPr="006854DA">
        <w:rPr>
          <w:rStyle w:val="NumeroAFNegritaCaracter"/>
        </w:rPr>
        <w:t>4</w:t>
      </w:r>
      <w:r>
        <w:t>. En el escrito de demanda se invoca como vulnerado el derecho a la tutela judicial efectiva en su manifestación de derecho de acceso al recurso y a que exista un pronunciamiento sobre el fondo de las pretensiones esgrimidas: "La Sentencia impugnada no entra a conocer del recurso formulado por la defensa, presentado en tiempo y forma, antes incluso de que la Sentencia del Juzgado de lo Penal fuera notificada a los acusados, recurso admitido por el Juzgado, al confundir lo que era un recurso independiente con una apelación adhesiva, confusión que se evidencia al leer el Hecho Tercero de la Sentencia y el citado Fundamento de Derecho Tercero".</w:t>
      </w:r>
    </w:p>
    <w:p w:rsidR="006854DA" w:rsidRDefault="006854DA" w:rsidP="006854DA">
      <w:pPr>
        <w:pStyle w:val="TextoNormal"/>
      </w:pPr>
    </w:p>
    <w:p w:rsidR="006854DA" w:rsidRDefault="006854DA" w:rsidP="006854DA">
      <w:pPr>
        <w:pStyle w:val="TextoNormal"/>
      </w:pPr>
      <w:r w:rsidRPr="006854DA">
        <w:rPr>
          <w:rStyle w:val="NumeroAFNegritaCaracter"/>
        </w:rPr>
        <w:t>5</w:t>
      </w:r>
      <w:r>
        <w:t>. Mediante providencia, de 15 de noviembre de 1993, antes de resolver sobre la admisión del recurso, la Sección acuerda recabar de los órganos judiciales correspondientes las actuaciones del procedimiento que origina el presente recurso.</w:t>
      </w:r>
    </w:p>
    <w:p w:rsidR="006854DA" w:rsidRDefault="006854DA" w:rsidP="006854DA">
      <w:pPr>
        <w:pStyle w:val="TextoNormal"/>
      </w:pPr>
    </w:p>
    <w:p w:rsidR="006854DA" w:rsidRDefault="006854DA" w:rsidP="006854DA">
      <w:pPr>
        <w:pStyle w:val="TextoNormal"/>
      </w:pPr>
      <w:r w:rsidRPr="006854DA">
        <w:rPr>
          <w:rStyle w:val="NumeroAFNegritaCaracter"/>
        </w:rPr>
        <w:t>6</w:t>
      </w:r>
      <w:r>
        <w:t>. Mediante providencia, de 23 de febrero de 1944, la Sección acuerda admitir a trámite la demanda de amparo y dirigir comunicación al Juzgado de lo Penal núm. 2 de Málaga a fin de que emplace a quienes hubieran sido parte en el procedimiento del que trae causa el presente recurso para su posible comparecencia en este proceso de amparo.</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Mediante nueva providencia de 23 de febrero de 1994, la Sección acuerda la apertura de pieza separada de suspensión y, conforme determina el art. 56 LOTC, concede un plazo común de tres días a la parte demandante y al Ministerio Fiscal para que aleguen lo que estimen pertinente sobre la misma. Se recibe únicamente el escrito de alegaciones del Fiscal, en postulación de la suspensión de la ejecución de las penas de privación de libertad impuestas y de sus accesorias. De la representación de los recurrentes se recibe un escrito en el que se informa de la concesión de la remisión condicional de la condena. </w:t>
      </w:r>
    </w:p>
    <w:p w:rsidR="006854DA" w:rsidRDefault="006854DA" w:rsidP="006854DA">
      <w:pPr>
        <w:pStyle w:val="TextoNormal"/>
      </w:pPr>
      <w:r>
        <w:t>Mediante Auto, de 11 de abril de 1994, la Sala Segunda de este Tribunal acuerda la suspensión de la ejecución de las Sentencias del Juzgado y de la Audiencia en lo relativo a la pena privativa de libertad y sus accesorias.</w:t>
      </w:r>
    </w:p>
    <w:p w:rsidR="006854DA" w:rsidRDefault="006854DA" w:rsidP="006854DA">
      <w:pPr>
        <w:pStyle w:val="TextoNormal"/>
      </w:pPr>
    </w:p>
    <w:p w:rsidR="006854DA" w:rsidRDefault="006854DA" w:rsidP="006854DA">
      <w:pPr>
        <w:pStyle w:val="TextoNormal"/>
      </w:pPr>
      <w:r w:rsidRPr="006854DA">
        <w:rPr>
          <w:rStyle w:val="NumeroAFNegritaCaracter"/>
        </w:rPr>
        <w:t>8</w:t>
      </w:r>
      <w:r>
        <w:t>. Mediante escrito de 5 de marzo de 1994, la Procuradora de los recurrentes solicita que se la tenga por desistida del recurso de don Antonio Manuel Ruiz Carmona por deseo de éste. Del escrito se da vista al Ministerio Fiscal (providencia de 24 de marzo), que no se opone al desistimiento solicitado siempre que sea ratificado por el recurrente. Instada dicha ratificación (providencia de 18 de abril), trasladado el escrito recibido al Ministerio Fiscal (providencia de 5 de mayo), y tras el informe de éste, la Sección acuerda tener al solicitante por apartado y desistido del presente recurso de amparo (Auto de 20 de junio de 1994).</w:t>
      </w:r>
    </w:p>
    <w:p w:rsidR="006854DA" w:rsidRDefault="006854DA" w:rsidP="006854DA">
      <w:pPr>
        <w:pStyle w:val="TextoNormal"/>
      </w:pPr>
    </w:p>
    <w:p w:rsidR="006854DA" w:rsidRDefault="006854DA" w:rsidP="006854DA">
      <w:pPr>
        <w:pStyle w:val="TextoNormal"/>
      </w:pPr>
      <w:r w:rsidRPr="006854DA">
        <w:rPr>
          <w:rStyle w:val="NumeroAFNegritaCaracter"/>
        </w:rPr>
        <w:t>9</w:t>
      </w:r>
      <w:r>
        <w:t>. Mediante providencia, de 26 de julio de 1994, la Sección acuerda dar vista de las actuaciones a las partes, con concesión de un plazo común de veinte días para la presentación de las alegaciones previstas en el art. 52.1 LOTC.</w:t>
      </w:r>
    </w:p>
    <w:p w:rsidR="006854DA" w:rsidRDefault="006854DA" w:rsidP="006854DA">
      <w:pPr>
        <w:pStyle w:val="TextoNormal"/>
      </w:pPr>
    </w:p>
    <w:p w:rsidR="006854DA" w:rsidRDefault="006854DA" w:rsidP="006854DA">
      <w:pPr>
        <w:pStyle w:val="TextoNormal"/>
      </w:pPr>
      <w:r w:rsidRPr="006854DA">
        <w:rPr>
          <w:rStyle w:val="NumeroAFNegritaCaracter"/>
        </w:rPr>
        <w:t>10</w:t>
      </w:r>
      <w:r>
        <w:t>. En su escrito de 16 de septiembre la representación del recurrente se reafirma en las alegaciones que exponía en la demanda.</w:t>
      </w:r>
    </w:p>
    <w:p w:rsidR="006854DA" w:rsidRDefault="006854DA" w:rsidP="006854DA">
      <w:pPr>
        <w:pStyle w:val="TextoNormal"/>
      </w:pPr>
    </w:p>
    <w:p w:rsidR="006854DA" w:rsidRDefault="006854DA" w:rsidP="006854DA">
      <w:pPr>
        <w:pStyle w:val="TextoNormal"/>
      </w:pPr>
      <w:r w:rsidRPr="006854DA">
        <w:rPr>
          <w:rStyle w:val="NumeroAFNegritaCaracter"/>
        </w:rPr>
        <w:t>11</w:t>
      </w:r>
      <w:r>
        <w:t>. El Fiscal concluye su informe de 26 de septiembre interesando la desestimación de la demanda. Considera para ello que la no resolución del recurso de apelación de los condenados por parte de la Audiencia no lesiona su derecho a los recursos, pues dicho recurso se había perdido por su interposición fuera de plazo. El cómputo de este plazo se iniciaba, no con la notificación personal a los acusados, como se pretende en la demanda, sino ex art. 182 L.E.Crim. con la realizada al Procu-rador, máxime cuando, con la interposición del recurso antes de aquélla, se reconoce que los condenados conocían la Sentencia dictada a partir de la notificación al Procurador.</w:t>
      </w:r>
    </w:p>
    <w:p w:rsidR="006854DA" w:rsidRDefault="006854DA" w:rsidP="006854DA">
      <w:pPr>
        <w:pStyle w:val="TextoNormal"/>
      </w:pPr>
    </w:p>
    <w:p w:rsidR="006854DA" w:rsidRDefault="006854DA" w:rsidP="006854DA">
      <w:pPr>
        <w:pStyle w:val="TextoNormal"/>
      </w:pPr>
      <w:r w:rsidRPr="006854DA">
        <w:rPr>
          <w:rStyle w:val="NumeroAFNegritaCaracter"/>
        </w:rPr>
        <w:t>12</w:t>
      </w:r>
      <w:r>
        <w:t>. Mediante providencia de 29 de abril de 1997, se señaló para deliberación y votación de la presente Sentencia el día 5 del mismo mes y año.</w:t>
      </w:r>
    </w:p>
    <w:p w:rsidR="006854DA" w:rsidRDefault="006854DA" w:rsidP="006854DA">
      <w:pPr>
        <w:pStyle w:val="TextoNormal"/>
      </w:pPr>
    </w:p>
    <w:p w:rsidR="006854DA" w:rsidRDefault="006854DA" w:rsidP="006854DA">
      <w:pPr>
        <w:pStyle w:val="TextoNormalNegritaCentrado"/>
        <w:keepNext/>
      </w:pPr>
      <w:r>
        <w:lastRenderedPageBreak/>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recurrente fue condenado en primera instancia a una pena de un mes y un día de privación de libertad. La Sentencia, que fue prontamente notificada a su Procuradora (11 de junio de 1992), lo fue personalmente a él casi ocho meses más tarde (9 de febrero de 1993). En el ínterin, al hilo de la impugnación del recurso de apelación del Ministerio Fiscal, el recurrente dedujo su propio recurso en solicitud de su absolución por prescripción. Su apelación fue admitida a trámite por el Juzgado sentenciador tras la reseñada notificación personal, pero no fue objeto de resolución de fondo por parte de la Audiencia por su extemporaneidad.</w:t>
      </w:r>
    </w:p>
    <w:p w:rsidR="006854DA" w:rsidRDefault="006854DA" w:rsidP="006854DA">
      <w:pPr>
        <w:pStyle w:val="TextoNormal"/>
      </w:pPr>
      <w:r>
        <w:t>Los anteriores datos fácticos enmarcan el conflicto que se suscita ahora en esta sede. El demandante estima que se ha vulnerado su derecho de acceso al recurso, manifestación del de tutela judicial efectiva, por la inadmisión equivocada del presentado tempestivamente, con antelación incluso al comienzo del plazo de interposición que marcó la notificación personal. El Ministerio Fiscal, sin embargo, no aprecia reparos constitucionales en la decisión de la Audiencia, al mostrarse acorde con la estimación de que fue el propio condenado, hoy demandante, el que dejó transcurrir el plazo que tenía para recurrir, computable a partir de la notificación a su representante procesal.</w:t>
      </w:r>
    </w:p>
    <w:p w:rsidR="006854DA" w:rsidRDefault="006854DA" w:rsidP="006854DA">
      <w:pPr>
        <w:pStyle w:val="TextoNormal"/>
      </w:pPr>
    </w:p>
    <w:p w:rsidR="006854DA" w:rsidRDefault="006854DA" w:rsidP="006854DA">
      <w:pPr>
        <w:pStyle w:val="TextoNormal"/>
      </w:pPr>
      <w:r w:rsidRPr="006854DA">
        <w:rPr>
          <w:rStyle w:val="NumeroAFNegritaCaracter"/>
        </w:rPr>
        <w:t>2</w:t>
      </w:r>
      <w:r>
        <w:t>. El acceso a los recursos legalmente establecidos forma parte de la tutela judicial efectiva. El correlativo derecho no queda vulnerado cuando el recurso interpuesto es inadmitido por el órgano judicial competente en virtud de la concurrencia de alguna de las causas legalmente previstas al efecto.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(por todas, SSTC 37/1995, 170/1996, 211/1996).</w:t>
      </w:r>
    </w:p>
    <w:p w:rsidR="006854DA" w:rsidRDefault="006854DA" w:rsidP="006854DA">
      <w:pPr>
        <w:pStyle w:val="TextoNormal"/>
      </w:pPr>
      <w:r>
        <w:t>Junto a la anterior, constituye también doctrina de este Tribunal la de que, cuando se trate del acceso a un recurso penal de quien resultó condenado en la primera instancia judicial, es más rigurosa la vinculación constitucional del Juez ex art. 24.1 C.E.  en la interpretación de las causas de inadmisión, siendo aquí de aplicación el principio de interpretación pro actione en virtud de la exigencia constitucional de una doble instancia en favor del reo cuando del proceso penal se trata. Razones materiales evidentes, derivadas de la entidad de lo que se ventila en tal tipo de remedios procesales, imponen la aplicación de este principio entendido como la interdicción de aquellas decisiones de inadmisión que por su rigorismo, por su formalismo excesivo o por cualquier otra razón revelen una clara desproporción entre los fines que aquellas causas preservan y los intereses que sacrifican. "Lo anterior no empece a que no sería constitucionalmente ilegítima una resolución que, incluso en materia penal, se abstuviera de conocer del fondo del asunto por razones estrictamente procesales. Debe subrayarse, sin embargo, que en este ámbito las exigencias de racionalidad interpretativa de las normas y de proporcionalidad en las sanciones forzarían a restringir tan drástico resultado a los solos casos en que los actos u omisiones de la parte, fundados en motivos sólo a ella imputables, ocasionaran un quebranto de las formas establecidas de tal entidad que frustrase gravemente la finalidad legítima perseguida por ellas" (STC 190/1994, fundamento jurídico 2º).</w:t>
      </w:r>
    </w:p>
    <w:p w:rsidR="006854DA" w:rsidRDefault="006854DA" w:rsidP="006854DA">
      <w:pPr>
        <w:pStyle w:val="TextoNormal"/>
      </w:pPr>
      <w:r>
        <w:lastRenderedPageBreak/>
        <w:t>Es de este modo como debe entenderse en este ámbito el principio interpretativo pro actione (SSTC 110/1985, 123/1986, 78/1991, 96/1991, 120/1993) y no, aunque pueda sugerirlo también su ambigua denominación, como la forzosa selección de la interpretación más favorable a la admisión de entre todas las posibles de las normas que la regulan. A partir del amplísimo margen que ofrecen potencialmente a la interpretación las normas jurídicas, y, en el ámbito de la regulación de la admisión de recursos, peculiarmente las que contemplan causas de índole material, un tal entendimiento acarrearía perniciosas consecuencias. No sólo constreñiría sobremanera las legítimas facultades judiciales de ordenación del proceso, sino que podría poner en cuestión los importantes fines a los que sirven los requisitos legales de acceso al recurso, tales como la seguridad jurídica, la economía procesal, la celeridad del procedimiento y la preservación de los derechos e intereses de todas las partes del mismo.</w:t>
      </w:r>
    </w:p>
    <w:p w:rsidR="006854DA" w:rsidRDefault="006854DA" w:rsidP="006854DA">
      <w:pPr>
        <w:pStyle w:val="TextoNormal"/>
      </w:pPr>
    </w:p>
    <w:p w:rsidR="006854DA" w:rsidRDefault="006854DA" w:rsidP="006854DA">
      <w:pPr>
        <w:pStyle w:val="TextoNormal"/>
      </w:pPr>
      <w:r w:rsidRPr="006854DA">
        <w:rPr>
          <w:rStyle w:val="NumeroAFNegritaCaracter"/>
        </w:rPr>
        <w:t>3</w:t>
      </w:r>
      <w:r>
        <w:t>. Asentados en los fundamentos precedentes los datos fácticos del conflicto y la doctrina jurisprudencial aplicable al mismo, cabe calificar como crucial para su resolución la siguiente cuestión: si a la vista de las normas que regulan la notificación de las Sentencias penales dictadas en primera instancia, el plazo de interposición del recurso de apelación y las causas de inadmisión del mismo, cabe entender que, en este concreto supuesto, la consideración por parte de la Audiencia de que el plazo mencionado tenía por término inicial el de la notificación al Procurador del condenado y no el de la posterior notificación personal no constituye una interpretación vedada por el art. 24.1 C.E. en cuanto injustificada o desproporcionadamente restrictiva del acceso al remedio procesal legalmente disponible.</w:t>
      </w:r>
    </w:p>
    <w:p w:rsidR="006854DA" w:rsidRDefault="006854DA" w:rsidP="006854DA">
      <w:pPr>
        <w:pStyle w:val="TextoNormal"/>
      </w:pPr>
      <w:r>
        <w:t>En lo que aquí importa la normativa referida afirma que el plazo de apelación de la Sentencia dictada por el Juez de lo Penal en el procedimiento abreviado es de "diez días a partir del siguiente al de su notificación" (art. 795.1 L.E.Crim.); que, en general, el "recurso de apelación se entablará dentro de cinco días, a contar desde el siguiente al de la última notificación de la resolución judicial que fuere su objeto hecha a los que expresa el artículo anterior" (art. 212 L.E.Crim), que son "los que sean parte en el juicio"; que, en general, "las notificaciones (...)  podrán hacerse a los Procuradores de las partes" (art. 182.1 L.E.Crim.); y que "las Sentencias definitivas se leerán y notificarán a las partes y a sus Procuradores en todo juicio oral el mismo día en que se firmen, o a lo más en el siguiente. Si por cualquier circunstancia o accidente no se encontrare a las partes al ir a hacerles la notificación personal, se hará constar por diligencia y bastará en tal caso con la notificación hecha a sus Procuradores" (art. 160.1 y 2 L.E.Crim).</w:t>
      </w:r>
    </w:p>
    <w:p w:rsidR="006854DA" w:rsidRDefault="006854DA" w:rsidP="006854DA">
      <w:pPr>
        <w:pStyle w:val="TextoNormal"/>
      </w:pPr>
    </w:p>
    <w:p w:rsidR="006854DA" w:rsidRDefault="006854DA" w:rsidP="006854DA">
      <w:pPr>
        <w:pStyle w:val="TextoNormal"/>
      </w:pPr>
      <w:r w:rsidRPr="006854DA">
        <w:rPr>
          <w:rStyle w:val="NumeroAFNegritaCaracter"/>
        </w:rPr>
        <w:t>4</w:t>
      </w:r>
      <w:r>
        <w:t>. A la cuestión enunciada en el fundamento precedente corresponde una respuesta afirmativa. Así lo consideramos ya en la STC 190/1994, cuya fundamentación al respecto reparaba en que no se había justificado "mínimamente la razón por la que se desconoce la segunda notificación practicada" y en que se desdeñaba así "su efectividad para servir de inicio al plazo de caducidad cuando es la propia norma legal la que le impone prima facie y anuda a ella el cómputo de dicho plazo -por ser la última practicada- ". En suma, "no puede considerarse adecuada a las garantías consagradas en el art.  24.1 C.E. una interpretación judicial que considera extemporánea la presentación del escrito cuando aún no había transcurrido el plazo de cinco días desde la última notificación, porque produce un efecto desproporcionadamente gravoso en el derecho del recurrente a que su causa sea revisada por un Tribunal Superior, que no se justifica por la salvaguardia de otros valores apreciables desde la perspectiva del propio art. 24.1 C.E." (fundamento jurídico 3º).</w:t>
      </w:r>
    </w:p>
    <w:p w:rsidR="006854DA" w:rsidRDefault="006854DA" w:rsidP="006854DA">
      <w:pPr>
        <w:pStyle w:val="TextoNormal"/>
      </w:pPr>
      <w:r>
        <w:lastRenderedPageBreak/>
        <w:t>Hacemos ahora nuestros y aplicables al caso los anteriores razonamientos.  Frente a una Sentencia que, en principio, requiere doble notificación a tenor del art. 160 L.E.Crim., la Audiencia Provincial, en contra de lo apreciado por el Juzgado de lo Penal, desconoce uno de los principales efectos de dicha garantía excepcional, cual es la del inicio del cómputo del plazo cuando la notificación se completa o, al menos, cuando se produce la notificación que tiene por destinatario al interesado. Lo desconoce además sin explicación alguna que pudiera revelar la razonabilidad de la medida y generando la indefensión propia de quien se ve privado de recurrir en demanda de su absolución de una condena penal por confiar, en una interpretación no irrazonable, en que aún no había comenzado el plazo que le concede para ello la legislación procesal aplicable.</w:t>
      </w:r>
    </w:p>
    <w:p w:rsidR="006854DA" w:rsidRDefault="006854DA" w:rsidP="006854DA">
      <w:pPr>
        <w:pStyle w:val="TextoNormal"/>
      </w:pPr>
      <w:r>
        <w:t>En el presente caso deben añadirse, además, algunas peculiaridades del supuesto que privan de todo objetivo relevante a la decisión de inadmisión. La primera radica en que la posible seguridad jurídica que podría querer preservar fue prontamente puesta en entredicho por el Juzgado, al advertir que el recurso podría ser admitido. La segunda, en que el mencionado órgano judicial, al conocer de la legalidad procesal aplicable, detuvo la tramitación del recurso hasta que se produjo la segunda y personal notificación. La tercera en que, realizada ésta, dicho Juzgado tuvo el recurso discutido por interpuesto y admitido, y lo trasladó al Ministerio Fiscal para su posible adhesión o impugnación. Sólo en trámite de Sentencia fue la Audiencia la que decidió la inadmisibilidad por extemporaneidad del recurso de apelación del hoy recurrente, en una decisión que no podía preservar ya la celeridad del procedimiento y cuya alternativa no suponía indefensión de la otra parte concurrente en el proceso.</w:t>
      </w:r>
    </w:p>
    <w:p w:rsidR="006854DA" w:rsidRDefault="006854DA" w:rsidP="006854DA">
      <w:pPr>
        <w:pStyle w:val="TextoNormal"/>
      </w:pPr>
      <w:r>
        <w:t>En suma, a partir de la legalidad procesal aplicable, de la índole del recurso intentado y de las circunstancias concurrentes, debe calificarse la decisión de inadmisión de desproporcionada y, por ello, lesiva del derecho a la tutela judicial efectiva en su vertiente de derecho de acceso al recurso en materia penal por parte del condenado.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y, en su virtud:</w:t>
      </w:r>
    </w:p>
    <w:p w:rsidR="006854DA" w:rsidRDefault="006854DA" w:rsidP="006854DA">
      <w:pPr>
        <w:pStyle w:val="TextoNormal"/>
      </w:pPr>
      <w:r>
        <w:t>1º. Declarar que la Sentencia de la Sección Segunda de la Audiencia Provincial de Málaga 254/93 ha vulnerado el derecho del recurrente a la tutela judicial efectiva (art. 24.1 C.E.)  en su manifestación de derecho de acceso a los recursos.</w:t>
      </w:r>
    </w:p>
    <w:p w:rsidR="006854DA" w:rsidRDefault="006854DA" w:rsidP="006854DA">
      <w:pPr>
        <w:pStyle w:val="TextoNormal"/>
      </w:pPr>
      <w:r>
        <w:t>2º. Declarar la nulidad de la Sentencia mencionada.</w:t>
      </w:r>
    </w:p>
    <w:p w:rsidR="006854DA" w:rsidRDefault="006854DA" w:rsidP="006854DA">
      <w:pPr>
        <w:pStyle w:val="TextoNormal"/>
      </w:pPr>
      <w:r>
        <w:t>3º. Retrotraer las actuaciones al momento anterior al de dictado de dicha Sentencia al efecto de que la Sección Segunda de la Audiencia Provincial de Málaga dicte otra que resuelva el fondo del recurso de apelación interpuesto por don Salvador Rosa Rueda.</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cinco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 w:name="SENTENCIA_1997_89"/>
      <w:r>
        <w:lastRenderedPageBreak/>
        <w:t>SENTENCIA 89/1997, de 5 de mayo de 1997</w:t>
      </w:r>
    </w:p>
    <w:bookmarkEnd w:id="5"/>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ECLI:ES:TC:1997:89</w:t>
      </w:r>
    </w:p>
    <w:p w:rsidR="006854DA" w:rsidRDefault="006854DA" w:rsidP="006854DA">
      <w:pPr>
        <w:pStyle w:val="SntesisDescriptiva"/>
      </w:pPr>
    </w:p>
    <w:p w:rsidR="006854DA" w:rsidRDefault="006854DA" w:rsidP="006854DA">
      <w:pPr>
        <w:pStyle w:val="SntesisDescriptiva"/>
      </w:pPr>
      <w:r>
        <w:t>Recurso de amparo 3.985/1994. Contra Sentencia de la Sala Primera del Tribunal Supremo que desestimó recurso de casación contra la dictada por la Audiencia Provincial de Oviedo en autos de juicio declarativo de menor cuantía sobre reclamación de cantidad.</w:t>
      </w:r>
    </w:p>
    <w:p w:rsidR="006854DA" w:rsidRDefault="006854DA" w:rsidP="006854DA">
      <w:pPr>
        <w:pStyle w:val="SntesisDescriptiva"/>
      </w:pPr>
    </w:p>
    <w:p w:rsidR="006854DA" w:rsidRDefault="006854DA" w:rsidP="006854DA">
      <w:pPr>
        <w:pStyle w:val="SntesisAnaltica"/>
      </w:pPr>
      <w:r>
        <w:t>Supuesta vulneración del derecho a la tutela judicial efectiva: derecho a la defensa.</w:t>
      </w:r>
    </w:p>
    <w:p w:rsidR="006854DA" w:rsidRDefault="006854DA" w:rsidP="006854DA">
      <w:pPr>
        <w:pStyle w:val="SntesisAnaltica"/>
      </w:pPr>
    </w:p>
    <w:p w:rsidR="006854DA" w:rsidRDefault="006854DA" w:rsidP="006854DA">
      <w:pPr>
        <w:pStyle w:val="Extracto"/>
      </w:pPr>
      <w:r>
        <w:t>1.</w:t>
      </w:r>
      <w:r>
        <w:tab/>
        <w:t>Este Tribunal ha tenido oportunidad de afirmar en anteriores ocasiones que resulta constitucionalmente legítimo que el ordenamiento jurídico establezca, en algunos supuestos, a través de la prejudicialidad devolutiva, la prioridad de una jurisdicción sobre otra (STC 158/1985); que no existiendo norma legal alguna que establezca la necesidad de deferir a un concreto orden jurisdiccional el conocimiento de una cuestión prejudicial, «corresponde a cada uno de ellos, en el ejercicio independiente de la potestad que les confiere el art. 117.3 C.E., decidir si se han cumplido o no los presupuestos de las pretensiones que ante ellos se ejercitan» (SSTC 70/1989, 116/1989, 171/1994) y que, como regla general, carece de relevancia constitucional que puedan alcanzarse resultados contradictorios entre decisiones provenientes de órganos judiciales integrados en distintos órdenes jurisdiccionales, cuando esta contradicción tiene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(SSTC 158/1985, 70/1989, 116/1989, 30/1996 y 59/1996). Finalmente, hemos sostenido reiteradamente que para que la indefensión resulte constitucionalmente trascendente, es necesario que exista una indefensión material que produzca un efectivo y real menoscabo del derecho de defensa (SSTC 155/1988, 145/1990, 188/1993, 185/1994 y 1/1996, entre otras) y en cuanto al derecho a la utilización de los medios de prueba pertinentes para la defensa, hemos precisado que este derecho garantiza a las partes del proceso la aportación de las pruebas necesarias para acreditar los hechos que sirven de base a sus pretensiones, dentro de los autorizados por el ordenamiento (SSTC 101/1989, 233/1992, 89/1995 y 131/1995) y que la garantía constitucional contenida en el art. 24.2 C.E. únicamente se refiere a aquellos supuestos en que la prueba es «decisiva» en términos de defensa (SSTC 55/1991, 205/1991, 357/1993 y 1/1996) [F.J. 3].</w:t>
      </w:r>
    </w:p>
    <w:p w:rsidR="006854DA" w:rsidRDefault="006854DA" w:rsidP="006854DA">
      <w:pPr>
        <w:pStyle w:val="Extracto"/>
      </w:pPr>
    </w:p>
    <w:p w:rsidR="006854DA" w:rsidRDefault="006854DA" w:rsidP="006854DA">
      <w:pPr>
        <w:pStyle w:val="Extracto"/>
      </w:pPr>
      <w:r>
        <w:t>2.</w:t>
      </w:r>
      <w:r>
        <w:tab/>
        <w:t xml:space="preserve">Sin entrar a enjuiciar la corrección o inexactitud de la tesis del recurrente, lo relevante para la resolución de la queja que formula es que, en el presente caso, el demandante del amparo no ha sufrido ninguna indefensión, puesto que la Sentencia penal previa ha sido meramente uno de los elementos de juicio tenidos en cuenta por el juzgador para resolver el proceso civil sometido a su consideración, y en modo alguno ha determinado una vinculación del Juez civil a lo declarado </w:t>
      </w:r>
      <w:r>
        <w:lastRenderedPageBreak/>
        <w:t>previamente en el proceso penal, habiendo podido el recurrente en todo momento articular los medios de prueba y formular las alegaciones que tuvo convenientes para desvirtuar los hechos que sirven de base para la solución del proceso civil [F.J.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3.985/94 promovido por don Guillermo González Velasco, representado por el Procurador de los Tribunales don Santos de Gandarilla Carmona y asistido por el Letrado don José Agustín Antuña Alonso, contra la Sentencia de la Sala Primera del Tribunal Supremo, de 31 de octubre de 1994, que desestimó el recurso de casación formulado contra la dictada por la Audiencia Provincial de Oviedo en autos de juicio declarativo de menor cuantía 151/87, sobre reclamación de cantidad. Ha comparecido el Ministerio Fiscal y la entidad MADIN, Mutua Patronal de Accidentes de Trabajo, representada por la Procuradora doña Isabel Julia Corujo y defendida por el Letrado don Francisco Álvarez López. Ha sido Ponente el Magistrado don Tomás S. Vives Antón,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13 de diciembre de 1994, don Guillermo González Velasco, bajo la representación procesal del Procurador don Santos de Gandarillas Carmona, interpuso demanda de amparo constitucional contra la Sentencia de la Sala Primera del Tribunal Supremo, de 31 de octubre de 1994, que desestima el recurso de casación contra la dictada por la Audiencia Provincial de Oviedo en autos de juicio declarativo de menor cuantía.</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en que se fundamenta la demanda son, sucintamente expuestos, los siguientes: </w:t>
      </w:r>
    </w:p>
    <w:p w:rsidR="006854DA" w:rsidRDefault="006854DA" w:rsidP="006854DA">
      <w:pPr>
        <w:pStyle w:val="TextoNormal"/>
      </w:pPr>
      <w:r>
        <w:t xml:space="preserve">a) La sociedad CADESFISA era una entidad de asesoramiento e intermediación en el mercado financiero cuyo gerente y consejero delegado era el Sr. Juan José Rubio Tejero. En los años 1982 y 1983, época en la que acaecieron los hechos que dan lugar a este recurso, las adquisiciones de CADESFISA se concentraban en Pagarés del Tesoro, dándose la circunstancia que todos los pagarés eran adquiridos endosados en blanco, sin figurar expresamente a nombre del cliente por cuya cuenta se adquirían. </w:t>
      </w:r>
    </w:p>
    <w:p w:rsidR="006854DA" w:rsidRDefault="006854DA" w:rsidP="006854DA">
      <w:pPr>
        <w:pStyle w:val="TextoNormal"/>
      </w:pPr>
      <w:r>
        <w:lastRenderedPageBreak/>
        <w:t xml:space="preserve">b) CADESFISA recibió en su día el encargo de gestionar una inversión que se proponía efectuar la Mutua Patronal de Accidentes de Trabajo (MADIN) y el Sr. Rubio Tejero recibió una suma con destino a la adquisición de pagarés del tesoro y, como todos los demás fueron endosados en blanco; es decir, nunca figuraron a nombre de MADIN. </w:t>
      </w:r>
    </w:p>
    <w:p w:rsidR="006854DA" w:rsidRDefault="006854DA" w:rsidP="006854DA">
      <w:pPr>
        <w:pStyle w:val="TextoNormal"/>
      </w:pPr>
      <w:r>
        <w:t xml:space="preserve">c) Simultáneamente, CADESFISA era titular de una operación de préstamo concedido por Banesto para financiar la compra de un inmueble, que estaba garantizado solidariamente por varias personas, entre ellas el ahora recurrente en amparo, así como por el Sr. Rubio Tejero, quien pignoró a favor de Banesto diversos pagarés del Tesoro de los que disponía por estar endosados en blanco, los cuales fueron posteriormente vendidos por el Banco para resarcirse del importe del préstamo. </w:t>
      </w:r>
    </w:p>
    <w:p w:rsidR="006854DA" w:rsidRDefault="006854DA" w:rsidP="006854DA">
      <w:pPr>
        <w:pStyle w:val="TextoNormal"/>
      </w:pPr>
      <w:r>
        <w:t xml:space="preserve">d) Con base en estos hechos MADIN promovió una querella criminal contra el Sr. Rubio Tejero. Dicho procedimiento se resolvió previa conformidad prestada por el acusado a la calificación y a la pena solicitada por la acusación y el Juzgado dictó Sentencia el 2 de diciembre de 1985, en la que se condenó al Sr. Rubio Tejero, como autor de un delito de apropiación indebida, a la pena de seis meses de arresto mayor. MADIN se reservó en dicho juicio las acciones civiles que pudieran derivarse a su favor. </w:t>
      </w:r>
    </w:p>
    <w:p w:rsidR="006854DA" w:rsidRDefault="006854DA" w:rsidP="006854DA">
      <w:pPr>
        <w:pStyle w:val="TextoNormal"/>
      </w:pPr>
      <w:r>
        <w:t>e) Posteriormente MADIN promovió reclamación de cantidad contra el Sr. González Velasco, ahora recurrente en amparo, y los otros cofiadores de aquella operación de crédito, imputando a los demandados su responsabilidad por "receptación civil" y por enriquecimiento injusto, solicitando Sentencia condenatoria por importe de 19.663.829 ptas. que fue estimada por el Juzgado y confirmada en apelación, siendo posteriormente desestimado el recurso de casación por Sentencia de 31 de octubre de 1994. Contra dicha Sentencia se interpone recurso de amparo, interesando su nulidad.</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la demanda de amparo se alega infracción del art. 24 C.E., toda vez que la resolución recurrida lesiona el derecho de defensa y el derecho a utilizar los medios de prueba pertinentes del recurrente. Se argumenta al respecto que la Sentencia de casación dictada por el Tribunal Supremo recoge en sus fundamentos de Derecho una relación de hechos que la Sentencia de apelación consideró probados, entre los que destaca que CADESFISA, por medio de don Juan José Rubio Tejero, entregó al Banco Español de Crédito, los veinte pagarés del tesoro que había adquirido para MADIN y que no le había entregado, los cuales habían sido recibidos por CADESFISA con el endoso en blanco. </w:t>
      </w:r>
    </w:p>
    <w:p w:rsidR="006854DA" w:rsidRDefault="006854DA" w:rsidP="006854DA">
      <w:pPr>
        <w:pStyle w:val="TextoNormal"/>
      </w:pPr>
      <w:r>
        <w:t>Frente a esta relación de hechos el recurrente en amparo alega que la misma se sustenta en afirmaciones extraídas de un procedimiento penal en el que él no fue parte y que había llegado a un pronunciamiento condenatorio con base en la conformidad prestada por el acusado en el acto del juicio oral. El hecho de que los pagarés del tesoro pignorados por CADESFISA sean considerados como los que eran propiedad de MADIN, tratándose como eran de simples pagarés al portador merced a su endoso en blanco, es una afirmación que quiebra el derecho a la defensa del recurrente y el derecho a la utilización de los medios de prueba pertinentes puesto que todas las Sentencias dictadas en este procedimiento parten de esta cuestión como hecho cierto e indiscutible, por resultar así de la Sentencia penal y dictada en un proceso en el que el recurrente no fue parte.</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la Sección Cuarta de este Tribunal, de 30 de enero de 1995, se acordó conceder al demandante de amparo un plazo de diez días para que aportara las Sentencias dictadas en primera instancia y en grado de apelación, y copia de formalización del escrito de casación, acreditara la fecha de notificación de la Sentencia recurrida y haber invocado el derecho constitucional que se estima vulnerado.</w:t>
      </w:r>
    </w:p>
    <w:p w:rsidR="006854DA" w:rsidRDefault="006854DA" w:rsidP="006854DA">
      <w:pPr>
        <w:pStyle w:val="TextoNormal"/>
      </w:pPr>
    </w:p>
    <w:p w:rsidR="006854DA" w:rsidRDefault="006854DA" w:rsidP="006854DA">
      <w:pPr>
        <w:pStyle w:val="TextoNormal"/>
      </w:pPr>
      <w:r w:rsidRPr="006854DA">
        <w:rPr>
          <w:rStyle w:val="NumeroAFNegritaCaracter"/>
        </w:rPr>
        <w:t>5</w:t>
      </w:r>
      <w:r>
        <w:t>. Cumplimentado el requerimiento, por providencia de la Sección Tercera de 29 de mayo de 1995 se acordó admitir a trámite la demanda de amparo promovida por don Guillermo González Velasco y a tenor de lo dispuesto en el art. 51 LOTC, requerir al Tribunal Supremo y a la Audiencia Provincial de Oviedo a fin de que en el plazo que no excediera de diez días, remitieran, respectivamente, las actuaciones correspondientes al recurso de casación núm. 3137/91, y al recurso de apelación núm. 153/90, interesando igualmente del Juzgado de Primera Instancia núm. 4 de Oviedo para que remitiera certificación o fotocopia adverada de las actuaciones correspondientes al juicio declarativo de menor cuantía núm. 151/87 y el emplazamiento de cuantos hubieran sido parte en el proceso, excepto la parte recurrente en amparo, para que en el plazo de diez días pudiesen comparecer en el presente proceso constitucional.</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22 de febrero de 1996,la Sección acordó tener por personado y parte en el procedimiento a la Procuradora doña Isabel Juliá Conejo en nombre y representación de MADIN, Mutua Patronal de Accidentes de Trabajo, y dar vista de las actuaciones remitidas a las partes personadas y al Ministerio Fiscal en el plazo común de veinte días, conforme determina el art. 52.1 de la LOTC.</w:t>
      </w:r>
    </w:p>
    <w:p w:rsidR="006854DA" w:rsidRDefault="006854DA" w:rsidP="006854DA">
      <w:pPr>
        <w:pStyle w:val="TextoNormal"/>
      </w:pPr>
    </w:p>
    <w:p w:rsidR="006854DA" w:rsidRDefault="006854DA" w:rsidP="006854DA">
      <w:pPr>
        <w:pStyle w:val="TextoNormal"/>
      </w:pPr>
      <w:r w:rsidRPr="006854DA">
        <w:rPr>
          <w:rStyle w:val="NumeroAFNegritaCaracter"/>
        </w:rPr>
        <w:t>7</w:t>
      </w:r>
      <w:r>
        <w:t>. La representación procesal del recurrente en amparo presentó su escrito de alegaciones el día 27 de marzo de 1996, en el que reiteraba las alegaciones vertidas en la demanda y añadía que la infracción constitucional denunciada se ha consumado, no porque la actora no haya podido acudir a la jurisdicción ordinaria, sino porque la tutela obtenida no ha sido efectiva, por cuanto sus pretensiones son desestimadas al socaire de una verdad material obtenida en un procedimiento criminal en el que el recurrente ni fue parte ni tuvo intervención ni conocimiento alguno. Termina solicitando a la Sala que dicte Sentencia otorgando el amparo solicitado.</w:t>
      </w:r>
    </w:p>
    <w:p w:rsidR="006854DA" w:rsidRDefault="006854DA" w:rsidP="006854DA">
      <w:pPr>
        <w:pStyle w:val="TextoNormal"/>
      </w:pPr>
    </w:p>
    <w:p w:rsidR="006854DA" w:rsidRDefault="006854DA" w:rsidP="006854DA">
      <w:pPr>
        <w:pStyle w:val="TextoNormal"/>
      </w:pPr>
      <w:r w:rsidRPr="006854DA">
        <w:rPr>
          <w:rStyle w:val="NumeroAFNegritaCaracter"/>
        </w:rPr>
        <w:t>8</w:t>
      </w:r>
      <w:r>
        <w:t>. Por su parte, la representación de MADIN, Mutua Patronal de Accidentes de Trabajo, formuló sus alegaciones mediante escrito registrado el día 15 de marzo de 1996, en el que se afirmaba que no existía indefensión para el recurrente en amparo, toda vez que no tuvo por qué intervenir en el proceso penal, que se dirigió sólo contra la persona que se consideró responsable de los hechos delictivos y dictando Sentencia contra la misma. Y, posteriormente, en el proceso civil en el que se ejercitan las acciones que se habían reservado por MADIN, el recurrente tuvo todas las posibilidades de defensa, sin ningún tipo de limitaciones y el actor pudo oponer a la demanda la condición de no ser beneficiado por el delito, y así lo hizo, por lo que no existió la indefensión material según se sostiene en la demanda, razones todas ellas por las que solicita de la Sala que dicte una Sentencia inadmitiendo el recurso, o, en su caso, denegando el amparo solicitado.</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Ministerio Fiscal presentó su escrito de alegaciones en el Registro General de este Tribunal el día 25 de marzo de 1996, en el que solicitaba a la Sala que dictara Sentencia desestimando el recurso de amparo. </w:t>
      </w:r>
    </w:p>
    <w:p w:rsidR="006854DA" w:rsidRDefault="006854DA" w:rsidP="006854DA">
      <w:pPr>
        <w:pStyle w:val="TextoNormal"/>
      </w:pPr>
      <w:r>
        <w:t xml:space="preserve">Tras recordar la doctrina de este Tribunal sobre el derecho fundamental a la tutela judicial efectiva, afirma esta representación que el proceso declarativo civil en el que se solicitaba la devolución de la cantidad importe de la inversión que había realizado la demandante en pagarés del Estado, se ha desarrollado sin limitación alguna, tanto en las alegaciones </w:t>
      </w:r>
      <w:r>
        <w:lastRenderedPageBreak/>
        <w:t xml:space="preserve">como en la proposición y práctica de la prueba, lo que supone la inexistencia de limitación, reducción o restricción de las garantías procesales que establece el derecho fundamental reconocido en el art. 24.1 C.E. Sostiene esta representación que el proceso penal únicamente ha determinado la culpabilidad de una persona por un injusto de apropiación indebida. Y que el proceso civil ha declarado que los demandados se han beneficiado del pago del préstamo y que dicho pago se ha realizado con los efectos financieros propiedad de MADIN, por lo que procede su devolución y a esta conclusión ha llegado el órgano judicial a través de la valoración de las pruebas aportadas y practicadas por las partes en el proceso civil, sin que los hechos declarados probados en la Sentencia penal hayan sido tenidos en cuenta como tales por el Juez, como pretende el recurrente. </w:t>
      </w:r>
    </w:p>
    <w:p w:rsidR="006854DA" w:rsidRDefault="006854DA" w:rsidP="006854DA">
      <w:pPr>
        <w:pStyle w:val="TextoNormal"/>
      </w:pPr>
      <w:r>
        <w:t>Además, continúa el Ministerio Fiscal, no ha existido limitación alguna en el proceso civil en relación a la práctica de la prueba ni tampoco ineficacia de la actividad probatoria desarrollada por el mismo, y esta falta de limitación desmiente las alegaciones del actor que fundamenta la violación del art. 24.2 C.E. en la imposibilidad de acreditar que los efectos financieros con los que se pagó el préstamo bancario y que les liberó de su obligación de fiadores no eran los de propiedad de MADIN. Las diferentes pruebas practicadas en el proceso civil acreditan la identificación de los pagarés y no supone la vulneración del derecho fundamental a la prueba, el que las empleadas en el proceso penal sean utilizadas en el proceso civil, en el que han podido ser objeto de contradicción o contra prueba efectiva por el demandado. En definitiva, el órgano judicial ha valorado todas las pruebas practicadas a petición de las partes en el proceso civil y ha declarado sin arbitrariedad que se ha acreditado, con las pruebas practicadas y no por la mera aportación de la Sentencia penal, el hecho de la disposición de unos efectos financieros de propiedad ajena para el pago de un préstamo que ha liberado al actor, por existir un enriquecimiento injusto. En consecuencia, concluye, la Sentencia no ha vulnerado el derecho fundamental a la tutela judicial efectiva, y solicita la desestimación del recurso de amparo.</w:t>
      </w:r>
    </w:p>
    <w:p w:rsidR="006854DA" w:rsidRDefault="006854DA" w:rsidP="006854DA">
      <w:pPr>
        <w:pStyle w:val="TextoNormal"/>
      </w:pPr>
    </w:p>
    <w:p w:rsidR="006854DA" w:rsidRDefault="006854DA" w:rsidP="006854DA">
      <w:pPr>
        <w:pStyle w:val="TextoNormal"/>
      </w:pPr>
      <w:r w:rsidRPr="006854DA">
        <w:rPr>
          <w:rStyle w:val="NumeroAFNegritaCaracter"/>
        </w:rPr>
        <w:t>10</w:t>
      </w:r>
      <w:r>
        <w:t>. Por providencia de 29 de abril de 1997, se señaló para deliberación y fallo el día 5 de mayo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cuestión que se nos plantea en el presente recurso de amparo consiste en determinar si, como sostiene el recurrente, en el proceso civil en el que se dictó la resolución impugnada se han vulnerado el derecho fundamental de defensa y el derecho a utilizar los medios de prueba pertinentes, reconocidos en el art. 24. C.E.</w:t>
      </w:r>
    </w:p>
    <w:p w:rsidR="006854DA" w:rsidRDefault="006854DA" w:rsidP="006854DA">
      <w:pPr>
        <w:pStyle w:val="TextoNormal"/>
      </w:pPr>
      <w:r>
        <w:t>El argumento principal esgrimido en la demanda consiste en que las Sentencias dictadas en el proceso civil, que condenan al recurrente al pago de la cantidad reclamada, se recoge una relación de hechos probados que se sustenta en afirmaciones extraídas de un anterior procedimiento penal -seguido por apropiación indebida- en el que el actor no fue parte, y en el que recayó pronunciamiento condenatorio con base en la conformidad prestada por el acusado en el juicio oral. Tal circunstancia ha impedido al actor, según afirma, ejercer su derecho de defensa, al no haber tenido oportunidad de rebatir tales hechos.</w:t>
      </w:r>
    </w:p>
    <w:p w:rsidR="006854DA" w:rsidRDefault="006854DA" w:rsidP="006854DA">
      <w:pPr>
        <w:pStyle w:val="TextoNormal"/>
      </w:pPr>
      <w:r>
        <w:t xml:space="preserve">En concreto, se sostiene que el hecho de que los pagarés del Tesoro pignorados en su día sean considerados propiedad de la entidad MADIN, como se estableció en la resolución penal, cuando, según se sostiene, eran simples pagarés al portador, por su endoso en blanco, es una afirmación que quiebra los referidos derechos fundamentales, toda vez que </w:t>
      </w:r>
      <w:r>
        <w:lastRenderedPageBreak/>
        <w:t>las Sentencias dictadas en el procedimiento civil parten de ese hecho como cierto e indiscutible por haberlo declarado así la Sentencia penal recaída en un proceso en que el actor no ha podido formular ninguna alegación.</w:t>
      </w:r>
    </w:p>
    <w:p w:rsidR="006854DA" w:rsidRDefault="006854DA" w:rsidP="006854DA">
      <w:pPr>
        <w:pStyle w:val="TextoNormal"/>
      </w:pPr>
    </w:p>
    <w:p w:rsidR="006854DA" w:rsidRDefault="006854DA" w:rsidP="006854DA">
      <w:pPr>
        <w:pStyle w:val="TextoNormal"/>
      </w:pPr>
      <w:r w:rsidRPr="006854DA">
        <w:rPr>
          <w:rStyle w:val="NumeroAFNegritaCaracter"/>
        </w:rPr>
        <w:t>2</w:t>
      </w:r>
      <w:r>
        <w:t>. Para la resolución de la cuestión que se nos plantea, resulta necesario examinar lo ocurrido en los procesos penal y civil a fin de determinar si realmente el demandante ha sufrido una limitación en sus medios de defensa y una indefensión contraria al art. 24 C.E.</w:t>
      </w:r>
    </w:p>
    <w:p w:rsidR="006854DA" w:rsidRDefault="006854DA" w:rsidP="006854DA">
      <w:pPr>
        <w:pStyle w:val="TextoNormal"/>
      </w:pPr>
      <w:r>
        <w:t>Pues bien, el problema que se suscita tiene su origen en el procedimiento penal iniciado en virtud de querella formulada por la entidad MADIN contra el Sr. Rubio Tejero, por un supuesto delito de apropiación indebida. Este procedimiento se resolvió al prestar su conformidad el acusado con la calificación y con la pena solicitada por el Ministerio Fiscal. En la Sentencia finalmente recaída se declaraba probado que el Sr.  Rubio Tejero, en su condición de Gerente de CADESFISA, recibió el encargo de MADIN de gestionar la adquisición de pagarés del Tesoro, recibiendo para ello la cantidad de 21.750.000 ptas, y, una vez adquiridos, el acusado no los entregó a MADIN, sino que los pignoró a favor del Banco Español de Crédito en garantía de un crédito que había concedido a CADESFISA, y ante los descubiertos de esta entidad, el Banco procedió a realizar dichos pagarés.</w:t>
      </w:r>
    </w:p>
    <w:p w:rsidR="006854DA" w:rsidRDefault="006854DA" w:rsidP="006854DA">
      <w:pPr>
        <w:pStyle w:val="TextoNormal"/>
      </w:pPr>
      <w:r>
        <w:t>Concluido el procedimiento penal en el que había hecho expresa reserva de las acciones civiles, MADIN formuló demanda en reclamación de cantidad contra el condenado en el proceso penal, Sr. Rubio Tejero, y contra otros tres Consejeros de CADESFISA, entre los que se encontraba el demandante de amparo, en su condición de Secretario de tal sociedad. El fundamento de la reclamación civil, era el ejercicio de la acción derivada del art. 108 C.P., y el supuesto enriquecimiento injusto de los demandados, pues con la ejecución por parte de la entidad bancaria de los bonos propiedad de MADIN, los entonces demandados, todos ellos consejeros de CADESFISA, se liberaron del crédito que se les había concedido y del que eran garantes y, en consecuencia, se beneficiaron gratuitamente en la cuantía a la que personalmente estaban obligados.</w:t>
      </w:r>
    </w:p>
    <w:p w:rsidR="006854DA" w:rsidRDefault="006854DA" w:rsidP="006854DA">
      <w:pPr>
        <w:pStyle w:val="TextoNormal"/>
      </w:pPr>
      <w:r>
        <w:t>Una vez dado traslado de la demanda, la representación procesal del recurrente en amparo contestó alegando, entre otros argumentos, y por lo que aquí interesa, que no se había acreditado que los pagarés adquiridos con los fondos de MADIN fueran los mismos que se habían pignorado a favor de la entidad bancaria.  Recibido el pleito a prueba, por la representación procesal del recurrente en amparo se propuso la de confesión judicial de la entonces demandante MADIN, en la persona de su Director, Gerente o legal representante, y del codemandado, Sr. Rubio Tejero y, asimismo, se interesó la práctica de una pericial caligráfica subsidiaria para el caso de que este último no compareciese o negara las firmas obrantes en el escrito de pignoración.  Finalmente, se solicitó al Juzgado la práctica de documental, que debía versar sobre el Libro de Actas de CADESFISA y de sus cargos representativos, que se requiriera una certificación a la entidad intermediaria IBERDEALER, sobre el número y naturaleza de los Títulos adquiridos por CADESFISA y, que se certificara por el Banco Español de Crédito los movimientos habidos en la cuenta corriente de la entidad.</w:t>
      </w:r>
    </w:p>
    <w:p w:rsidR="006854DA" w:rsidRDefault="006854DA" w:rsidP="006854DA">
      <w:pPr>
        <w:pStyle w:val="TextoNormal"/>
      </w:pPr>
      <w:r>
        <w:t>El Juzgado de Primera Instancia dictó providencia admitiendo y declarando pertinentes los medios de prueba propuestos por la representación del recurrente en amparo y acordó su práctica. Transcurrido el período probatorio el referido Juzgado dictó Sentencia estimando las pretensiones deducidas y condenando a los demandados al abono de la cantidad reclamada. En el fundamento jurídico quinto de la mencionada resolución se decía que de lo actuado en el proceso estaba suficientemente probado que los demandados garantizaban, individual y solidariamente el crédito que la entidad bancaria había concedido a CA</w:t>
      </w:r>
      <w:r>
        <w:lastRenderedPageBreak/>
        <w:t>DESFISA, de la que eran Consejeros, y que al no haberlo liquidado, el Banco ejecutó los bonos de propiedad de MADIN, liberándose gratuitamente del pago del crédito.</w:t>
      </w:r>
    </w:p>
    <w:p w:rsidR="006854DA" w:rsidRDefault="006854DA" w:rsidP="006854DA">
      <w:pPr>
        <w:pStyle w:val="TextoNormal"/>
      </w:pPr>
      <w:r>
        <w:t>En el recurso de apelación la representación procesal del actor interesó nuevamente la prueba que no se había practicado en la instancia, consistente en la de confesión del codemandado, Sr. Rubio Tejero, la pericial caligráfica subsidiaria y la documental consistente en que se certificara por IBERDALER ciertos extremos sobre los pagarés. La Audiencia Provincial de Oviedo dictó Auto acordando recibir el pleito a prueba, y la práctica de la propuesta por el actor. Durante el período probatorio se contestó la documental interesada y ante la imposibilidad de hallar al codemandado por encontrarse en paradero desconocido, se procedió al nombramiento de perito, el cual compareció ante el Juzgado manifestando la imposibilidad de emitir el correspondiente informe por cuanto las firmas dubitada e indubitada aportadas para su estudio estaban extendidas en sendas fotocopias, siendo necesarias para el dictamen las firmas originales. A la vista de lo manifestado por el perito, la Sala acordó poner en conocimiento de las partes la anterior manifestación a fin de que en el plazo de tres días instaran lo que a su derecho conviniera, plazo que transcurrió sin que ninguna de las partes formulara solicitud alguna respecto a tal prueba.</w:t>
      </w:r>
    </w:p>
    <w:p w:rsidR="006854DA" w:rsidRDefault="006854DA" w:rsidP="006854DA">
      <w:pPr>
        <w:pStyle w:val="TextoNormal"/>
      </w:pPr>
      <w:r>
        <w:t>Celebrada la vista, las partes informaron a favor de sus respectivas tesis, y seguidamente, la Audiencia Provincial dictó Sentencia confirmando la de instancia. En esta resolución, tras rechazar las excepciones procesales invocadas, se analizaba la cuestión de fondo y se razonaba que la deuda derivada de la póliza de crédito personal era exigible, al haberse acreditado que la liberación de la misma se llevó a efecto con pagarés pertenecientes a MADIN, de los que dispuso indebidamente el Sr.  Rubio Tejero, "como así se evidencia de las declaraciones de aquél y del Director de la Oficina del Banco Español de Crédito, testimoniadas de la causa penal, y del informe de la intervención judicial de CADESFISA y de la certificación expedida por IBERDALER, que obra en el rollo de prueba practica en segunda instancia.</w:t>
      </w:r>
    </w:p>
    <w:p w:rsidR="006854DA" w:rsidRDefault="006854DA" w:rsidP="006854DA">
      <w:pPr>
        <w:pStyle w:val="TextoNormal"/>
      </w:pPr>
      <w:r>
        <w:t>Contra esta decisión el actor formuló recurso de casación en el que invocaba error de hecho en la apreciación de la prueba y la infracción del art. 24 C.E.  y, finalmente, el Tribunal Supremo dictó Sentencia declarando no haber lugar el recurso deducido.</w:t>
      </w:r>
    </w:p>
    <w:p w:rsidR="006854DA" w:rsidRDefault="006854DA" w:rsidP="006854DA">
      <w:pPr>
        <w:pStyle w:val="TextoNormal"/>
      </w:pPr>
    </w:p>
    <w:p w:rsidR="006854DA" w:rsidRDefault="006854DA" w:rsidP="006854DA">
      <w:pPr>
        <w:pStyle w:val="TextoNormal"/>
      </w:pPr>
      <w:r w:rsidRPr="006854DA">
        <w:rPr>
          <w:rStyle w:val="NumeroAFNegritaCaracter"/>
        </w:rPr>
        <w:t>3</w:t>
      </w:r>
      <w:r>
        <w:t>. Como se desprende de los términos en que se plantea la demanda de amparo, el recurrente formula la presente queja constitucional por considerar que la supuesta vinculación de los órganos judiciales civiles al relato histórico de la Sentencia dictada en un proceso penal le ha impedido defenderse adecuadamente, en concreto, le ha vedado la oportunidad de formular las alegaciones pertinentes acerca de un extremo que se toma del pronunciamiento penal, relativo a la propiedad de ciertos pagarés que fueron ejecutados y de la que deriva la reclamación civil deducida contra el actor.</w:t>
      </w:r>
    </w:p>
    <w:p w:rsidR="006854DA" w:rsidRDefault="006854DA" w:rsidP="006854DA">
      <w:pPr>
        <w:pStyle w:val="TextoNormal"/>
      </w:pPr>
      <w:r>
        <w:t>Por consiguiente, al situarse la invocada infracción constitucional en la supuesta merma del derecho de defensa padecida por el recurrente en amparo originada por la presunta vinculación de los hechos probados entre órdenes jurisdiccionales diferentes, conviene traer a colación nuestra doctrina en torno a tales extremos.</w:t>
      </w:r>
    </w:p>
    <w:p w:rsidR="006854DA" w:rsidRDefault="006854DA" w:rsidP="006854DA">
      <w:pPr>
        <w:pStyle w:val="TextoNormal"/>
      </w:pPr>
      <w:r>
        <w:t>Este Tribunal ha tenido oportunidad de afirmar en anteriores ocasiones que resulta constitucionalmente legítimo que el ordenamiento jurídico establezca, en algunos supuestos, a través de la prejudicialidad devolutiva, la prioridad de una jurisdicción sobre otra (STC 158/1985); que no existiendo norma legal alguna que establezca la necesidad de deferir a un concreto orden jurisdiccional el conocimiento de una cuestión prejudicial, "corresponde a cada uno de ellos, en el ejercicio independiente de la potestad que les confiere el art. 117.3 C.E., decidir si se han cumplido o no los presupuestos de las pretensio</w:t>
      </w:r>
      <w:r>
        <w:lastRenderedPageBreak/>
        <w:t>nes que ante ellos se ejercitan" (SSTC 70/1989, 116/1989, 171/1994) y que, como regla general, carece de relevancia constitucional que puedan alcanzarse resultados contradictorios entre decisiones provenientes de órganos judiciales integrados en distintos órdenes jurisdiccionales, cuando esta contradicción tiene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(STC 158/1985, 70/1989, 116/1989, 30/1996, 59/1996).</w:t>
      </w:r>
    </w:p>
    <w:p w:rsidR="006854DA" w:rsidRDefault="006854DA" w:rsidP="006854DA">
      <w:pPr>
        <w:pStyle w:val="TextoNormal"/>
      </w:pPr>
      <w:r>
        <w:t>Finalmente, hemos sostenido reiteradamente para que la indefensión resulte constitucionalmente trascendente es necesario que exista una indefensión material que produzca un efectivo y real menoscabo del derecho de defensa (SSTC 155/1988, 145/1990, 188/1993, 185/1994, 1/1996, entre otras) y en cuanto al derecho a la utilización de los medios de prueba pertinentes para la defensa, hemos precisado que este derecho garantiza a las partes del proceso la aportación de las pruebas necesarias para acreditar los hechos que sirven de base a sus pretensiones, dentro de los autorizados por el ordenamiento (SSTC 101/1989, 233/1992, 89/1995 y 131/1995) y que la garantía constitucional contenida en el art. 24.2 C.E. únicamente se refiere a aquellos supuestos en que la prueba es "decisiva" en términos de defensa (SSTC 55/1991, 205/1991, 357/1993, 1/1996).</w:t>
      </w:r>
    </w:p>
    <w:p w:rsidR="006854DA" w:rsidRDefault="006854DA" w:rsidP="006854DA">
      <w:pPr>
        <w:pStyle w:val="TextoNormal"/>
      </w:pPr>
    </w:p>
    <w:p w:rsidR="006854DA" w:rsidRDefault="006854DA" w:rsidP="006854DA">
      <w:pPr>
        <w:pStyle w:val="TextoNormal"/>
      </w:pPr>
      <w:r w:rsidRPr="006854DA">
        <w:rPr>
          <w:rStyle w:val="NumeroAFNegritaCaracter"/>
        </w:rPr>
        <w:t>4</w:t>
      </w:r>
      <w:r>
        <w:t>. A la vista de lo anteriormente expuesto, cabe concluir que la queja del recurrente en amparo acerca de la quiebra del art. 24 C.E. resulta infundada, pues de lo actuado en el proceso se desprende que la afirmación sobre la que descansa la supuesta lesión del referido derecho fundamental no se ajusta a la realidad.</w:t>
      </w:r>
    </w:p>
    <w:p w:rsidR="006854DA" w:rsidRDefault="006854DA" w:rsidP="006854DA">
      <w:pPr>
        <w:pStyle w:val="TextoNormal"/>
      </w:pPr>
      <w:r>
        <w:t>Frente a lo sostenido en la demanda, en las Sentencias dictadas en el proceso civil se toma en consideración la resolución dictada por el Juez Penal; pero esta decisión penal no resulta determinante para acreditar los hechos, sino que la misma se valora como un elemento probatorio más, junto a los que se practicaron en el propio proceso civil a instancia de las partes procesales.  Así se deduce, sin ningún género de dudas, de la lectura de las Sentencias civiles, en concreto, de la dictada en grado de apelación, en la que la Audiencia Provincial explica que llega a la conclusión acerca de los hechos acreditados, no sólo a través de las declaraciones prestadas en el proceso penal -que testimoniadas se aportaron al proceso civil-, sino también a través del informe de la intervención judicial de CADESFISA y de la valoración de las certificaciones extendidas por la sociedad intermediaria. Es, precisamente del conjunto de este material probatorio y no exclusivamente de lo declarado en la Sentencia penal, de donde los órganos judiciales extraen sus conclusiones, o, dicho en otras palabras, los jueces civiles no se limitan a acatar sin más lo declarado por el Juez penal, sino que, por el contrario, proceden a valorar libremente las pruebas que se han practicado ante ellos, entre las que el pronunciamiento penal es un elemento probatorio más, no determinante ni definitivo para la decisión final sobre la procedencia de la acción ejercitada.</w:t>
      </w:r>
    </w:p>
    <w:p w:rsidR="006854DA" w:rsidRDefault="006854DA" w:rsidP="006854DA">
      <w:pPr>
        <w:pStyle w:val="TextoNormal"/>
      </w:pPr>
      <w:r>
        <w:t>A partir de la anterior precisión, cabe concluir que ninguna indefensión material se ha causado al demandante de amparo, toda vez que ha podido formular, sin ningún tipo de limitación, aquellas alegaciones que estimó pertinentes acerca de la titularidad de los pagarés cuya realización dio lugar a la reclamación civil. Ciertamente, el actor tuvo oportunidad de exponer sus argumentos ante los órganos judiciales, tanto en la contestación a la demanda, como en las conclusiones y, posteriormente, en los sucesivos recursos de apelación y casación que formuló y en los que obtuvo los correspondientes pronunciamientos judiciales.</w:t>
      </w:r>
    </w:p>
    <w:p w:rsidR="006854DA" w:rsidRDefault="006854DA" w:rsidP="006854DA">
      <w:pPr>
        <w:pStyle w:val="TextoNormal"/>
      </w:pPr>
      <w:r>
        <w:lastRenderedPageBreak/>
        <w:t>Además, el demandante pudo proponer, sin limitación ni restricción alguna, los medios probatorios que estimó convenientes para acreditar los hechos opuestos en su defensa, en concreto, aquellos que consideró oportunos para justificar la titularidad de los pagarés. Los órganos judiciales admitieron toda la prueba interesada por el recurrente, que se practicó en primera instancia y aquélla que no pudo realizarse, se llevó a cabo en la segunda instancia, salvo la pericial, que, ante la imposibilidad material de su realización, la Audiencia lo puso en conocimiento de las partes, sin que la actora hiciera ninguna alegación.</w:t>
      </w:r>
    </w:p>
    <w:p w:rsidR="006854DA" w:rsidRDefault="006854DA" w:rsidP="006854DA">
      <w:pPr>
        <w:pStyle w:val="TextoNormal"/>
      </w:pPr>
      <w:r>
        <w:t>Finalmente, los órganos judiciales valoraron soberanamente el conjunto de las pruebas practicadas ante ellos, sin limitarse a aceptar el relato fáctico de la Sentencia penal en lo relativo a la debatida titularidad de los pagarés.</w:t>
      </w:r>
    </w:p>
    <w:p w:rsidR="006854DA" w:rsidRDefault="006854DA" w:rsidP="006854DA">
      <w:pPr>
        <w:pStyle w:val="TextoNormal"/>
      </w:pPr>
      <w:r>
        <w:t>En suma, sin entrar a enjuiciar la corrección o inexactitud de la tesis del recurrente, lo relevante para la resolución de la queja que formula es que, en el presente caso, el demandante del amparo no ha sufrido ninguna indefensión puesto que la Sentencia penal previa ha sido meramente uno de los elementos de juicio tenidos en cuenta por el Juzgador para resolver el proceso civil sometido a su consideración, y en modo alguno ha determinado una vinculación del Juez civil a lo declarado previamente en el proceso penal, habiendo podido el recurrente en todo momento articular los medios de prueba y formular las alegaciones que tuvo convenientes para desvirtuar los hechos que sirven de base para la solución del proceso civil.</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cinco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6" w:name="SENTENCIA_1997_90"/>
      <w:r>
        <w:lastRenderedPageBreak/>
        <w:t>SENTENCIA 90/1997, de 6 de mayo de 1997</w:t>
      </w:r>
    </w:p>
    <w:bookmarkEnd w:id="6"/>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ECLI:ES:TC:1997:90</w:t>
      </w:r>
    </w:p>
    <w:p w:rsidR="006854DA" w:rsidRDefault="006854DA" w:rsidP="006854DA">
      <w:pPr>
        <w:pStyle w:val="SntesisDescriptiva"/>
      </w:pPr>
    </w:p>
    <w:p w:rsidR="006854DA" w:rsidRDefault="006854DA" w:rsidP="006854DA">
      <w:pPr>
        <w:pStyle w:val="SntesisDescriptiva"/>
      </w:pPr>
      <w:r>
        <w:t>Recurso de amparo 3.309/1994. Contra Sentencia de la Sala de lo Social del T.S.J. de Madrid, revocatoria, en vía de suplicación, de la dictada por el Juzgado de lo Social núm. 21 de la misma ciudad en autos de reclamación laboral.</w:t>
      </w:r>
    </w:p>
    <w:p w:rsidR="006854DA" w:rsidRDefault="006854DA" w:rsidP="006854DA">
      <w:pPr>
        <w:pStyle w:val="SntesisDescriptiva"/>
      </w:pPr>
    </w:p>
    <w:p w:rsidR="006854DA" w:rsidRDefault="006854DA" w:rsidP="006854DA">
      <w:pPr>
        <w:pStyle w:val="SntesisAnaltica"/>
      </w:pPr>
      <w:r>
        <w:t>Vulneración del derecho de huelga: inversión de la carga de la prueba.</w:t>
      </w:r>
    </w:p>
    <w:p w:rsidR="006854DA" w:rsidRDefault="006854DA" w:rsidP="006854DA">
      <w:pPr>
        <w:pStyle w:val="SntesisAnaltica"/>
      </w:pPr>
    </w:p>
    <w:p w:rsidR="006854DA" w:rsidRDefault="006854DA" w:rsidP="006854DA">
      <w:pPr>
        <w:pStyle w:val="Extracto"/>
      </w:pPr>
      <w:r>
        <w:t>1.</w:t>
      </w:r>
      <w:r>
        <w:tab/>
        <w:t>La modalidad procesal de tutela de derechos fundamentales prevista en los arts. 175 y siguientes L.P.L. -que goza por la naturaleza de su objeto de garantías específicas como la sumariedad y la preferencia en la tramitación (art. 177 L.P.L.)-, limita aquél al conocimiento de la lesión del derecho fundamental, sin posibilidad de acumulación con acciones de otra naturaleza o con idéntica pretensión basada en fundamentos diversos a la tutela del derecho fundamental -la denominada sumariedad cualitativa- (art. 176 L.P.L.); de forma que el pronunciamiento del órgano judicial se ciñe a declarar la existencia o no de la lesión y con ella la nulidad de la conducta que la ocasiona, reponiendo la situación al momento previo a que aquélla se produjese, con inclusión de la indemnización que proceda (art. 180 L.P.L.). Pero ello no significa que las eventuales lesiones de derechos fundamentales deban ser canalizadas exclusivamente a través de esta modalidad procesal. En concreto, el procedimiento ordinario no tiene esa limitación de objeto de conocimiento ni de pronunciamiento judicial, de forma que permite canalizar reclamaciones de otros derechos vinculadas a la lesión de uno fundamental, que posiblemente serían inviables en el limitado cauce de la modalidad anteriormente mencionada. De esta forma y según el alcance de lo pretendido, el demandante optará por uno u otro procedimiento, como ha sucedido en el presente caso, en que la demanda de la trabajadora no se dirigía con carácter exclusivo a que se declarase la discriminación sufrida por su participación en una huelga, sino a que aquélla se desvelase como la verdadera causa de la negativa de la empresa a transformar su contrato a tiempo parcial en otro por tiempo indefinido, obteniendo el reconocimiento de este derecho establecido en el Convenio al invalidar los motivos empresariales de su denegación [F.J. 2].</w:t>
      </w:r>
    </w:p>
    <w:p w:rsidR="006854DA" w:rsidRDefault="006854DA" w:rsidP="006854DA">
      <w:pPr>
        <w:pStyle w:val="Extracto"/>
      </w:pPr>
    </w:p>
    <w:p w:rsidR="006854DA" w:rsidRDefault="006854DA" w:rsidP="006854DA">
      <w:pPr>
        <w:pStyle w:val="Extracto"/>
      </w:pPr>
      <w:r>
        <w:t>2.</w:t>
      </w:r>
      <w:r>
        <w:tab/>
        <w:t xml:space="preserve">La discriminación alegada por la trabajadora, y que implica directamente a los arts. 14 y 28 C.E., se reconduce al segundo de estos preceptos, como ya ha tenido ocasión de manifestar este Tribunal (SSTC 38/1981, 197/1990 y 134/1994), tanto en relación a los recursos de amparo en que se ha alegado por el trabajador individual discriminación por razones sindicales, como en relación al contenido que implícitamente está contenido en el art. 28 C.E. de igualdad de trato, a nivel colectivo, entre sindicatos (SSTC 53/1982, 7/1990, 32/1990, 184/1991, 75/1992 y 168/1996). Esta reconducción de la discriminación al ámbito del derecho fundamental específicamente afectado por ella opera, igualmente, en el caso del derecho de huelga al concurrir identidad de razón para ello, tanto si se protege como </w:t>
      </w:r>
      <w:r>
        <w:lastRenderedPageBreak/>
        <w:t>derecho autónomamente reconocido en el art. 28.2 C.E., como si se considera medio fundamental en la acción sindical (STC 11/1981) [F.J. 3].</w:t>
      </w:r>
    </w:p>
    <w:p w:rsidR="006854DA" w:rsidRDefault="006854DA" w:rsidP="006854DA">
      <w:pPr>
        <w:pStyle w:val="Extracto"/>
      </w:pPr>
    </w:p>
    <w:p w:rsidR="006854DA" w:rsidRDefault="006854DA" w:rsidP="006854DA">
      <w:pPr>
        <w:pStyle w:val="Extracto"/>
      </w:pPr>
      <w:r>
        <w:t>3.</w:t>
      </w:r>
      <w:r>
        <w:tab/>
        <w:t>Como se desprende de la Sentencia del Juzgado de lo Social y del acta del juicio, la empresa demandada no probó ni alegó siquiera la existencia de ninguna justificación razonable que permitiese deducir los motivos estrictamente laborales que determinaron la ampliación a tiempo pleno de los contratos de trabajo de otras trabajadoras de la empresa de igual categoría, excluyendo a la demandante, lo que, a juicio del órgano judicial, le hubiera resultado fácil de haber existido tales razones. La ausencia de toda justificación en este punto resulta fácilmente constatable en los antecedentes aportados al recurso de amparo, de los que se deduce claramente que la empresa se limitó a plantear las excepciones de falta de acción y de litisconsorcio pasivo, a negar que hubieran existido vacantes, puesto que, a su juicio, no podían considerarse tales los contratos de fomento al empleo, a alegar simplemente que no existió represión sindical por participar en la huelga y a poner de relieve los márgenes de flexibilidad conferidos por el art. 11 del Convenio [F.J. 3].</w:t>
      </w:r>
    </w:p>
    <w:p w:rsidR="006854DA" w:rsidRDefault="006854DA" w:rsidP="006854DA">
      <w:pPr>
        <w:pStyle w:val="Extracto"/>
      </w:pPr>
    </w:p>
    <w:p w:rsidR="006854DA" w:rsidRDefault="006854DA" w:rsidP="006854DA">
      <w:pPr>
        <w:pStyle w:val="Extracto"/>
      </w:pPr>
      <w:r>
        <w:t>4.</w:t>
      </w:r>
      <w:r>
        <w:tab/>
        <w:t>Para enjuiciar desde la perspectiva constitucional la resolución, dictada en segunda instancia, revocatoria de la anterior, debe recordarse que la jurisprudencia de este Tribunal ha insistido reiteradamente en la plena efectividad de los derechos fundamentales del trabajador en el marco de la relación laboral, ya que ésta no puede implicar en modo alguno la privación de tales derechos para quienes prestan servicios en las organizaciones productivas, que no son ajenas a los principios y derechos constitucionales que informan el sistema de relaciones de trabajo (STC 88/1985, reiterada posteriormente). El ejercicio de tales derechos únicamente admite limitaciones o sacrificios en la medida en que se desenvuelve en el seno de una organización, que refleja otros derechos reconocidos constitucionalmente en los arts. 38 y 33 C.E. y que impone, según los supuestos, la necesaria adaptabilidad para el ejercicio de todos ellos (SSTC 99/1994, 6/1995, 106/1996 y 136/1996), perspectiva ésta desde la que deben valorarse las específicas limitaciones que a los derechos fundamentales les pueda imponer el propio desarrollo de la relación laboral (SSTC 99/1994, 6/1995) [F.J. 4].</w:t>
      </w:r>
    </w:p>
    <w:p w:rsidR="006854DA" w:rsidRDefault="006854DA" w:rsidP="006854DA">
      <w:pPr>
        <w:pStyle w:val="Extracto"/>
      </w:pPr>
    </w:p>
    <w:p w:rsidR="006854DA" w:rsidRDefault="006854DA" w:rsidP="006854DA">
      <w:pPr>
        <w:pStyle w:val="Extracto"/>
      </w:pPr>
      <w:r>
        <w:t>5.</w:t>
      </w:r>
      <w:r>
        <w:tab/>
        <w:t>Los equilibrios y limitaciones recíprocos que se derivan para ambas partes del contrato de trabajo supone, por lo que ahora interesa, que también las facultades organizativas empresariales se encuentran limitadas por los derechos fundamentales del trabajador, quedando obligado el empleador a respetar aquéllos (SSTC 292/1993). Este Tribunal viene manteniendo que, desde la prevalencia de tales derechos, su limitación por parte de las facultades empresariales sólo puede derivar bien del hecho de que la propia naturaleza del trabajo contratado implique la restricción del derecho (SSTC 99/1994 y 106/1996), bien de una acreditada necesidad o interés empresarial, sin que sea suficiente su mera invocación para sacrificar el derecho fundamental del trabajador (SSTC 99/1994, 6/1995 y 136/1996).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w:t>
      </w:r>
      <w:r>
        <w:lastRenderedPageBreak/>
        <w:t>dor, ni a la sanción del ejercicio legítimo de tales derechos por parte de aquél [F.J. 4].</w:t>
      </w:r>
    </w:p>
    <w:p w:rsidR="006854DA" w:rsidRDefault="006854DA" w:rsidP="006854DA">
      <w:pPr>
        <w:pStyle w:val="Extracto"/>
      </w:pPr>
    </w:p>
    <w:p w:rsidR="006854DA" w:rsidRDefault="006854DA" w:rsidP="006854DA">
      <w:pPr>
        <w:pStyle w:val="Extracto"/>
      </w:pPr>
      <w:r>
        <w:t>6.</w:t>
      </w:r>
      <w:r>
        <w:tab/>
        <w:t>La prevalencia de los derechos fundamentales del trabajador y las especiales dificultades probatorias de su vulneración en ciertos casos, constituyen las premisas bajo las que la jurisprudencia constitucional ha venido aplicando la específica distribución de la carga de la prueba en las relaciones de trabajo (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finalidad en orden a la cual se articula el doble elemento de la prueba indiciaria. El primero, la necesidad por parte del trabajador de aportar un indicio razonable de que el acto empresarial lesiona su derecho fundamental (STC 38/1986),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Cubierto este presupuesto,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La ausencia de prueba trasciende de este modo el ámbito puramente procesal y determina, en último término, que los indicios aportados por el demandante despliegan toda su operatividad para declarar la lesión del propio derecho fundamental del trabajador (SSTC 197/1990, 136/1996, así como SSTC 38/1981, 104/1987, 166/1988, 114/1989, 147/1995 ó 17/1996) [F.J. 5].</w:t>
      </w:r>
    </w:p>
    <w:p w:rsidR="006854DA" w:rsidRDefault="006854DA" w:rsidP="006854DA">
      <w:pPr>
        <w:pStyle w:val="Extracto"/>
      </w:pPr>
    </w:p>
    <w:p w:rsidR="006854DA" w:rsidRDefault="006854DA" w:rsidP="006854DA">
      <w:pPr>
        <w:pStyle w:val="Extracto"/>
      </w:pPr>
      <w:r>
        <w:t>7.</w:t>
      </w:r>
      <w:r>
        <w:tab/>
        <w:t>La controversia planteada en la jurisdicción social, en el caso enjuiciado, consistía en resolver si la decisión empresarial de denegar a la trabajadora su petición de transformar el contrato a tiempo parcial en otro a tiempo completo venía en realidad motivada por la participación de aquélla en una convocatoria sindical de huelga y era, en consecuencia, discriminatoria. Sin embargo, el razonamiento empleado por el Tribunal Superior de Justicia al resolver el recurso de suplicación no puede admitirse desde la perspectiva constitucional si se contrasta con los criterios que acaban de recordarse. La Sentencia impugnada se ha limitado a considerar que el Convenio Colectivo confería al empresario un margen de dis</w:t>
      </w:r>
      <w:r>
        <w:lastRenderedPageBreak/>
        <w:t>crecionalidad en la selección de los trabajadores a tiempo parcial que debían pasar a ocupar un puesto vacante a tiempo completo, ya que la norma convencional no establecía ninguna preferencia y operaba sobre igualdad de condiciones y aptitudes profesionales. Esa discrecionalidad se enlaza, en la argumentación del órgano judicial, con el papel que a su juicio debe orientar la evolución del Derecho del Trabajo, tendente a ampliar la autonomía empresarial en la selección y promoción del personal. Al margen de esta segunda parte del razonamiento, es evidente que la resolución judicial ha prescindido, lisa y llanamente, de la dimensión constitucional del conflicto, limitándose a realizar una interpretación del Convenio Colectivo y a comprobar si la decisión de la empresa estaba o no comprendida en lo regulado por aquél. Sin embargo, esta reducción del problema a la mera justificación de la negativa empresarial en el margen de discrecionalidad conferido por el Convenio, produce consecuencias inaceptables desde el plano constitucional [F.J. 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3309/94, promovido por doña Mercedes Mañas Gándara, representada por la Procuradora doña Isabel Cañedo Vega y asistida por el Letrado don Enrique Lillo Pérez, contra la Sentencia de la Sala de lo Social del Tribunal Superior de Justicia de Madrid, de 8 de septiembre de 1994. Ha comparecido el Ministerio Fiscal y la empresa Centros Comerciales PRYCA, S.A., representada por el Procurador don Roberto Granizo Palomeque, y asistida por la Letrada doña Elena Cardona Ayuso. Ha sido Ponente el Magistrado don Pablo García Manzano,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día 15 de octubre de 1994, la Procuradora de los Tribunales doña Isabel Cañedo Vega interpuso, en nombre y representación de doña Mercedes Mañas Gándara, recurso de amparo contra la Sentencia de la Sala de lo Social del Tribunal Superior de Justicia de Madrid, de 8 de septiembre de 1994, al entender que vulnera el derecho a no sufrir discriminación por participar en una convocatoria sindical de huelga.</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de amparo tiene su origen en los siguientes hechos: </w:t>
      </w:r>
    </w:p>
    <w:p w:rsidR="006854DA" w:rsidRDefault="006854DA" w:rsidP="006854DA">
      <w:pPr>
        <w:pStyle w:val="TextoNormal"/>
      </w:pPr>
      <w:r>
        <w:lastRenderedPageBreak/>
        <w:t xml:space="preserve">a) Según se desprende de la documentación aportada al recurso de amparo, la actora prestaba servicios como dependienta cajera fija en la empresa Centros Comerciales PRYCA S.A., con una jornada en régimen de tiempo parcial en el momento en que se suscitó el conflicto. El Convenio Colectivo de Grandes Almacenes, con vigencia para 1991-1992, disponía en su art. 11.1, en relación a los contratos de trabajo a tiempo parcial, que "En caso de aumento de plantilla o vacante a cubrir, a igualdad de condiciones y aptitudes profesionales, los trabajadores contratados a tiempo parcial tendrán preferencia sobre nuevas contrataciones a tiempo pleno". </w:t>
      </w:r>
    </w:p>
    <w:p w:rsidR="006854DA" w:rsidRDefault="006854DA" w:rsidP="006854DA">
      <w:pPr>
        <w:pStyle w:val="TextoNormal"/>
      </w:pPr>
      <w:r>
        <w:t xml:space="preserve">La actora hoy recurrente envió un escrito a la empresa con fecha 2 de abril de 1992 en los siguientes términos: "Por la presente vengo a comunicarle que por motivos personales, necesito prorrogar mi jornada a tiempo parcial a tiempo completo indefinido, basándome en el art. 11.1 del Convenio Colectivo de Grandes Almacenes". El día 28 de mayo del mismo año, mediante carta entregada el día 30, la empresa contestó a dicho escrito comunicando que "(...) dicho artículo hace referencia expresa a casos de aumento de plantilla, situación que no se da en este Centro, tal y como se le informó en la última reunión del Comité de Empresa celebrada con fecha 2-4-92". </w:t>
      </w:r>
    </w:p>
    <w:p w:rsidR="006854DA" w:rsidRDefault="006854DA" w:rsidP="006854DA">
      <w:pPr>
        <w:pStyle w:val="TextoNormal"/>
      </w:pPr>
      <w:r>
        <w:t xml:space="preserve">Consta en los hechos probados de la resolución impugnada que, con posterioridad a la solicitud de la recurrente, la empresa contrató para prestar servicios como dependientas cajeras con jornada a tiempo completo a cuatro trabajadoras; igualmente, que transformó en jornadas a tiempo completo los contratos a tiempo parcial de distintas trabajadoras (figurando los nombres de cuatro de ellas), sin que concurriese ninguna circunstancia que determinara su preferencia sobre la recurrente. </w:t>
      </w:r>
    </w:p>
    <w:p w:rsidR="006854DA" w:rsidRDefault="006854DA" w:rsidP="006854DA">
      <w:pPr>
        <w:pStyle w:val="TextoNormal"/>
      </w:pPr>
      <w:r>
        <w:t xml:space="preserve">Constituye también un hecho probado que la actora participó el día 28 de mayo de 1992, en la huelga general convocada por distintos sindicatos. </w:t>
      </w:r>
    </w:p>
    <w:p w:rsidR="006854DA" w:rsidRDefault="006854DA" w:rsidP="006854DA">
      <w:pPr>
        <w:pStyle w:val="TextoNormal"/>
      </w:pPr>
      <w:r>
        <w:t xml:space="preserve">b) Como consecuencia de la negativa de la empresa, la trabajadora interpuso demanda sobre reconocimiento de derecho, en la que, tras negar que no se hubiera producido ampliación de plantilla, consideraba que la decisión de la empresa se había debido a su participación en la huelga general del día 28 de mayo de 1992, por lo que vulneraba el derecho de igualdad -y constitutiva en consecuencia de discriminación-, reconocido en el art. 14 de la Constitución y en el art. 4 del Estatuto de los Trabajadores. </w:t>
      </w:r>
    </w:p>
    <w:p w:rsidR="006854DA" w:rsidRDefault="006854DA" w:rsidP="006854DA">
      <w:pPr>
        <w:pStyle w:val="TextoNormal"/>
      </w:pPr>
      <w:r>
        <w:t xml:space="preserve">La Sentencia del Juzgado de lo Social núm. 21 de Madrid, de 27 de febrero de 1993, estimó la demanda de la trabajadora y reconoció su derecho a la transformación de su jornada a tiempo completo. A los efectos del presente recurso de amparo resulta relevante destacar los siguientes pronunciamientos de la Sentencia: </w:t>
      </w:r>
    </w:p>
    <w:p w:rsidR="006854DA" w:rsidRDefault="006854DA" w:rsidP="006854DA">
      <w:pPr>
        <w:pStyle w:val="TextoNormal"/>
      </w:pPr>
      <w:r>
        <w:t xml:space="preserve">En primer lugar, que resultaba acreditada la contratación de distintos trabajadores a tiempo pleno en fechas posteriores a aquélla en que la demandante solicitó su contratación a tiempo pleno. A lo que no obstaba la alegación de la empresa de que no se hubiera producido aumento de plantilla al no considerar como tal las contrataciones temporales realizadas a través de contratos de fomento al empleo, ya que, según el órgano judicial la naturaleza del contrato no desmentía la existencia de la vacante que se cubría con él (fundamento jurídico segundo). La prueba acreditó igualmente que otras trabajadoras de la empresa, de igual categoría que la demandante, habían visto ampliada su jornada a tiempo pleno con posterioridad a la fecha en que la actora efectuó dicha solicitud (fundamento jurídico tercero). </w:t>
      </w:r>
    </w:p>
    <w:p w:rsidR="006854DA" w:rsidRDefault="006854DA" w:rsidP="006854DA">
      <w:pPr>
        <w:pStyle w:val="TextoNormal"/>
      </w:pPr>
      <w:r>
        <w:t xml:space="preserve">En segundo lugar, probado lo anterior, declara el órgano judicial que "(...) no aparece ninguna justificación razonable que permita deducir la existencia de motivaciones de índole estrictamente laboral como determinantes de la ampliación de los contratos de trabajo de otras trabajadoras de la empresa de igual categoría a tiempo pleno, con exclusión de la </w:t>
      </w:r>
      <w:r>
        <w:lastRenderedPageBreak/>
        <w:t xml:space="preserve">demandante. Habría sido fácil a la empresa, de existir dichas motivaciones, alegar y probar cuáles eran las preferencias de otras trabajadoras sobre la Sra. Mañas Gándara para que se les ampliase su jornada a tiempo pleno, pero lo cierto es que la empresa no ha alegado siquiera la existencia de causa alguna que determinase la ampliación de otras trabajadoras y la postergación de la demandante" (fundamento jurídico tercero). </w:t>
      </w:r>
    </w:p>
    <w:p w:rsidR="006854DA" w:rsidRDefault="006854DA" w:rsidP="006854DA">
      <w:pPr>
        <w:pStyle w:val="TextoNormal"/>
      </w:pPr>
      <w:r>
        <w:t xml:space="preserve">En tercer lugar, el órgano judicial de instancia manifiesta la relevancia del hecho de que la carta que denegó la solicitud a la trabajadora llevara la misma fecha en que aquélla participó en la huelga general de 28 de mayo de 1992, coincidencia que, unida a la ausencia de motivación para su postergación respecto a otras trabajadoras de la empresa, le llevaron a la conclusión de que tal había sido la causa de la denegación, aplicando para ello la doctrina de la prueba indiciaria elaborada por la jurisprudencia constitucional. Aquélla exigía de la empresa demostrar la existencia de un motivo razonable que justificase su decisión de no contratar a la trabajadora a tiempo completo, prueba que la empresa no practicó, concluyendo el juzgador que la negativa fue debida a motivos de actuación sindical y, por tanto, que correspondía reconocer el derecho solicitado. </w:t>
      </w:r>
    </w:p>
    <w:p w:rsidR="006854DA" w:rsidRDefault="006854DA" w:rsidP="006854DA">
      <w:pPr>
        <w:pStyle w:val="TextoNormal"/>
      </w:pPr>
      <w:r>
        <w:t xml:space="preserve">c) Contra la resolución anterior interpuso la empresa recurso de suplicación alegando, entre otros motivos, que no concurrían los requisitos establecidos en el convenio colectivo para atender a la petición de la trabajadora. Esta, por su parte, impugnó el recurso de la empresa insistiendo en la existencia de vacantes, en la acreditada contratación de otros trabajadores a tiempo pleno y en la transformación de otras trabajadoras de la misma categoría de jornada a tiempo parcial en jornada a tiempo completo, todas ellas con posterioridad a la fecha de su solicitud, así como en la falta de acreditación por parte de la empresa de ningún motivo que justificara la preferencia de aquéllas ante el indicio de discriminación aportado. </w:t>
      </w:r>
    </w:p>
    <w:p w:rsidR="006854DA" w:rsidRDefault="006854DA" w:rsidP="006854DA">
      <w:pPr>
        <w:pStyle w:val="TextoNormal"/>
      </w:pPr>
      <w:r>
        <w:t xml:space="preserve">La Sentencia de la Sala de lo Social del Tribunal Superior de Justicia de Madrid, de 8 de septiembre de 1994, estimó el recurso de suplicación de la empresa. La cuestión de fondo aparece resuelta en su fundamento jurídico cuarto que, literalmente, dispone: "La pretensión deducida de la demanda no puede prosperar, con la consiguiente revocación de la sentencia impugnada, por las siguientes consideraciones jurídicas: A) En el incombatido relato histórico de la Sentencia consta que, tanto la actora como quienes pasaron a tiempo pleno, eran anteriormente trabajadores a tiempo parcial. B) En el convenio colectivo no se establece prioridad alguna por razón de antigüedad u otro motivo dentro de los trabajadores a tiempo parcial. C) Por el contrario, huye de una preferencia absoluta y automática al condicionar dicha preferencia a "igualdad de condiciones y aptitudes profesionales", lo que implica conceder un margen de discrecionalidad a la empresa ante distintas aptitudes profesionales. D) El Derecho laboral debe evolucionar en el sentido de ampliar progresivamente la autonomía de los empleadores a la hora de seleccionar y promocionar personal, en cuanto ello constituye loable estímulo de superación y competitividad entre quienes aspiren a acceder a puestos laborales de mayor categoría o remuneración". </w:t>
      </w:r>
    </w:p>
    <w:p w:rsidR="006854DA" w:rsidRDefault="006854DA" w:rsidP="006854DA">
      <w:pPr>
        <w:pStyle w:val="TextoNormal"/>
      </w:pPr>
      <w:r>
        <w:t>d) La vía judicial previa a la interposición del recurso de amparo quedó agotada con la Sentencia dictada en suplicación, ya que la recurrente manifiesta en su demanda de amparo que no estimó procedente la interposición de recurso de casación para la unificación de doctrina. Puesto que el objeto de dicho recurso queda limitado en los términos previstos en el art. 217 de la Ley de Procedimiento Laboral (que es el precepto de la redacción vigente que se corresponde con el 216 citado por la recurrente), alega ésta que no existen Sentencias contradictorias con la que se impugna en amparo, por lo que queda cumplido el requisito de subsidiariedad en la intervención del Tribunal Constitucional que se exige en este recurso.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 recurrente en amparo alega en su demanda que la Sentencia del Tribunal Superior de Justicia que estima el recurso de suplicación interpuesto por la empresa vulnera su derecho a no ser discriminada por el ejercicio de una actividad sindical, y ello en relación a la negativa de la empresa de transformar su contrato a tiempo parcial en contrato a tiempo completo, solicitada por la trabajadora en aplicación de la preferencia establecida en convenio colectivo. </w:t>
      </w:r>
    </w:p>
    <w:p w:rsidR="006854DA" w:rsidRDefault="006854DA" w:rsidP="006854DA">
      <w:pPr>
        <w:pStyle w:val="TextoNormal"/>
      </w:pPr>
      <w:r>
        <w:t xml:space="preserve">La fundamentación de la demanda de amparo deriva su alegación de la arbitrariedad con la que el órgano judicial ha desconocido el esencial dato de que la trabajadora había participado activamente en la huelga general de media jornada convocada por distintos sindicatos justo el mismo día en que la empresa decidió denegarle el derecho, así como que aquélla no ha probado cuál ha sido el criterio técnico, organizativo o de otra índole en virtud del cual no se ha reconocido su derecho a la transformación de la jornada a tiempo parcial en tiempo completo a pesar de haber realizado contrataciones y transformaciones de esta naturaleza con posterioridad a la solicitud de la trabajadora. </w:t>
      </w:r>
    </w:p>
    <w:p w:rsidR="006854DA" w:rsidRDefault="006854DA" w:rsidP="006854DA">
      <w:pPr>
        <w:pStyle w:val="TextoNormal"/>
      </w:pPr>
      <w:r>
        <w:t xml:space="preserve">Estima la recurrente que con ello ha olvidado la Sentencia impugnada la doctrina constitucional acerca de la inversión de la carga de la prueba en los casos en que la denegación de derechos a un trabajador está razonablemente asociada o existe la sospecha vehemente de esa vinculación al ejercicio por el trabajador de sus derechos fundamentales, lo que ha conducido a la vulneración del de la recurrente. Abunda ésta en su demanda de amparo en relación a la citada doctrina constitucional, citando las Sentencias con ella relacionadas, sistematizadas en función del derecho fundamental tutelado en cada ocasión, y recordando que la Ley de Procedimiento Laboral de 1990 ha recogido sustancialmente dicha doctrina. Aporta, en concreto, los pronunciamientos de la STC 21/1992 como síntesis de aquélla, según los cuales en los casos en que se alegue y se aporte indicio razonable de que el despido es discriminatorio y, por tanto, lesivo de los derechos fundamentales del trabajador, el empresario tiene la carga de probar la existencia de causas suficientes, reales y serias para calificar de razonable, desde la perspectiva disciplinaria, la decisión extintiva y que expliquen por sí mismas el despido, permitiendo eliminar cualquier sospecha o presunción deducible claramente de las circustancias. En el entendimiento del Tribunal Constitucional -continúa la recurrente- no se trata tanto de situar al empresario ante la prueba (que pudiera calificare de diabólica) de un hecho negativo (la no discriminación o la no lesión de un derecho fundamental), sino que aquél debe probar que el despido, tachado de haber incurrido en aquella discriminación o en esta lesión, obedece a motivos razonables y por completo ajenos y extraños a un propósito atentatorio contra el derecho fundamental en cuestión. Recuerda la STC 114/89, según la cual, aportado el indicio de vulneración de derechos constitucionales, aquél sólo puede ser destruido mediante una prueba aportada en el juicio y no una mera explicación o argumentación dialéctica, que lleve al juzgador el pleno convencimiento de que, efectivamente, no ha existido ningún propósito discriminatorio o de represalia en la conducta de la empresa. Elementos todos ellos contenidos hoy en los arts. 174 y 178.2 de la Ley de Procedimiento Laboral (se corresponden en la redacción vigente con los arts. 175 y 179.2). </w:t>
      </w:r>
    </w:p>
    <w:p w:rsidR="006854DA" w:rsidRDefault="006854DA" w:rsidP="006854DA">
      <w:pPr>
        <w:pStyle w:val="TextoNormal"/>
      </w:pPr>
      <w:r>
        <w:t>Nada de ello ha ocurrido en el presente supuesto, en el que la empresa no ha aportado ninguna prueba ni ha invocado siquiera un criterio técnico u organizativo que pueda instrumentalizarse como factor racional que explique la diferencia de trato respecto de los demás trabajadores de nueva contratación o cuya jornada se ha transformado a tiempo completo, por lo que no se ha destruido la sospecha vehemente y razonable de que tal dife</w:t>
      </w:r>
      <w:r>
        <w:lastRenderedPageBreak/>
        <w:t xml:space="preserve">rencia de tratamiento obedece al castigo o represalia por haber participado en la huelga general de media jornada convocada por su sindicato, entre otros. </w:t>
      </w:r>
    </w:p>
    <w:p w:rsidR="006854DA" w:rsidRDefault="006854DA" w:rsidP="006854DA">
      <w:pPr>
        <w:pStyle w:val="TextoNormal"/>
      </w:pPr>
      <w:r>
        <w:t xml:space="preserve">Alega la recurrente en su demanda, en segundo lugar, que, frente a los criterios anteriormente señalados, la Sentencia impugnada en amparo ha tutelado, con prioridad sobre el derecho fundamental, la discrecionalidad empresarial de decidir a su libre arbitrio quiénes ingresan en la empresa mediante jornada a tiempo completo y quiénes convierten su jornada a tiempo parcial en otra a tiempo completo. Se aparta así la decisión del órgano judicial de la doctrina de este Tribunal Constitucional acerca de que la discrecionalidad y libertad empresariales tienen como límite aquellos derechos constitucionales que son imprescindibles para la defensa de los trabajadores en la contraposición de intereses, los derechos de libertad sindical y de huelga. </w:t>
      </w:r>
    </w:p>
    <w:p w:rsidR="006854DA" w:rsidRDefault="006854DA" w:rsidP="006854DA">
      <w:pPr>
        <w:pStyle w:val="TextoNormal"/>
      </w:pPr>
      <w:r>
        <w:t>Suplica, en consecuencia, el otorgamiento del amparo y la revocación de la Sentencia impugnada, confirmando así la validez de la dictada por el Juzgado de lo Social.</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la Sección Primera de este Tribunal de 30 de enero de 1995, se acordó la admisión a trámite de la demanda, así como requerir al Juzgado de lo Social núm. 21 de Madrid y al Tribunal Superior de Justicia para la remisión de las actuaciones y el emplazamiento para la comparecencia en diez días de quienes hubieran sido parte en el procedimiento, con excepción de la recurrente en amparo.</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la misma Sección, de 3 de abril de 1995, se acordó tener por recibidas las actuaciones y por personado al Procurador de los Tribunales Sr. Granizo Palomeque en nombre y representación de Centros Comerciales PRYCA, S.A. Se acordó también, a tenor de lo dispuesto en el art. 52 LOTC, dar vista de las actuaciones recibidas, por un plazo común de veinte días, al Ministerio Fiscal y a las partes para presentar las alegaciones que conviniesen a su derecho.</w:t>
      </w:r>
    </w:p>
    <w:p w:rsidR="006854DA" w:rsidRDefault="006854DA" w:rsidP="006854DA">
      <w:pPr>
        <w:pStyle w:val="TextoNormal"/>
      </w:pPr>
    </w:p>
    <w:p w:rsidR="006854DA" w:rsidRDefault="006854DA" w:rsidP="006854DA">
      <w:pPr>
        <w:pStyle w:val="TextoNormal"/>
      </w:pPr>
      <w:r w:rsidRPr="006854DA">
        <w:rPr>
          <w:rStyle w:val="NumeroAFNegritaCaracter"/>
        </w:rPr>
        <w:t>6</w:t>
      </w:r>
      <w:r>
        <w:t>. Mediante escrito registrado en este Tribunal el 29 de abril de 1995, la recurrente en amparo reiteró las alegaciones hechas en su demanda, insistiendo en que la falta de prueba por parte de la empresa de un motivo que justificara la diferencia de trato determina que no se ha destruido la sospecha razonable de que la decisión de aquélla obedece a una represalia por haber participado en la huelga general. Igualmente, que el desconocimiento arbitrario de tales extremos por parte del órgano judicial vulnera su derecho a no ser discriminada por razones de actividad sindical, frente al que la resolución impugnada tutela una discrecionalidad empresarial que está limitada, precisamente, por aquél.</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Mediante escrito registrado en este Tribunal el 28 de abril de 1995, la empresa Centro Comerciales PRYCA alega la existencia de causas de inadmisión de la demanda de amparo y propone la desestimación del recurso en cuanto al fondo. </w:t>
      </w:r>
    </w:p>
    <w:p w:rsidR="006854DA" w:rsidRDefault="006854DA" w:rsidP="006854DA">
      <w:pPr>
        <w:pStyle w:val="TextoNormal"/>
      </w:pPr>
      <w:r>
        <w:t>Respecto de las primeras, entiende que concurre, en primer lugar, la causa de inadmisión prevista en el art. 44.1 b) LOTC, ya que la supuesta lesión no es directamente imputable al Tribunal Superior de Justicia sino a la propia conducta procesal de la recurrente y, a continuación, a la Sentencia dictada por el Juzgado de lo Social. La alegación sobre la vulneración de su derecho sindical tiene su sustento procesal en el procedimiento previsto en los arts 174 (hoy 175) y siguientes de la Ley de Procedimiento Laboral, en el que se prevé la inversión de la carga de la prueba. Pero la recurrente no ha seguido el indicado procedimiento sino el ordinario para el reconocimiento de un derecho en el que no ha soli</w:t>
      </w:r>
      <w:r>
        <w:lastRenderedPageBreak/>
        <w:t xml:space="preserve">citado que se declare la vulneración de un derecho fundamental sino el derecho a una jornada a tiempo completo. Alega que el propio Juzgado de lo Social le manifestó a la recurrente que, por ello, la Sentencia no podía declarar la existencia o no del derecho invocado, por lo que el fallo no contuvo ningun pronunciamiento en este sentido. De forma que si alguna lesión constitucional ha producido la Sentencia dictada en suplicación, la misma se derivaría de la Sentencia del Juzgado, que no resolvió sobre ningún derecho de libertad sindical ni lo reconoció, sino que lo hizo sobre una reclamación de derechos basada en un precepto del convenio. </w:t>
      </w:r>
    </w:p>
    <w:p w:rsidR="006854DA" w:rsidRDefault="006854DA" w:rsidP="006854DA">
      <w:pPr>
        <w:pStyle w:val="TextoNormal"/>
      </w:pPr>
      <w:r>
        <w:t xml:space="preserve">En segundo término, estima también presente la causa de inadmisión del art. 44.1 a) LOTC, ya que la recurrente no ha agotado todos los recursos para reparar la supuesta lesión. Debió haber interpuesto suplicación frente a la Sentencia del Juzgado de lo Social que no declaró sobre la vulneración de la libertad sindical, lo que viene a añadirse a la falta de utilización de la modalidad procesal especial señalada anteriormente. </w:t>
      </w:r>
    </w:p>
    <w:p w:rsidR="006854DA" w:rsidRDefault="006854DA" w:rsidP="006854DA">
      <w:pPr>
        <w:pStyle w:val="TextoNormal"/>
      </w:pPr>
      <w:r>
        <w:t xml:space="preserve">En tercer lugar, entiende que concurre también la causa de inadmisión prevista en el art. 44.1 c) LOTC, ya que no se ha invocado la vulneración del derecho constitucional al no recurrir frente a la Sentencia del Juzgado de lo Social. La recurrente habría provocado así que el Tribunal Superior de Justicia, por congruencia con la demanda, se limitase a resolver sobre la cuestión de fondo y eludiera otras sobre las que no se pronunciaba la Sentencia de instancia ni se contenían en el recurso de suplicación presentado por la parte demandante. </w:t>
      </w:r>
    </w:p>
    <w:p w:rsidR="006854DA" w:rsidRDefault="006854DA" w:rsidP="006854DA">
      <w:pPr>
        <w:pStyle w:val="TextoNormal"/>
      </w:pPr>
      <w:r>
        <w:t xml:space="preserve">En relación al tema de fondo, la empresa propone la desestimación del recurso de amparo. Alega, en primer término, la doctrina de este Tribunal Constitucional según la cual el amparo no procede cuando la eventual lesión ha derivado de una conducta procesal incorrecta por parte del recurrente. De forma, señala la empresa, que la trabajadora no puede ahora, a través de este recurso, subsanar el defecto de forma del que adolecía su demanda al no ser tramitada por el procedimiento laboral correcto para reclamar por una supuesta violación del derecho de libertad sindical, por lo que no pudo obtener una respuesta sobre ella al haber debido los órganos judiciales ceñir aquélla a lo pedido en la demanda. </w:t>
      </w:r>
    </w:p>
    <w:p w:rsidR="006854DA" w:rsidRDefault="006854DA" w:rsidP="006854DA">
      <w:pPr>
        <w:pStyle w:val="TextoNormal"/>
      </w:pPr>
      <w:r>
        <w:t>Finalmente y también en relación al fondo de la cuestión planteada en amparo, entiende la empresa que la alegación de la recurrente acerca de la no aplicación de la inversión de la carga de la prueba, ésta se regula en un precepto (art. 178.2 L.P.L., hoy 179.2) incluido en la modalidad procesal especial que no utilizó la trabajadora, por lo que el Juzgador no pudo haber mezclado las normas correspondientes a dos modalidades procesales distintas. Insiste en que los órganos judiciales se limitaron, como no podía ser de otro modo, a resolver la cuestión planteada en la demanda, sin que se haya vulnerado ningún derecho fundamental, pues ni el fallo de la sentencia de instancia, ni el suplico de la demanda, ni el recurso de suplicación contenían referencia alguna a discriminación ni a vulneraciones de derechos a la libertad sindical. Termina la empresa manifestando que, de haber contenido la Sentencia algún pronunciamiento sobre la lesión o no de aquél derecho, habría incurrido en incongruencia al haberse apartado de la cuestión planteada y debatida por las partes en el juicio, lo que lleva, a juicio de la empresa, a negar todo fundamento a la pretensión de la trabajadora recurrente en amparo.</w:t>
      </w:r>
    </w:p>
    <w:p w:rsidR="006854DA" w:rsidRDefault="006854DA" w:rsidP="006854DA">
      <w:pPr>
        <w:pStyle w:val="TextoNormal"/>
      </w:pPr>
    </w:p>
    <w:p w:rsidR="006854DA" w:rsidRDefault="006854DA" w:rsidP="006854DA">
      <w:pPr>
        <w:pStyle w:val="TextoNormal"/>
      </w:pPr>
      <w:r w:rsidRPr="006854DA">
        <w:rPr>
          <w:rStyle w:val="NumeroAFNegritaCaracter"/>
        </w:rPr>
        <w:t>8</w:t>
      </w:r>
      <w:r>
        <w:t>. Por su parte, el Ministerio Fiscal interesa la estimación del recurso de amparo, ciñendo sus alegaciones al fondo de la cuestión y sin cuestionar los requisitos de admisibilidad de la demanda. A su juicio, la decisión del órgano judicial supone admitir que la empresa no obró, al denegar la solicitud de la trabajadora, en virtud de causas de discrimina</w:t>
      </w:r>
      <w:r>
        <w:lastRenderedPageBreak/>
        <w:t xml:space="preserve">ción antisindical, sino en razonables interpretaciones de la norma de un convenio colectivo. </w:t>
      </w:r>
    </w:p>
    <w:p w:rsidR="006854DA" w:rsidRDefault="006854DA" w:rsidP="006854DA">
      <w:pPr>
        <w:pStyle w:val="TextoNormal"/>
      </w:pPr>
      <w:r>
        <w:t>El Fiscal recuerda la constante jurisprudencia del Tribunal Constitucional respecto a los despidos discriminatorios, transcribiendo el contenido de la STC 180/1994 en relación a la justificación y elementos constitutivos de la distribución de la carga de la prueba ante actos del empresario en los que se alega una motivación lesiva de algún derecho fundamental del trabajador. Aporta también la distinción contenida en la STC 99/1994 entre existencia o inexistencia de carga de la prueba en los despidos discriminatorios y la valoración de las conductas fácticas, que procede en sede constitucional cuando existe una alegación, como en el presente supuesto, de alcance constitucional (art. 28.1 C.E. en relación al 14 C.E.). La concesión del amparo procedería, a juicio del Ministerio Público, cuando de tal valoración e interpretación resultaran claramente arbitrariedad o carencia de razonabilidad o incurrieran en formalismo enervante o desproporción citando, al efecto, la doctrina de este Tribunal sobre la interpretación de las cláusulas de los convenios colectivos que resultan discriminatorias. Finalmente alega el Fiscal que, en el caso de la demanda de amparo, correspondía a la empresa probar que los otros trabajadores contratados a tiempo pleno poseían mejores condiciones y aptitudes profesionales, sobre lo que nada se razona en la Sentencia de suplicación recurrida en amparo, de forma que ésta habría vulnerado el derecho de la recurrente a no ser discriminada por su actividad sindical.</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fecha 5 de mayo de 1977 se señaló para la deliberación y votación de la presente Sentencia el día 6 de mayo del mismo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trabajadora recurrente en amparo impugna la Sentencia de la Sala de lo Social del Tribunal Superior de Justicia de Madrid, al entender que lesiona su derecho a no ser discriminada en sus condiciones de trabajo por el ejercicio de su derecho de huelga. La resolución judicial recurrida confirma la decisión empresarial de denegar la transformación de su contrato a tiempo parcial en contrato a tiempo completo, solicitada por la trabajadora en aplicación de la preferencia sobre nuevas contrataciones establecida en el convenio colectivo, coincidiendo la negativa de la empresa con la fecha en la que la trabajadora participó en una huelga general y habiéndose acreditado que se realizaron nuevas contrataciones y transformaciones de contrato con otras trabajadoras.  A juicio de la recurrente, la respuesta obtenida del órgano judicial resulta lesiva de su derecho fundamental, al haber confirmado la decisión de la empresa sin que ésta haya acreditado en ningún momento una causa que justificase la diferencia de trato para con ella, dando prioridad a la discrecionalidad empresarial sobre sus derechos fundamentales.</w:t>
      </w:r>
    </w:p>
    <w:p w:rsidR="006854DA" w:rsidRDefault="006854DA" w:rsidP="006854DA">
      <w:pPr>
        <w:pStyle w:val="TextoNormal"/>
      </w:pPr>
    </w:p>
    <w:p w:rsidR="006854DA" w:rsidRDefault="006854DA" w:rsidP="006854DA">
      <w:pPr>
        <w:pStyle w:val="TextoNormal"/>
      </w:pPr>
      <w:r w:rsidRPr="006854DA">
        <w:rPr>
          <w:rStyle w:val="NumeroAFNegritaCaracter"/>
        </w:rPr>
        <w:t>2</w:t>
      </w:r>
      <w:r>
        <w:t>. Planteada así la cuestión sometida a este Tribunal procede, en primer término, rechazar las causas de inadmisión del recurso alegadas por la empresa. Tal como se ha expuesto en los antecedentes de hecho, ésta considera que la lesión constitucional invocada por la recurrente tiene su origen en su propia conducta procesal. A su juicio, si la trabajadora deseaba obtener un pronunciamiento sobre la lesión del derecho de libertad sindical, debió haber reclamado a través de la modalidad procesal de tutela de los derechos fundamentales, prevista en los arts. 174 y siguientes de la Ley de Procedimiento Laboral -en adelante, L.P.L.- (arts. 175 y ss en el texto vigente), y no a través del procedimiento ordi</w:t>
      </w:r>
      <w:r>
        <w:lastRenderedPageBreak/>
        <w:t>nario, en el que no se ha solicitado que se declare la vulneración de un derecho fundamental sino el derecho a una jornada a tiempo completo, de forma que la lesión constitucional alegada, de existir, se habría producido ya con la Sentencia del Juzgado de lo Social y no sólo con la del Tribunal Superior de Justicia. De ello deriva la empresa la concurrencia de la causa de inadmisión prevista en el art. 50.1 a) en relación al 44.1 b) LOTC, por no ser imputable la vulneración de modo inmediato y directo a una acción u omisión del órgano judicial, así como la prevista en el art. 44.1 a), por no haber invocado el derecho vulnerado en la modalidad procesal que, según ella, correspondía. Entiende también que debe concluirse la inadmisión del recurso por falta de agotamiento de los recursos utilizables [art. 50.1 a) en relación al 44.1 a) LOTC], puesto que si la lesión se produjo ya con la Sentencia dictada por el Juzgado de lo Social, la trabajadora debió haber interpuesto contra ella recurso de suplicación.</w:t>
      </w:r>
    </w:p>
    <w:p w:rsidR="006854DA" w:rsidRDefault="006854DA" w:rsidP="006854DA">
      <w:pPr>
        <w:pStyle w:val="TextoNormal"/>
      </w:pPr>
      <w:r>
        <w:t>Todas las alegaciones de la empresa parten, claramente, de un error en la determinación de la queja que se ha planteado en amparo. La recurrente no acude a este Tribunal por considerar que el Tribunal Superior de Justicia haya omitido pronunciarse sobre si existía o no discriminación en la conducta de la empresa -queja que, de haber sido presentada en tales términos afectaría al art. 24.1 C.E. ni siquiera mencionado en la demanda de amparo-, sino por entender que el órgano judicial ha vulnerado los arts.  14 y 28 C.E. al confirmar una decisión discriminatoria dando prioridad a la discrecionalidad empresarial sobre sus derechos fundamentales sin atender a la falta de toda prueba sobre la razón que pudiera justificar la negativa de la empresa a transformar su contrato. Por ello la lesión se imputa al Tribunal Superior de Justicia y no al Juzgado de lo Social, que reparó adecuadamente, a juicio de la recurrente, su derecho fundamental.</w:t>
      </w:r>
    </w:p>
    <w:p w:rsidR="006854DA" w:rsidRDefault="006854DA" w:rsidP="006854DA">
      <w:pPr>
        <w:pStyle w:val="TextoNormal"/>
      </w:pPr>
      <w:r>
        <w:t xml:space="preserve">Ha de rechazarse que la lesión quepa atribuirla a la conducta procesal de la trabajadora. Debe recordarse que la modalidad procesal de tutela de derechos fundamentales prevista en los arts. 175 y ss L.P.L. -que goza por la naturaleza de su objeto de garantías específicas como la sumariedad y la preferencia en la tramitación (art. 177 L.P.L.)-, limita aquél al conocimiento de la lesión del derecho fundamental, sin posibilidad de acumulación con acciones de otra naturaleza o con idéntica pretensión basada en fundamentos diversos a la tutela del derecho fundamental -la denominada sumariedad cualitativa- (art. 176 L.P.L.); de forma que el pronunciamiento del órgano judicial se ciñe a declarar la existencia o no de la lesión y con ella la nulidad de la conducta que la ocasiona, reponiendo la situación al momento previo a que aquélla se produjese, con inclusión de la indemnización que proceda (art. 180 L.P.L.). Pero ello no significa que las eventuales lesiones de derechos fundamentales deban ser canalizadas exclusivamente a través de esta modalidad procesal. En concreto, el procedimiento ordinario no tiene esa limitación de objeto de conocimiento ni de pronunciamiento judicial, de forma que permite canalizar reclamaciones de otros derechos vinculadas a la lesión de uno fundamental, que posiblemente serían inviables en el limitado cauce de la modalidad anteriormente mencionada. De esta forma y según el alcance de lo pretendido, el demandante optará por uno u otro procedimiento, como ha sucedido en el presente caso, en que la demanda de la trabajadora no se dirigía con carácter exclusivo a que se declarase la discriminación sufrida por su participación en una huelga, sino a que aquélla se desvelase como la verdadera causa de la negativa de la empresa a transformar su contrato a tiempo parcial en otro por tiempo indefinido, obteniendo el reconocimiento de este derecho establecido en el convenio al invalidar los motivos empresariales de su denegación. Es por tal razón por la que el Juzgado de lo Social precisó que "(...)  la presente Sentencia no podrá pronunciarse nada más que sobre la existencia o no del derecho invocado, por razón de congruencia, sin perjuicio de que este desconocimiento </w:t>
      </w:r>
      <w:r>
        <w:lastRenderedPageBreak/>
        <w:t>obedezca a un ejercicio por la demandante de un derecho de libertad sindical, y la constatación de este hecho produzca los correspondientes efectos para determinar la existencia o no del derecho que la demandante reclama".</w:t>
      </w:r>
    </w:p>
    <w:p w:rsidR="006854DA" w:rsidRDefault="006854DA" w:rsidP="006854DA">
      <w:pPr>
        <w:pStyle w:val="TextoNormal"/>
      </w:pPr>
      <w:r>
        <w:t>Decaen por tanto todas las causas de inadmisión alegadas por la empresa, al ser, en primer lugar y por lo dicho, irrelevante a efectos de admisión del recurso de amparo la utilización de la vía procesal en el procedimiento judicial. Carece, por otra parte, de fundamento la afirmación de que debió interponerse recurso de suplicación por la trabajadora, a la vista de que su demanda fue estimada por el Juzgado de lo Social -al que no reprocha vulneración constitucional alguna- y que el citado recurso fue interpuesto por la empresa misma e impugnado por la actora. Finalmente, no resulta cierta la alegada falta de invocación, ya que la lectura de la demanda y del escrito de impugnación del recurso evidencia claramente el planteamiento de la queja por discriminación en la conducta empresarial para obtener el reconocimiento del derecho a la transformación del contrato.</w:t>
      </w:r>
    </w:p>
    <w:p w:rsidR="006854DA" w:rsidRDefault="006854DA" w:rsidP="006854DA">
      <w:pPr>
        <w:pStyle w:val="TextoNormal"/>
      </w:pPr>
    </w:p>
    <w:p w:rsidR="006854DA" w:rsidRDefault="006854DA" w:rsidP="006854DA">
      <w:pPr>
        <w:pStyle w:val="TextoNormal"/>
      </w:pPr>
      <w:r w:rsidRPr="006854DA">
        <w:rPr>
          <w:rStyle w:val="NumeroAFNegritaCaracter"/>
        </w:rPr>
        <w:t>3</w:t>
      </w:r>
      <w:r>
        <w:t>. La discriminación alegada por la trabajadora y que implica directamente a los arts. 14 y 28 C.E., se reconduce al segundo de estos preceptos, como ya ha tenido ocasión de manifestar este Tribunal (STC 38/1981, fundamento jurídico 5º, STC 197/1990, fundamento jurídico 1º y STC 134/1994, fundamento jurídico 4º), tanto en relación a los recursos de amparo en que se ha alegado por el trabajador individual discriminación por razones sindicales (además de las Sentencias que se acaban de citar y entre otras, SSTC 55/1983, 104/1987, 114/1989, 180/1994 ó 85/1995), como en relación al contenido que implícitamente está contenido en el art. 28 C.E. de igualdad de trato, a nivel colectivo, entre sindicatos (SSTC 53/1982, 7/1990, 32/1990, 184/1991, 75/1992 y 168/1996). Esta reconducción de la discriminación al ámbito del derecho fundamental específicamente afectado por ella opera igualmente en el caso del derecho de huelga al concurrir identidad de razón para ello, tanto si se protege como derecho autónomamente reconocido en el art. 28.2 C.E., como si se considera medio fundamental en la acción sindical (STC 11/1981).</w:t>
      </w:r>
    </w:p>
    <w:p w:rsidR="006854DA" w:rsidRDefault="006854DA" w:rsidP="006854DA">
      <w:pPr>
        <w:pStyle w:val="TextoNormal"/>
      </w:pPr>
      <w:r>
        <w:t>Desde tal premisa debe abordarse el juicio de constitucionalidad de la resolución judicial impugnada en amparo. Retomando lo relatado en los antecedentes, ha de recordarse que el art. 11.1º del Convenio colectivo aplicable establecía que "en caso de aumento de plantilla o vacante a cubrir, y a igualdad de condiciones y aptitudes profesionales, los trabajadores contratados a tiempo parcial tendrán preferencia sobre nuevas contrataciones a tiempo pleno", reconociendo así a aquéllos un derecho de preferente ocupación de las vacantes a tiempo completo a través de la transformación del contrato a tiempo parcial en otro a tiempo completo, que fue lo solicitada por la recurrente el día 2 de abril de 1992. Con posterioridad a esa fecha y sin que aún hubiese contestado a tal solicitud, la empresa procedió a contratar a nuevas trabajadoras para puestos a tiempo completo, así como a transformar otros contratos a tiempo parcial (hechos probados quinto y sexto de la Sentencia de instancia). El día 28 de mayo de 1992 la recurrente en amparo participó en la huelga general convocada por distintos sindicatos (hecho probado cuarto), fecha coincidente con la de la carta de la empresa, entregada a la actora el día 30, en la que aquélla denegó la transformación solicitada alegando la inexistencia de aumento de plantilla. La trabajadora reclamó judicialmente contra esta decisión considerando, a la vista de las circunstancias expuestas, que la negativa a reconocerle la transformación solicitada se había debido a su participación en la huelga.</w:t>
      </w:r>
    </w:p>
    <w:p w:rsidR="006854DA" w:rsidRDefault="006854DA" w:rsidP="006854DA">
      <w:pPr>
        <w:pStyle w:val="TextoNormal"/>
      </w:pPr>
      <w:r>
        <w:t xml:space="preserve">Como se desprende de la Sentencia del Juzgado de lo Social y del acta del juicio, mientras que los extremos anteriormente mencionados resultaron acreditados, la empresa demandada no probó ni alegó siquiera la existencia de ninguna justificación razonable que </w:t>
      </w:r>
      <w:r>
        <w:lastRenderedPageBreak/>
        <w:t>permitiese deducir los motivos estrictamente laborales que determinaron la ampliación a tiempo pleno de los contratos de trabajo de otras trabajadoras de la empresa de igual categoría, excluyendo a la demandante, lo que, a juicio del órgano judicial, le hubiera resultado fácil de haber existido tales razones. (hecho probado sexto y fundamento jurídico tercero). La ausencia de toda justificación en este punto resulta fácilmente constatable en los antecedentes aportados al recurso de amparo, de la que se deduce claramente que la empresa se limitó a plantear las excepciones de falta de acción y de litisconsorcio pasivo, a negar que hubieran existido vacantes puesto que, a su juicio, no podían considerarse tales los contratos de fomento al empleo, a alegar simplemente que no existió represión sindical por participar en la huelga y a poner de relieve los márgenes de flexibilidad conferidos por el art. 11 del Convenio.</w:t>
      </w:r>
    </w:p>
    <w:p w:rsidR="006854DA" w:rsidRDefault="006854DA" w:rsidP="006854DA">
      <w:pPr>
        <w:pStyle w:val="TextoNormal"/>
      </w:pPr>
      <w:r>
        <w:t>Así las cosas, el Juzgado de lo Social consideró la relevancia del hecho de que la carta que denegó la solicitud de la trabajadora llevara la misma fecha en que aquélla participó en la huelga general de 28 de mayo de 1992, coincidencia que, unida a la ausencia de toda motivación sobre su postergación respecto de otras trabajadoras de la empresa, le condujo a la conclusión de que aquélla había sido la causa de la negativa a transformar el contrato, aplicando para ello la doctrina de la prueba indiciaria elaborada por la jurisprudencia constitucional, que exigía de la empresa demostrar la existencia de un motivo real y razonable que justificase la no ampliación de jornada y excluyera el móvil discriminatorio alegado. En consecuencia, procedió a reconocer el derecho solicitado por la demandante.</w:t>
      </w:r>
    </w:p>
    <w:p w:rsidR="006854DA" w:rsidRDefault="006854DA" w:rsidP="006854DA">
      <w:pPr>
        <w:pStyle w:val="TextoNormal"/>
      </w:pPr>
      <w:r>
        <w:t>Interpuesto por la empresa recurso de suplicación -en el que tampoco realizó ninguna alegación ni justificación relativa a la lesión del derecho fundamental ya declarada por el Juzgado de lo Social- aquél fue estimado por Sentencia del Tribunal Superior de Justicia que, en relación a la cuestión debatida, razonó únicamente (fundamento jurídico cuarto) que el Convenio colectivo no establecía ninguna prioridad entre los trabajadores a tiempo parcial, sino que "(...)  por el contrario, huye de una preferencia absoluta y automática al condicionar dicha preferencia a "igualdad de condiciones y aptitudes profesionales", lo que implica conceder un margen de discrecionalidad a la empresa ante distintas aptitudes profesionales. El Derecho laboral debe evolucionar en el sentido de ampliar progresivamente la autonomía de los empleadores a la hora de seleccionar y promocionar personal, en cuanto ello constituye loable estímulo de superación y competitividad entre quienes aspiren a acceder a puestos laborales de mayor categoría o remuneración". Esta resolución judicial constituye el objeto del recurso de amparo interpuesto por la trabajadora.</w:t>
      </w:r>
    </w:p>
    <w:p w:rsidR="006854DA" w:rsidRDefault="006854DA" w:rsidP="006854DA">
      <w:pPr>
        <w:pStyle w:val="TextoNormal"/>
      </w:pPr>
    </w:p>
    <w:p w:rsidR="006854DA" w:rsidRDefault="006854DA" w:rsidP="006854DA">
      <w:pPr>
        <w:pStyle w:val="TextoNormal"/>
      </w:pPr>
      <w:r w:rsidRPr="006854DA">
        <w:rPr>
          <w:rStyle w:val="NumeroAFNegritaCaracter"/>
        </w:rPr>
        <w:t>4</w:t>
      </w:r>
      <w:r>
        <w:t>. Para enjuiciar desde la perspectiva constitucional dicha resolución, debe recordarse que la jurisprudencia de este Tribunal ha insistido reiteradamente en la plena efectividad de los derechos fundamentales del trabajador en el marco de la relación laboral, ya que ésta no puede implicar en modo alguno la privación de tales derechos para quienes prestan servicios en las organizaciones productivas, que no son ajenas a los principios y derechos constitucionales que informan el sistema de relaciones de trabajo (STC 88/1985, fundamento jurídico 2º, reiterada posteriormente, entre otras, en las SSTC 6/1988, 129/1989, 126/1090, 99/1994, 106/1996, 186/1996). En consecuencia, y como también ha afirmado este Tribunal, el ejercicio de tales derechos únicamente admite limitaciones o sacrificios en la medida en que se desenvuelve en el seno de una organización que refleja otros derechos reconocidos constitucionalmente en los arts. 38 y 33 C.E. y que impone, según los supuestos, la necesaria adaptabilidad para el ejercicio de todos ellos (SSTC 99/1994 fundamento jurídico 4º; STC 6/1995, fundamento jurídico 2º; STC 106/1996, fundamento jurídico 5º; STC 136/96, fundamento jurídico 6º), perspectiva ésta desde la que deben va</w:t>
      </w:r>
      <w:r>
        <w:lastRenderedPageBreak/>
        <w:t>lorarse las específicas limitaciones que a los derechos fundamentales les pueda imponer el propio desarrollo de la relación laboral (SSTC 99/1994, fundamento jurídico 4º; 6/1995, fundamento jurídico 2º).</w:t>
      </w:r>
    </w:p>
    <w:p w:rsidR="006854DA" w:rsidRDefault="006854DA" w:rsidP="006854DA">
      <w:pPr>
        <w:pStyle w:val="TextoNormal"/>
      </w:pPr>
      <w:r>
        <w:t>Los equilibrios y limitaciones recíprocas que se derivan para ambas partes del contrato de trabajo supone, por lo que ahora interesa, que también las facultades organizativas empresariales se encuentran limitadas por los derechos fundamentales del trabajador, quedando obligado el empleador a respetar aquéllos (STC 292/1993, fundamento jurídico 4º). Este Tribunal viene manteniendo que, desde la prevalencia de tales derechos, su limitación por parte de las facultades empresariales sólo puede derivar bien del hecho de que la propia naturaleza del trabajo contratado implique la restricción del derecho (SSTC 99/1994, fundamento jurídico 7º; 106/1996, fundamento jurídico 4º), bien de una acreditada necesidad o interés empresarial, sin que sea suficiente su mera invocación para sacrificar el derecho fundamental del trabajador (SSTC 99/1994, fundamento jurídico 7º; 6/1995, fundamento jurídico 3º; 136/1996, fundamento jurídico 7º).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y además de las Sentencias que se citarán más adelante, SSTC 94/1984, 108/1989, 171/1989, 123/1992, 134/1994 y 173/1994), ni a la sanción del ejercicio legítimo de tales derechos por parte de aquél (SSTC 11/1981, fundamento jurídico 22).</w:t>
      </w:r>
    </w:p>
    <w:p w:rsidR="006854DA" w:rsidRDefault="006854DA" w:rsidP="006854DA">
      <w:pPr>
        <w:pStyle w:val="TextoNormal"/>
      </w:pPr>
    </w:p>
    <w:p w:rsidR="006854DA" w:rsidRDefault="006854DA" w:rsidP="006854DA">
      <w:pPr>
        <w:pStyle w:val="TextoNormal"/>
      </w:pPr>
      <w:r w:rsidRPr="006854DA">
        <w:rPr>
          <w:rStyle w:val="NumeroAFNegritaCaracter"/>
        </w:rPr>
        <w:t>5</w:t>
      </w:r>
      <w:r>
        <w:t>.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w:t>
      </w:r>
    </w:p>
    <w:p w:rsidR="006854DA" w:rsidRDefault="006854DA" w:rsidP="006854DA">
      <w:pPr>
        <w:pStyle w:val="TextoNormal"/>
      </w:pPr>
      <w:r>
        <w:t>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136/1996, entre otras). La finalidad de la prueba indiciaria no es sino la de evitar que la imposibilidad de revelar los verdaderos motivos del acto empresarial impida declarar que éste resulta lesivo del derecho fundamental (STC 38/1981, fundamentos jurídicos 2º y 3º), finalidad en orden a la cual se articula el doble elemento de la prueba indiciaria. El primero, la necesidad por parte del trabajador de aportar un indicio razonable de que el acto empresarial lesiona su derecho fundamental (STC 38/1986, fundamento jurídico 2º),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85/1995).</w:t>
      </w:r>
    </w:p>
    <w:p w:rsidR="006854DA" w:rsidRDefault="006854DA" w:rsidP="006854DA">
      <w:pPr>
        <w:pStyle w:val="TextoNormal"/>
      </w:pPr>
      <w:r>
        <w:t xml:space="preserve">Cubierto este presupuesto, sobre la parte demandada recae la carga de probar que su actuación tiene causas reales absolutamente extrañas a la pretendida vulneración de derechos fundamentales, así como que aquéllas tuvieron entidad suficiente como para adoptar la </w:t>
      </w:r>
      <w:r>
        <w:lastRenderedPageBreak/>
        <w:t>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fundamento jurídico 1º, 136/1996, fundamento jurídico 4º, así como SSTC 38/1981, 104/1987, 166/1988, 114/1989, 147/1995 ó 17/1996).</w:t>
      </w:r>
    </w:p>
    <w:p w:rsidR="006854DA" w:rsidRDefault="006854DA" w:rsidP="006854DA">
      <w:pPr>
        <w:pStyle w:val="TextoNormal"/>
      </w:pPr>
      <w:r>
        <w:t>La finalidad de la prueba indiciaria se proyecta así con independencia de la facultad empresarial que se cuestione y del derecho fundamental afectado. La jurisprudencia constitucional muestra que la aplicación de esta especial regla de distribución de la carga de la prueba no sólo se proyecta sobre actos disciplinarios del empresario, principalmente despidos, sino también en relación a otras facultades empresariales como la resolución del contrato en período de prueba (SSTC 94/1984, 166/1988), la negativa a readmitir tras una excedencia voluntaria (STC 266/1993) o la denegación de ciertas cantidades (STC 38/1986). Asimismo ha manifestado este Tribunal que incumbe al empresario probar que las diferencias salariales entre distintas categorías profesionales no responden a una discriminación indirecta por razón de sexo (SSTC 58/1994, 147/1995), reconociéndose también su operatividad en supuestos de discriminación por razones sindicales en la Función Pública (SSTC 293/1993, 85/1995, 17/1996).</w:t>
      </w:r>
    </w:p>
    <w:p w:rsidR="006854DA" w:rsidRDefault="006854DA" w:rsidP="006854DA">
      <w:pPr>
        <w:pStyle w:val="TextoNormal"/>
      </w:pPr>
    </w:p>
    <w:p w:rsidR="006854DA" w:rsidRDefault="006854DA" w:rsidP="006854DA">
      <w:pPr>
        <w:pStyle w:val="TextoNormal"/>
      </w:pPr>
      <w:r w:rsidRPr="006854DA">
        <w:rPr>
          <w:rStyle w:val="NumeroAFNegritaCaracter"/>
        </w:rPr>
        <w:t>6</w:t>
      </w:r>
      <w:r>
        <w:t>. La controversia planteada en la jurisdicción social, en el caso enjuiciado, consistía en resolver si la decisión empresarial de denegar a la trabajadora su petición de transformar el contrato a tiempo parcial en otro a tiempo completo venía en realidad motivada por la participación de aquélla en una convocatoria sindical de huelga y era, en consecuencia, discriminatoria. Sin embargo, el razonamiento empleado por el Tribunal Superior de Justicia al resolver el recurso de suplicación no puede admitirse desde la perspectiva constitucional si se contrasta con los criterios que acaban de recordarse.</w:t>
      </w:r>
    </w:p>
    <w:p w:rsidR="006854DA" w:rsidRDefault="006854DA" w:rsidP="006854DA">
      <w:pPr>
        <w:pStyle w:val="TextoNormal"/>
      </w:pPr>
      <w:r>
        <w:t>La Sentencia impugnada se ha limitado a considerar que el Convenio colectivo confería al empresario un margen de discrecionalidad en la selección de los trabajadores a tiempo parcial que debían pasar a ocupar un puesto vacante a tiempo completo, ya que la norma convencional no establecía ninguna preferencia y operaba sobre igualdad de condiciones y aptitudes profesionales.  Esa discrecionalidad se enlaza, en la argumentación del órgano judicial, con el papel que a su juicio debe orientar la evolución del Derecho del Trabajo, tendente a ampliar la autonomía empresarial en la selección y promoción del personal. Al margen de esta segunda parte del razonamiento, es evidente que la resolución judicial ha prescindido, lisa y llanamente, de la dimensión constitucional del conflicto, limitándose a realizar una interpretación del convenio colectivo y a comprobar si la decisión de la empresa estaba o no comprendida en lo regulado por aquél. Sin embargo, esta reducción del problema a la mera justificación de la negativa empresarial en el margen de discrecionali</w:t>
      </w:r>
      <w:r>
        <w:lastRenderedPageBreak/>
        <w:t>dad conferido por el convenio, produce consecuencias inaceptables desde el plano constitucional.</w:t>
      </w:r>
    </w:p>
    <w:p w:rsidR="006854DA" w:rsidRDefault="006854DA" w:rsidP="006854DA">
      <w:pPr>
        <w:pStyle w:val="TextoNormal"/>
      </w:pPr>
      <w:r>
        <w:t>En primer lugar, porque el problema planteado no era el de si la conducta empresarial resultaba acogible desde la regulación del Convenio, sino que se cuestionaba por su posible carácter lesivo del derecho fundamental de la trabajadora. El razonamiento del órgano judicial prescinde de que los poderes empresariales, como se recordó anteriormente, se encuentran limitados en su ejercicio no sólo por las normas legales o convencionales que los regulan, sino también por los derechos fundamentales del trabajador, constituyendo un resultado prohibido el de su utilización lesiva de aquéllos. Tan elemental premisa no se excepciona en los supuestos en que el empresario no está sujeto por la norma a causas o procedimientos en su actuación, antes al contrario, opera si cabe con más intensidad en tales casos por cuanto en ellos el empleador puede, virtualmente, ocultar con más facilidad las verdaderas razones de sus decisiones. Que la norma legal o convencional no le exija una causa que justifique aquéllas desde el plano de la legalidad ordinaria, no supone la desaparición de los límites que provienen del reconocimiento constitucional de los derechos fundamentales del trabajador.</w:t>
      </w:r>
    </w:p>
    <w:p w:rsidR="006854DA" w:rsidRDefault="006854DA" w:rsidP="006854DA">
      <w:pPr>
        <w:pStyle w:val="TextoNormal"/>
      </w:pPr>
      <w:r>
        <w:t>Pero es que, en segundo término, en el presente supuesto la trabajadora había acreditado la coincidencia de fechas entre su participación en la huelga general y la decisión de la empresa, después de transcurridos casi dos meses desde la petición de aquélla, así como la existencia de transformaciones de contratos a otras trabajadoras, hechos probados todos ellos que el órgano judicial de instancia había considerado como indicios razonables de la posibilidad de que la decisión empresarial fuese discriminatoria.  Estos indicios no habían sido neutralizados por la empresa, puesto que ésta no acreditó, ni siquiera alegó, que existiese ninguna justificación laboral real y de entidad suficiente en su decisión de postergar a la trabajadora respecto de las demás cuyo contrato se había transformado, ni excluyó por tanto que su decisión fuese ajena a todo propósito discriminatoria, dejación ésta de la carga probatoria que llevó, precisamente, al juzgador de instancia a estimar la demanda según los principios y finalidad de la prueba indiciaria.  Sin embargo, la Sala de lo Social del Tribunal Superior de Justicia ha prescindido de todos estos elementos, olvidando que su finalidad no es otra sino impedir que las dificultades de revelar las verdaderas razones de la decisión empresarial sirvan para mantener la lesión del derecho constitucional. Y ha prescindido de ellos sin expresar tampoco por qué no consideraba vulneradora del derecho fundamental la decisión de la empresa, si es que tal fue la convicción a la que llegó y a la que se encamina, precisamente, la prueba indiciaria (SSTC 38/1986, 114/1989, 136/1996).</w:t>
      </w:r>
    </w:p>
    <w:p w:rsidR="006854DA" w:rsidRDefault="006854DA" w:rsidP="006854DA">
      <w:pPr>
        <w:pStyle w:val="TextoNormal"/>
      </w:pPr>
      <w:r>
        <w:t>Ante la ausencia de toda justificación real y adecuada de la negativa empresarial, el órgano judicial esgrime como razón única para mantener aquélla la de la discrecionalidad del acto empresarial. Pero con ello, no sólo prescinde de los datos obtenidos de la prueba indiciaria como medio esencial para garantizar el derecho fundamental de la trabajadora, sino que impide, finalmente, aplicar a la discrecionalidad empresarial el límite infranqueable que para aquélla constituye tal derecho, ya que la facultad del empresario nunca hubiera podido servir para perjudicar a la trabajadora en sus condiciones de trabajo por tomar parte en la convocatoria sindical de una huelga.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lastRenderedPageBreak/>
        <w:t>Ha decidido</w:t>
      </w:r>
    </w:p>
    <w:p w:rsidR="006854DA" w:rsidRDefault="006854DA" w:rsidP="006854DA">
      <w:pPr>
        <w:pStyle w:val="TextoNormalCentrado"/>
        <w:keepNext/>
      </w:pPr>
    </w:p>
    <w:p w:rsidR="006854DA" w:rsidRDefault="006854DA" w:rsidP="006854DA">
      <w:pPr>
        <w:pStyle w:val="TextoNormal"/>
      </w:pPr>
      <w:r>
        <w:t>Estimar el recurso de amparo promovido por Dª Mercedes Mañas Gándara y, en su virtud:</w:t>
      </w:r>
    </w:p>
    <w:p w:rsidR="006854DA" w:rsidRDefault="006854DA" w:rsidP="006854DA">
      <w:pPr>
        <w:pStyle w:val="TextoNormal"/>
      </w:pPr>
      <w:r>
        <w:t>1º. Reconocer a la recurrente su derecho fundamental a no ser discriminada en las condiciones de empleo por ejercer su derecho de huelga.</w:t>
      </w:r>
    </w:p>
    <w:p w:rsidR="006854DA" w:rsidRDefault="006854DA" w:rsidP="006854DA">
      <w:pPr>
        <w:pStyle w:val="TextoNormal"/>
      </w:pPr>
      <w:r>
        <w:t>2º. Declarar la nulidad de la Sentencia de la Sala de lo Social del Tribunal Superior de Justicia de Madrid, de 8 de septiembre de 1994, así como la firmeza de la Sentencia dictada por el Juzgado de lo Social núm. 21 de Madrid el 27 de febrero de 1993.</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seis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7" w:name="SENTENCIA_1997_91"/>
      <w:r>
        <w:lastRenderedPageBreak/>
        <w:t>SENTENCIA 91/1997, de 8 de mayo de 1997</w:t>
      </w:r>
    </w:p>
    <w:bookmarkEnd w:id="7"/>
    <w:p w:rsidR="006854DA" w:rsidRDefault="006854DA" w:rsidP="006854DA">
      <w:pPr>
        <w:pStyle w:val="TtuloResolucin"/>
      </w:pPr>
      <w:r>
        <w:t>Pleno</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ECLI:ES:TC:1997:91</w:t>
      </w:r>
    </w:p>
    <w:p w:rsidR="006854DA" w:rsidRDefault="006854DA" w:rsidP="006854DA">
      <w:pPr>
        <w:pStyle w:val="SntesisDescriptiva"/>
      </w:pPr>
    </w:p>
    <w:p w:rsidR="006854DA" w:rsidRDefault="006854DA" w:rsidP="006854DA">
      <w:pPr>
        <w:pStyle w:val="SntesisDescriptiva"/>
      </w:pPr>
      <w:r>
        <w:t>Cuestión de inconstitucionalidad 799/1994, 800/1994, 1.661/1994, 2.077/1994, 2.589/1994, 2.977/1994, 3.057/1994, 3.058/1994, 3.497/1994, 4.091/1994, 3.039/1995, 3.040/1995, 3.429/1995, 4.221/1995 y 2.418/1996 (acumulados). Promovidas por la Sala de lo Contencioso-Administrativo del T.S.J. de Navarra y 3.497/1994, 4.221/1995 y 2.418/1996 por la Sala de lo Contencioso- Administrativo del T.S.J. de Canarias en relación con el art. 38.2.2 de la Ley 5/1990, de 29 de junio, que crea un gravamen complementario de la tasa fiscal sobre los juegos de suerte, envite o azar para el año 1990, y el apartado A) del núm. 2 del art. 3.4 del Real Decreto-Ley 17/1977, de 25 de febrero, por el que se regulan los aspectos penales, administrativos y fiscales de los juegos de suerte, envite o azar y apuestas, según la nueva redacción dada por la Ley 5/1990.</w:t>
      </w:r>
    </w:p>
    <w:p w:rsidR="006854DA" w:rsidRDefault="006854DA" w:rsidP="006854DA">
      <w:pPr>
        <w:pStyle w:val="SntesisDescriptiva"/>
      </w:pPr>
    </w:p>
    <w:p w:rsidR="006854DA" w:rsidRDefault="006854DA" w:rsidP="006854DA">
      <w:pPr>
        <w:pStyle w:val="SntesisAnaltica"/>
      </w:pPr>
    </w:p>
    <w:p w:rsidR="006854DA" w:rsidRDefault="006854DA" w:rsidP="006854DA">
      <w:pPr>
        <w:pStyle w:val="SntesisAnaltica"/>
      </w:pPr>
    </w:p>
    <w:p w:rsidR="006854DA" w:rsidRDefault="006854DA" w:rsidP="006854DA">
      <w:pPr>
        <w:pStyle w:val="Extracto"/>
      </w:pPr>
      <w:r>
        <w:t>1.</w:t>
      </w:r>
      <w:r>
        <w:tab/>
        <w:t>En la STC 173/1996, dictada con posterioridad a la admisión de las cuestiones aquí acumuladas, este Tribunal ha declarado inconstitucional, y por tanto nulo, el citado art. 38.dos.2 de la Ley 5/1990, al entender que «ha llevado a cabo, retroactivamente, un aumento de la deuda tributaria que puede calificarse de no previsible y carente de la suficiente justificación, lo que conduce a estimar que en este caso se ha producido una vulneración del principio de seguridad jurídica garantizado en el art. 9.3 de la Constitución» [F.J. único].</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las cuestiones de inconstitucionalidad acumuladas núms. 799/94, 800/94, 1.661/94, 2.077/94, 2.589/94, 3.057/94, 3.058/94, 4.091/94, 3.039/95, 3.040/95, 3.429/95, promovidas por la Sección Cuarta de la Sala de lo Contencioso-Administrativo del Tribunal Superior de Justicia de Cataluña, 2.977/94, planteada por la Sala de lo Contencioso-</w:t>
      </w:r>
      <w:r>
        <w:lastRenderedPageBreak/>
        <w:t>Administrativo del Tribunal Superior de Justicia de Navarra, y 3.497/94, 4.221/95 y 2.418/1996, promovidas por la Sala de lo Contencioso-Administrativo del Tribunal Superior de Justicia de Canarias, respecto del art. 38.Dos.2 de la Ley 5/1990, de 29 de junio, que crea un gravamen complementario de la tasa fiscal sobre los juegos de suerte, envite o azar para el año 1990, y el apartado A) del núm. 2 del art. 3.4 del Real Decreto-ley 17/1977, de 25 de febrero, por el que se regulan los aspectos penales, administrativos y fiscales de los juegos de suerte envite o azar y apuestas, según la nueva redacción dada por la Ley 5/1990. Han comparecido y formulado alegaciones el Fiscal General del Estado y el Abogado del Estado, y ha sido Ponente el Magistrado don Tomás S. Vives Antón, quien expresa el parecer del Pleno.</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El día 11 de marzo de 1994 tuvo entrada en el Registro de este Tribunal un escrito de la Sección Cuarta de la Sala de lo Contencioso-Administrativo del Tribunal Superior de Justicia de Cataluña, al que se acompaña, junto al testimonio del correspondiente procedimiento, el Auto de la referida Sala de 16 de febrero de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338/92 planteado por la Compañía "Unión Operadores, S.A", contra la Resolución de 25 de octubre de 1991, del Tribunal Económico-Administrativo Regional de Cataluña, desestimatoria de la reclamación económico-administrativa instada contra el Acuerdo de 12 de abril de 1991,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22 de diciembre de 1993,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"Unión Operadores,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 xml:space="preserve">B) Las consideraciones del Auto de planteamiento de la cuestión pueden, sintéticamente, exponerse del modo que sigue: </w:t>
      </w:r>
    </w:p>
    <w:p w:rsidR="006854DA" w:rsidRDefault="006854DA" w:rsidP="006854DA">
      <w:pPr>
        <w:pStyle w:val="TextoNormal"/>
      </w:pPr>
      <w:r>
        <w:t xml:space="preserve">a) Comienza negando que la cuestión que se suscita haya sido resuelta por la STC 126/1987, que declaró conforme a la Constitución el gravamen complementario de la Tasa fiscal del juego creado por la Disposición adicional sexta, 3, de la Ley 5/1983, de 29 de junio, ya que, aunque la figura tributaria es la misma, son distintos los textos legales, las circunstancias concurrentes y los principios constitucionales que resultan vulnerados. </w:t>
      </w:r>
    </w:p>
    <w:p w:rsidR="006854DA" w:rsidRDefault="006854DA" w:rsidP="006854DA">
      <w:pPr>
        <w:pStyle w:val="TextoNormal"/>
      </w:pPr>
      <w:r>
        <w:lastRenderedPageBreak/>
        <w:t xml:space="preserve">b) Sentado lo anterior, entiende la Sala proponente, que la norma cuya legalidad constitucional se cuestiona violaría la interdicción de la arbitrariedad de los poderes públicos (art. 9.3 C.E.), el principio de capacidad económica (art. 31.1 C.E.), el derecho a la igualdad (art. 14 C.E.), el principio de progresividad del sistema tributario (art. 31.1 C.E.), el principio de no confiscatoriedad fiscal (art. 31.1 C.E.) y el principio de irretroactividad de las normas restrictivas de derechos individuales. </w:t>
      </w:r>
    </w:p>
    <w:p w:rsidR="006854DA" w:rsidRDefault="006854DA" w:rsidP="006854DA">
      <w:pPr>
        <w:pStyle w:val="TextoNormal"/>
      </w:pPr>
      <w:r>
        <w:t xml:space="preserve">c) El órgano que promueve la cuestión funda la arbitrariedad en el aumento desproporcionado, del orden del 300 por 100, que la norma cuestionada provoca en las cuotas únicas de la tasa fiscal del juego, aumento para cuya fijación no se ha valorado el coste del servicio o la actividad administrativa en que se materializa la tasa, ni los resultados económicos de las empresas explotadoras, ni, en fin, en la estabilización del juego en las máquinas tipo "B". Niega además la Sala que el gravamen complementario creado por la Ley 5/1990, a diferencia del que fuera declarado constitucional por nuestra STC 126/1987, tenga justificación social, técnica o fiscal, pues resulta arbitrario «que se pretenda corregir ciertas costumbres que inciden en el juego del sector privado y fomentar las modalidades de juego controlados por el sector público». </w:t>
      </w:r>
    </w:p>
    <w:p w:rsidR="006854DA" w:rsidRDefault="006854DA" w:rsidP="006854DA">
      <w:pPr>
        <w:pStyle w:val="TextoNormal"/>
      </w:pPr>
      <w:r>
        <w:t xml:space="preserve">d) A juicio del órgano a quo, también el principio de capacidad económica reconocido en el art. 31.1 C.E. resultaría violado por el art. 38.Dos de la Ley 5/1990, pues, de acuerdo con dicho principio, una determinada carga fiscal no puede ni debe ser fijada a un nivel superior a la capacidad económica que acredita el acto económico objeto de imposición, y resulta evidente para la Sala proponente que de una valoración conjunta de la prueba practicada queda acreditado que el gravamen complementario excede «de los beneficios netos que obtienen las empresas explotadoras de las máquinas recreativas, una vez analizados los costes empresariales de explotación». </w:t>
      </w:r>
    </w:p>
    <w:p w:rsidR="006854DA" w:rsidRDefault="006854DA" w:rsidP="006854DA">
      <w:pPr>
        <w:pStyle w:val="TextoNormal"/>
      </w:pPr>
      <w:r>
        <w:t xml:space="preserve">e) Denuncia también el Auto de planteamiento que la fijación de una cuota única por máquina recreativa vulnera el derecho a la igualdad del art. 14 C.E., principio que conlleva la necesidad de establecer una paridad de tratamiento fiscal a igualdad o paridad de capacidad económica, dado que es obvio que «no todas las máquinas recreativas, por distintas razones, obtienen los mismos ingresos siendo, pues, el rendimiento muy diferente de unas a otras, incluso en el mismo municipio». </w:t>
      </w:r>
    </w:p>
    <w:p w:rsidR="006854DA" w:rsidRDefault="006854DA" w:rsidP="006854DA">
      <w:pPr>
        <w:pStyle w:val="TextoNormal"/>
      </w:pPr>
      <w:r>
        <w:t xml:space="preserve">f) Añade también la Sala proponente, que no puede existir la progresividad de una determinada figura tributaria si no se alcanza antes un determinado nivel de capacidad económica, ya que en el caso contrario se incurriría en confiscación. Y del informe del Ministerio de Hacienda que consta en autos -señala- se deduce la desproporción de los rendimientos de las máquinas recreativas encuestadas, apreciándose que el rendimiento medio es el doble del mínimo y el máximo es más del triple del mínimo, mientras que la tasa fiscal es la misma para todos los rendimientos. No existe, pues -concluye-, relación alguna entre los principios citados anteriormente, vulnerándose con tal proceder el principio de progresividad. </w:t>
      </w:r>
    </w:p>
    <w:p w:rsidR="006854DA" w:rsidRDefault="006854DA" w:rsidP="006854DA">
      <w:pPr>
        <w:pStyle w:val="TextoNormal"/>
      </w:pPr>
      <w:r>
        <w:t xml:space="preserve">g) En el Auto de planteamiento de la cuestión se considera asimismo vulnerado el principio constitucional que prohíbe la confiscatoriedad fiscal plasmado en el art. 31.1 C.E. Tras indicar que un tributo será confiscatorio cuando suprima el beneficio obtenido en una determinada actividad, concluye afirmando que la aplicación del referido gravamen complementario en la cuantía expresada supone absorber la mayor parte de los beneficios empresariales sin que exista contraprestación estatal alguna, siendo claramente confiscatoria. </w:t>
      </w:r>
    </w:p>
    <w:p w:rsidR="006854DA" w:rsidRDefault="006854DA" w:rsidP="006854DA">
      <w:pPr>
        <w:pStyle w:val="TextoNormal"/>
      </w:pPr>
      <w:r>
        <w:t xml:space="preserve">h) El último de los principios constitucionales que, a juicio de la Sala de lo Contencioso-Administrativo del Tribunal Superior de Justicia de Cataluña, resultaría vulnerado por el art. 38.Dos de la Ley 5/1990, es el de irretroactividad de las disposiciones restrictivas de </w:t>
      </w:r>
      <w:r>
        <w:lastRenderedPageBreak/>
        <w:t>derechos individuales garantizado en el art. 9.3 C.E. Según el citado órgano jurisdiccional, el devengo de la tasa fiscal, que se considera realizado con la autorización administrativa de las máquinas recreativas destinadas a su explotación comercial, se ha producido con anterioridad a la entrada en vigor de la Ley. Y si con posterioridad al devengo se produce un cambio legislativo que supone un considerable aumento de la deuda tributaria con efectos retroactivos, es evidente que se está lesionando el principio de la confianza en sus instituciones de los ciudadanos que, en un momento dado, han configurado su actividad empresarial confiados en una legislación vigente. Por otro lado, la distinción entre tributos con hechos imponibles instantáneos y periódicos no puede servir de excusa para justificar la posible retroactividad de las leyes tributarias, pues en estos últimos la inseguridad jurídica de los sujetos pasivos sería total y absoluta, ya que nunca tendrían certeza del importe de la deuda tributaria, que podría estar sujeta a las fluctuaciones legislativas más o menos justificadas.</w:t>
      </w:r>
    </w:p>
    <w:p w:rsidR="006854DA" w:rsidRDefault="006854DA" w:rsidP="006854DA">
      <w:pPr>
        <w:pStyle w:val="TextoNormal"/>
      </w:pPr>
    </w:p>
    <w:p w:rsidR="006854DA" w:rsidRDefault="006854DA" w:rsidP="006854DA">
      <w:pPr>
        <w:pStyle w:val="TextoNormal"/>
      </w:pPr>
      <w:r w:rsidRPr="006854DA">
        <w:rPr>
          <w:rStyle w:val="NumeroAFNegritaCaracter"/>
        </w:rPr>
        <w:t>2</w:t>
      </w:r>
      <w:r>
        <w:t>. Mediante providencia de 12 de abril de 1994, la Sección Tercera acordó admitir a trámite la cuestión registrada con el núm. 799/94;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para que, en igual plazo de traslado, expongan lo que consideren conveniente acerca de la acumulación de esta cuestión con las ya acumuladas, núms. 3.563/93, 3.564, 3.565 y 100/94.</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El Abogado del Estado formuló sus alegaciones mediante escrito presentado el 20 de abril de 1994. </w:t>
      </w:r>
    </w:p>
    <w:p w:rsidR="006854DA" w:rsidRDefault="006854DA" w:rsidP="006854DA">
      <w:pPr>
        <w:pStyle w:val="TextoNormal"/>
      </w:pPr>
      <w:r>
        <w:t xml:space="preserve">a) Siguiendo el orden del Auto de planteamiento, examina en primer término la presunta infracción del principio constitucional de interdicción de la arbitrariedad. En su opinión, la argumentación que sobre este particular expresa el órgano a quo no se refiere a la auténtica arbitrariedad constitucionalmente proscrita, sino a un juicio particular sobre la mayor o menor oportunidad de la norma o su posible grado de justicia. La arbitrariedad del legislador tiene que acreditarse plenamente y sin asomo de duda y debe consistir en graves vicios de discriminación o irrazonabilidad de la norma (SSTC 66/1985, 108/1986 y 65/1990); nada de ello, sin embargo, ocurre aquí. Las exigencias de plena proporción y justificación que parece exigirse en el Auto no son aplicables mecánicamente al legislador, que goza de la presunción de constitucionalidad. De la documentación que obra en el expediente administrativo resulta: a) que la tasa no sobrepasa la media del 20´5 por 100 de los beneficios obtenidos; b) que había transcurrido un prolongado período de tiempo sin que la tasa se modificase, pese a los enormes beneficios obtenidos en la actividad. Las argumentaciones sobre la carencia de "motivación racional" son puras afirmaciones sobre la oportunidad de la medida, correspondiendo la apreciación de la razón "social, técnica o fiscal" al legislador, salvo manifiesta discriminación o irrazonabilidad que aquí no resulta de la documentación. La relación de la tasa con el coste del servicio, desconoce que esta tasa es considerada como un auténtico impuesto, para el que el coste del servicio es irrelevante; esta afirmación, además, es incompatible con las consideraciones posteriores sobre la progresividad y la capacidad económica, que no son aplicables a las tasas. </w:t>
      </w:r>
    </w:p>
    <w:p w:rsidR="006854DA" w:rsidRDefault="006854DA" w:rsidP="006854DA">
      <w:pPr>
        <w:pStyle w:val="TextoNormal"/>
      </w:pPr>
      <w:r>
        <w:t>b) Carece también de toda consistencia la pretendida vulneración del principio de capacidad económica. En contra de lo afirmado por el Tribunal Superior, la posibilidad de fi</w:t>
      </w:r>
      <w:r>
        <w:lastRenderedPageBreak/>
        <w:t xml:space="preserve">nalidades extrafiscales de los tributos ha sido reconocida no sólo por la Ley General Tributaria sino también por la doctrina del Tribunal Constitucional desde la STC 37/1987, fundamento jurídico 13. </w:t>
      </w:r>
    </w:p>
    <w:p w:rsidR="006854DA" w:rsidRDefault="006854DA" w:rsidP="006854DA">
      <w:pPr>
        <w:pStyle w:val="TextoNormal"/>
      </w:pPr>
      <w:r>
        <w:t xml:space="preserve">c) Respecto de la posible infracción del principio de progresividad, debe decirse que la progresividad que impone la Constitución es una exigencia del sistema tributario en su conjunto, y no de cada una de las figuras tributarias. En su caracterización tradicional, la progresividad se refiere predominantemente a los impuestos directos generales de carácter personal, y no cuestiona la existencia de otros tributos, tales como los Impuestos sobre Bienes Inmuebles, de Actividades Económicas y los propios impuestos indirectos, que no poseen técnicamente tal carácter. En realidad, los Autos realizan aquí una aplicación del principio de capacidad económica, pero no acredita la existencia de regresividad y desconoce la doctrina establecida en la STC 37/1987, fundamento jurídico 13. </w:t>
      </w:r>
    </w:p>
    <w:p w:rsidR="006854DA" w:rsidRDefault="006854DA" w:rsidP="006854DA">
      <w:pPr>
        <w:pStyle w:val="TextoNormal"/>
      </w:pPr>
      <w:r>
        <w:t xml:space="preserve">d) Igualmente parece desprovisto de fundamentación el argumento sobre la confiscatoriedad de la norma, que es totalmente aseverativo y apodíctico, y se halla en contradicción con los datos que resultan de la documentación que sitúan la media del gravamen en el 20´5 por 100, y en modo alguno se acredita que "se supriman los beneficios" como afirma exageradamente el Tribunal. La imputación de confiscatoriedad a una norma es una imputación muy grave que debe fundamentarse con el mayor rigor. </w:t>
      </w:r>
    </w:p>
    <w:p w:rsidR="006854DA" w:rsidRDefault="006854DA" w:rsidP="006854DA">
      <w:pPr>
        <w:pStyle w:val="TextoNormal"/>
      </w:pPr>
      <w:r>
        <w:t xml:space="preserve">e) Por último, en lo que respecta a la presunta vulneración de la interdicción de la retroactividad de las normas limitativas de derechos, entiende el Abogado del Estado que el Tribunal Superior de Justicia de Cataluña viene a rechazar la doctrina de este Tribunal sobre la retroactividad de las normas fiscales sentada en la STC 126/1987. </w:t>
      </w:r>
    </w:p>
    <w:p w:rsidR="006854DA" w:rsidRDefault="006854DA" w:rsidP="006854DA">
      <w:pPr>
        <w:pStyle w:val="TextoNormal"/>
      </w:pPr>
      <w:r>
        <w:t xml:space="preserve">La Sala proponente, además, sostiene erróneamente que el hecho imponible "se produce y se agota, no se extiende permanentemente". Olvida que se trata del mismo supuesto que se producía en el caso resuelto por la STC 126/1987; allí afirmó el Tribunal Constitucional que se trataba de un "hecho imponible de duración prolongada", que "no se agota en el acto de autorización, sino que comprende también el mantenimiento de la autorización a lo largo del tiempo con la posibilidad de explotación de las máquinas o aparatos durante el mismo". La cuestión, en cuanto a este argumento, está totalmente resuelta por la STC 126/1987. </w:t>
      </w:r>
    </w:p>
    <w:p w:rsidR="006854DA" w:rsidRDefault="006854DA" w:rsidP="006854DA">
      <w:pPr>
        <w:pStyle w:val="TextoNormal"/>
      </w:pPr>
      <w:r>
        <w:t xml:space="preserve">En tales casos, es preciso acudir a la ponderación de los bienes constitucionales en juego, tomando en cuenta la finalidad de la norma y las circunstancias específicas que concurren en el caso. A juicio del Abogado del Estado, las razones de la STC 126/1987, fundamento jurídico 13, son aquí plenamente aplicables. Se trataba de restablecer el equilibrio entre los beneficios que se venían obteniendo y la presión fiscal sobre los mismos en este concreto tributo, que había permanecido sin variación desde hacía un prolongado lapso de tiempo; tal finalidad es perfectamente legítima y no puede sorprender a las expectativas de los empresarios, ciertamente conscientes del desfase existente. </w:t>
      </w:r>
    </w:p>
    <w:p w:rsidR="006854DA" w:rsidRDefault="006854DA" w:rsidP="006854DA">
      <w:pPr>
        <w:pStyle w:val="TextoNormal"/>
      </w:pPr>
      <w:r>
        <w:t xml:space="preserve">Por otra parte, es muy problemático afirmar que exista aquí un auténtico derecho preexistente de los empresarios a desarrollar esta actividad económica que permita su protección a través del derecho a la libertad de empresa, reconocido en el art. 38 de la Constitución. No cabe olvidar que el juego es una actividad tradicionalmente prohibida por nuestro legislador, desde hace relativamente poco tiempo meramente permitida, pero sometida a una intensísima intervención administrativa, con una sustancial dosis de discrecionalidad técnica a la vista de su incidencia en la sociedad; en tal sentido, las expectativas de los empresarios en este campo son de una entidad jurídicamente menor que en el resto de la actividad económica, careciendo en el caso presente de suficiente trascendencia social y económica para exigir una plena protección del principio de confianza. </w:t>
      </w:r>
    </w:p>
    <w:p w:rsidR="006854DA" w:rsidRDefault="006854DA" w:rsidP="006854DA">
      <w:pPr>
        <w:pStyle w:val="TextoNormal"/>
      </w:pPr>
      <w:r>
        <w:lastRenderedPageBreak/>
        <w:t>En consecuencia, solicita el Abogado del Estado que sea dictada Sentencia en cuya virtud se declare que los preceptos cuestionados no son contrarios a la Constitución. Asimismo, y por otrosí, interesa la acumulación de la presente cuestión con la 800/94 y acumuladas núms. 3.563/93, 3.564/93, 3.565/93 y 100/94, por concurrir los requisitos del art. 83 LOTC.</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escrito registrado de entrada el 26 de abril de 1994, el Presidente del Senado traslada el Acuerdo de la Mesa por el que se ruega se tenga por personada a la Cámara y ofrecida su colaboración a los efectos del art. 88.1 LOTC. Asimismo, en escrito presentado el 21 de abril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El Fiscal General del Estado presentó su escrito el 29 de abril de 1994, en el que se remite a lo expuesto en su anterior registrado el día 26 de enero de 1994, vertido en el trámite de alegaciones de las cuestiones de inconstitucionalidad acumuladas núms. 3.563, 3.564, y 3.565/93, y 100/94, interesando se acuerde la acumulación de la presente cuestión a las citadas. </w:t>
      </w:r>
    </w:p>
    <w:p w:rsidR="006854DA" w:rsidRDefault="006854DA" w:rsidP="006854DA">
      <w:pPr>
        <w:pStyle w:val="TextoNormal"/>
      </w:pPr>
      <w:r>
        <w:t xml:space="preserve">En síntesis, la postura del Ministerio Público puede ser expuesta, a modo de recordatorio, del modo que sigue: </w:t>
      </w:r>
    </w:p>
    <w:p w:rsidR="006854DA" w:rsidRDefault="006854DA" w:rsidP="006854DA">
      <w:pPr>
        <w:pStyle w:val="TextoNormal"/>
      </w:pPr>
      <w:r>
        <w:t xml:space="preserve">a) En cuanto al principio de capacidad contributiva, aunque comparte algunas afirmaciones de la Sala cuestionante, sin embargo, muestra su desacuerdo con las conclusiones que extrae la misma. Entiende el Fiscal que la documentación aportada no demuestra que el gravamen complementario exceda de los beneficios netos que obtienen las empresas explotadoras de las máquinas recreativas, por lo que la normativa cuestionada respeta el principio de capacidad contributiva. </w:t>
      </w:r>
    </w:p>
    <w:p w:rsidR="006854DA" w:rsidRDefault="006854DA" w:rsidP="006854DA">
      <w:pPr>
        <w:pStyle w:val="TextoNormal"/>
      </w:pPr>
      <w:r>
        <w:t xml:space="preserve">b) Respecto a la prohibición de la confiscatoriedad, los argumentos del Fiscal son los mismos que en el caso anterior: no se observa que la norma cuestionada suprima los beneficios o ganancia obtenida. En realidad -señala-, el órgano proponente viene a reconocer que no se produce una confiscación cuando manifiesta que el gravamen complementario absorbe la mayor parte de los beneficios empresariales, lo que, por otra parte, se contradice con lo que la Sala expone al referirse a la capacidad económica. </w:t>
      </w:r>
    </w:p>
    <w:p w:rsidR="006854DA" w:rsidRDefault="006854DA" w:rsidP="006854DA">
      <w:pPr>
        <w:pStyle w:val="TextoNormal"/>
      </w:pPr>
      <w:r>
        <w:t xml:space="preserve">c) La progresividad fiscal, como claramente se desprende del art. 31.1 C.E., es un mero principio informador del sistema tributario, esencialmente en los llamados impuestos directos, que no se cumple en todos los tributos y que tiene, a su vez, otros límites; por ello, tampoco se observa en este caso la inconstitucionalidad denunciada. </w:t>
      </w:r>
    </w:p>
    <w:p w:rsidR="006854DA" w:rsidRDefault="006854DA" w:rsidP="006854DA">
      <w:pPr>
        <w:pStyle w:val="TextoNormal"/>
      </w:pPr>
      <w:r>
        <w:t xml:space="preserve">d) En lo que se refiere al principio de igualdad, entiende el Fiscal que debe ser estudiado en relación con el art. 31.1 C.E., y no con relación al 14, más aun cuando la Sala lo relaciona con el principio de capacidad contributiva. En el presente caso, faltan los elementos de comparación precisos para afirmar la existencia de una vulneración del principio de igualdad. El cambio efectuado, de una proporción de ingresos a unas cantidades fijas, es una opción correcta desde la perspectiva constitucional; los estudios aportados sobre los ingresos mínimos, medios y máximos se basan en cálculos y no son suficientes para confirmar la existencia de un tratamiento desigual y discriminatorio. Además, las tasas son contraprestaciones a un servicio público cuyos costes son, en principio, iguales. Por tanto, tampoco se observa la existencia de un tratamiento desigual con relevancia constitucional. </w:t>
      </w:r>
    </w:p>
    <w:p w:rsidR="006854DA" w:rsidRDefault="006854DA" w:rsidP="006854DA">
      <w:pPr>
        <w:pStyle w:val="TextoNormal"/>
      </w:pPr>
      <w:r>
        <w:lastRenderedPageBreak/>
        <w:t xml:space="preserve">e) Negada la existencia de inconstitucionalidad por contradicción con los principios de capacidad contributiva, prohibición de confiscación, progresividad del sistema tributario e igualdad, resulta como consecuencia que tampoco la regulación cuestionada sea arbitraria (art. 9.3 C.E.), ya que la arbitrariedad no es considerada por la Sala cuestionante como un motivo independiente, sino derivado de los anteriormente expuestos. </w:t>
      </w:r>
    </w:p>
    <w:p w:rsidR="006854DA" w:rsidRDefault="006854DA" w:rsidP="006854DA">
      <w:pPr>
        <w:pStyle w:val="TextoNormal"/>
      </w:pPr>
      <w:r>
        <w:t xml:space="preserve">f) Finalmente, en lo que se refiere a la prohibición de retroactividad de normas no favorables, es preciso tener en cuenta que el gravamen complementario se devenga el día de la entrada en vigor de la ley, por lo que no se observa que tenga carácter retroactivo, salvo que se entienda que el mismo viene producido porque este gravamen fiscal se refiere a máquinas "cuya tasa fiscal correspondiente al año 1990 se haya devengado con anterioridad a la entrada en vigor de la presente ley"; en todo caso, esta última referencia se da precisamente por la necesidad de equiparar las máquinas cuya tasa fiscal, ya incrementada, se produzca después de la entrada en vigor de la ley, con aquéllas cuya tasa ya se pagó con arreglo a las cifras anteriores. Tras reiterar la doctrina expuesta en la STC 126/1987, señala que, aun en el caso de que se considere retroactiva, no ha incidido en ninguno de los preceptos constitucionales que la convertirían en restrictiva de derechos fundamentales, por lo que también por este motivo procede la desestimación de la cuestión. </w:t>
      </w:r>
    </w:p>
    <w:p w:rsidR="006854DA" w:rsidRDefault="006854DA" w:rsidP="006854DA">
      <w:pPr>
        <w:pStyle w:val="TextoNormal"/>
      </w:pPr>
      <w:r>
        <w:t>Concluye su escrito solicitando la declaración de que las normas impugnadas en la presente cuestión no son contrarias a los arts. 9.3, 14 y 31.1 de la Constitución.</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El día 11 de marzo de 1994 tuvo entrada en el Registro de este Tribunal un escrito de la Sección Cuarta de la Sala de lo Contencioso-Administrativo del Tribunal Superior de Justicia de Cataluña, al que se acompaña, junto al testimonio del correspondiente procedimiento, el Auto de la referida Sala de 19 de enero de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435/92 planteado por la Compañía "Opesa Internacional, S.A", contra la Resolución de 25 de octubre de 1991, del Tribunal Económico-Administrativo Regional de Cataluña, desestimatoria de la reclamación económico-administrativa instada contra el Acuerdo de 12 de abril de 1991,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9 de diciembre de 1993,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"Opesa Internacional,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lastRenderedPageBreak/>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providencia de 12 de abril de 1994, la Sección Primera acordó admitir a trámite la cuestión registrada con el núm. 800/94;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para que, en igual plazo de traslado, expongan lo que consideren conveniente acerca de la acumulación de esta cuestión con las ya acumuladas, núms. 3.563, 3.564 y 3.565/93, y 100/94, y la registrada con el núm. 799/94.</w:t>
      </w:r>
    </w:p>
    <w:p w:rsidR="006854DA" w:rsidRDefault="006854DA" w:rsidP="006854DA">
      <w:pPr>
        <w:pStyle w:val="TextoNormal"/>
      </w:pPr>
    </w:p>
    <w:p w:rsidR="006854DA" w:rsidRDefault="006854DA" w:rsidP="006854DA">
      <w:pPr>
        <w:pStyle w:val="TextoNormal"/>
      </w:pPr>
      <w:r w:rsidRPr="006854DA">
        <w:rPr>
          <w:rStyle w:val="NumeroAFNegritaCaracter"/>
        </w:rPr>
        <w:t>8</w:t>
      </w:r>
      <w:r>
        <w:t>. El Abogado del Estado, en virtud de escrito registrado de entrada el 20 de abril de 1994, vierte sus alegaciones en el procedimiento de la cuestión núm. 800/94. En la medida de que, amén de solicitar la acumulación de ésta a las registrada con el numero 799/94 y a las cuestiones acumuladas núms. 3.563/93, 3.564/93, 3.565/93 y 100/94, aquél es mera reproducción del formulado a propósito de la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9</w:t>
      </w:r>
      <w:r>
        <w:t>. Mediante escrito registrado de entrada el 29 de abril de 1994, el Presidente del Senado traslada el Acuerdo de la Mesa por el que se ruega se tenga por personada a la Cámara y ofrecida su colaboración a los efectos del art. 88.1 LOTC. Asimismo, en escrito presentado el 21 de abril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10</w:t>
      </w:r>
      <w:r>
        <w:t>. El escrito del Fiscal tuvo entrada en este Tribunal el día 2 de abril de 1994. Además de solicitar la acumulación de la presente cuestión a la registrada con el núm. 3.563/93, el representante del Ministerio Público se remite a lo expuesto en su anterior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11</w:t>
      </w:r>
      <w:r>
        <w:t xml:space="preserve">. El día 17 de mayo de 1994 tuvo entrada en el Registro de este Tribunal un escrito de la Sección Cuarta de la Sala de lo Contencioso-Administrativo del Tribunal Superior de Justicia de Cataluña, al que se acompaña, junto al testimonio del correspondiente procedimiento, el Auto de la referida Sala de 21 de abril de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436/92 planteado por la Mercantil "Unogasa, S.A" contra la Resolución de 25 </w:t>
      </w:r>
      <w:r>
        <w:lastRenderedPageBreak/>
        <w:t xml:space="preserve">de octubre de 1991, del Tribunal Económico-Administrativo Regional de Cataluña, desestimatoria de la reclamación económico-administrativa instada contra el Acuerdo de 12 de abril de 1991,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15 de marzo de 1994,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"Unogasa,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12</w:t>
      </w:r>
      <w:r>
        <w:t>. Mediante providencia de 21 de junio de 1994, la Sección Cuarta acordó admitir a trámite la cuestión registrada con el núm. 1.661/94;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las núms. 3.563, 3.564 y 3.565/93, y 100/94, ya acumuladas, y con las núms. 799 y 800/94;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13</w:t>
      </w:r>
      <w:r>
        <w:t>. El Abogado del Estado, en virtud de escrito registrado de entrada el 8 de julio de 1994, vierte sus alegaciones en el procedimiento de la cuestión núm. 1.661/94. En la medida de que, amén de solicitar la acumulación de ésta a las registrada con los núms. 799 y 800/94, y a las cuestiones acumuladas núms. 3.563, 3.564 y 3.565/93, y 100/94, aquél es mera reproducción del formulado a propósito de la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14</w:t>
      </w:r>
      <w:r>
        <w:t>. Mediante escrito registrado de entrada el 30 de junio de 1994, el Presidente del Senado traslada el Acuerdo de la Mesa por el que se ruega se tenga por personada a la Cámara y ofrecida su colaboración a los efectos del art. 88.1 LOTC. Asimismo, en escrito de 28 de junio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15</w:t>
      </w:r>
      <w:r>
        <w:t>. El escrito del Fiscal tuvo entrada en este Tribunal el día 7 de julio de 1994. Además de solicitar la acumulación de la presente cuestión a la registrada con el núm. 3.563/93, el representante del Ministerio Público se remite a lo expuesto en su anterior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16</w:t>
      </w:r>
      <w:r>
        <w:t xml:space="preserve">. El día 13 de mayo de 1994 tuvo entrada en el Registro de este Tribunal un escrito de la Sección Cuarta de la Sala de lo Contencioso-Administrativo del Tribunal Superior de Justicia de Cataluña, al que se acompaña, junto al testimonio del correspondiente procedimiento, el Auto de la referida Sala de 5 de mayo de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39/92 planteado por don Manuel Martínez Calderón contra la Resolución de 31 de octubre de 1991, del Tribunal Económico-Administrativo Regional de Cataluña, desestimatoria de la reclamación económico-administrativa instada contra el Acuerdo de 17 de junio de 1991,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22 de marzo de 1994,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el recurrente D. Manuel Martínez Calderón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17</w:t>
      </w:r>
      <w:r>
        <w:t>. Mediante providencia de 12 de julio de 1994, la Sección Primera acordó admitir a trámite la cuestión registrada con el núm. 2.077/94;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las núms. 3.563/93 y otras ya acumuladas, y con otras posteriores pendientes de acumulación;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18</w:t>
      </w:r>
      <w:r>
        <w:t xml:space="preserve">. El Abogado del Estado, en virtud de escrito registrado de entrada en el Registro de este Tribunal el 21 de julio de 1994, vierte sus alegaciones en el procedimiento de la cuestión núm. 2.077/94. En la medida de que, amén de solicitar la acumulación de esta cuestión con la núm. 3.563/93, y otras ya acumuladas, el citado escrito es mera reproducción </w:t>
      </w:r>
      <w:r>
        <w:lastRenderedPageBreak/>
        <w:t>del formulado a propósito de la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19</w:t>
      </w:r>
      <w:r>
        <w:t>. Mediante escrito registrado de entrada el 26 de julio de 1994, el Presidente del Senado traslada el Acuerdo de la Mesa por el que se ruega se tenga por personada a la Cámara y ofrecida su colaboración a los efectos del art. 88.1 LOTC. Asimismo, en escrito presentado el 22 de julio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20</w:t>
      </w:r>
      <w:r>
        <w:t>. El escrito del Fiscal tuvo entrada en este Tribunal el día 26 de julio de 1994. Además de solicitar la acumulación de la presente cuestión a la registrada con el núm. 3.563/93, el representante del Ministerio Público se remite a lo expuesto en su anterior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21</w:t>
      </w:r>
      <w:r>
        <w:t xml:space="preserve">. El día 19 de julio de 1994 tuvo entrada en el Registro de este Tribunal un escrito de la Sección Cuarta de la Sala de lo Contencioso-Administrativo del Tribunal Superior de Justicia de Cataluña, al que se acompaña, junto al testimonio del correspondiente procedimiento, el Auto de la referida Sala de 14 de junio de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1.486/91 planteado por "Codere Tarragona, S.A" contra la desestimación presunta de la reclamación económico-administrativa instada ante el del Tribunal Económico-Administrativo Regional de Cataluña contra el Acuerdo de 5 de diciembre de 1990,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25 de mayo de 1994,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"Codere Tarragona,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22</w:t>
      </w:r>
      <w:r>
        <w:t>. Mediante providencia de 20 de septiembre de 1994, la Sección Cuarta acordó admitir a trámite la cuestión registrada con el núm. 2.589/94;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las núms. 3.563/93, y otras ya acumuladas, y con otras posteriores pendientes de acumulación;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23</w:t>
      </w:r>
      <w:r>
        <w:t>. El Abogado del Estado, en virtud de escrito registrado de entrada en el Registro de este Tribunal el 30 de septiembre de 1994, vierte sus alegaciones en el procedimiento de la cuestión núm. 2.589/94. En la medida de que, amén de solicitar la acumulación de esta cuestión con la núm. 3.563/93, y otras ya acumuladas, el citado escrito es mera reproducción del formulado a propósito de la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24</w:t>
      </w:r>
      <w:r>
        <w:t>. Mediante escrito registrado de entrada el 30 de septiembre de 1994, el Presidente del Senado traslada el Acuerdo de la Mesa por el que se ruega se tenga por personada a la Cámara y ofrecida su colaboración a los efectos del art. 88.1 LOTC. Asimismo, en escrito presentado el 30 de septiembre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25</w:t>
      </w:r>
      <w:r>
        <w:t>. El escrito del Fiscal tuvo entrada en este Tribunal el día 30 de septiembre de 1994. Además de solicitar la acumulación de la presente cuestión a la registrada con el núm. 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26</w:t>
      </w:r>
      <w:r>
        <w:t xml:space="preserve">. El día 19 de agosto de 1994 tuvo entrada en el Registro de este Tribunal un escrito de la Sala de lo Contencioso-Administrativo del Tribunal Superior de Justicia de Navarra, al que se acompaña, junto al testimonio del correspondiente procedimiento, el Auto de la referida Sala de 30 de junio de 1994, mediante el que se acuerda elevar a este Tribunal cuestión de inconstitucionalidad en relación con el art. 38.Dos de la Ley 5/1990, de 29 de junio, que crea un gravamen complementario de la tasa fiscal sobre los juegos de suerte, envite o azar para el año 1990, por su posible contradicción con los arts. 9.3, 14 y 31.1, todos de la C.E. </w:t>
      </w:r>
    </w:p>
    <w:p w:rsidR="006854DA" w:rsidRDefault="006854DA" w:rsidP="006854DA">
      <w:pPr>
        <w:pStyle w:val="TextoNormal"/>
      </w:pPr>
      <w:r>
        <w:t xml:space="preserve">A) Dicha cuestión de inconstitucionalidad trae causa del recurso contencioso- administrativo núm. 878/92 planteado por "Recreativos Yoar, S.A" contra la Resolución de 25 de octubre de 1991, del Tribunal Económico-Administrativo Regional de Navarra, desestimatoria de la reclamación económico-administrativa instada contra el Acuerdo de 19 de junio de 1991, dictado por el Jefe de la Dependencia Regional de Gestión Tributaria de la Delegación de Hacienda Especial de Navarra, confirmatorio de las autoliquidaciones presentadas por la referida entidad en concepto de Gravamen Complementario de la Tasa Fiscal correspondiente al ejercicio 1990. Una vez concluso el procedimiento, la Sala, al amparo </w:t>
      </w:r>
      <w:r>
        <w:lastRenderedPageBreak/>
        <w:t xml:space="preserve">del art. 35.2 LOTC, acordó, mediante providencia de 2 de mayo de 1994, oír a las partes y al Ministerio Fiscal por plazo de diez días acerca de la procedencia de plantear cuestión de inconstitucionalidad sobre el citado art. 38.Dos de la Ley 5/1990, en cuanto el mismo pudiera vulnerar los arts. 9.3 y 38 de la Constitución. Dentro del plazo conferido, la recurrente "Recreativos Yoar, S.A", y el Ministerio Fiscal estimaron oportuno elevar la correspondiente cuestión, pretensión a la que, por el contrario, se opuso el Abogado del Estado. </w:t>
      </w:r>
    </w:p>
    <w:p w:rsidR="006854DA" w:rsidRDefault="006854DA" w:rsidP="006854DA">
      <w:pPr>
        <w:pStyle w:val="TextoNormal"/>
      </w:pPr>
      <w:r>
        <w:t>B) El Auto de planteamiento de la cuestión reproduce sustancialmente, incluso con sujeción a su estructura argumental, las consideraciones expuestas en el Auto de 16 de febrero de 1994 de la Sección Cuarta de la Sala de lo Contencioso- Administrativo del Tribunal Superior de Justicia de Cataluña, en virtud del cual se suscitó la cuestión registrada con el núm. 799/94, razón por la que, en este momento, bastará con remitirse a lo sintetizado en el apartado 1 B)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27</w:t>
      </w:r>
      <w:r>
        <w:t>. Mediante providencia de 27 de septiembre de 1994, la Sección Tercera acordó admitir a trámite la cuestión registrada con el núm. 2.977/94;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expongan lo que consideren conveniente acerca de la acumulación de esta cuestión con las ya acumuladas, núms. 3.563/93, 3.564, 3.565 y 100/94;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28</w:t>
      </w:r>
      <w:r>
        <w:t>. El Abogado del Estado, en virtud de escrito registrado de entrada en el Registro de este Tribunal el 11 de octubre de 1994, vierte sus alegaciones en el procedimiento de la cuestión núm. 2.977/94. En la medida de que, amén de solicitar la acumulación de esta cuestión con la núm. 3.563/93, y otras ya acumuladas, dichas alegaciones son mera reproducción de las formuladas a propósito de la cuestión núm. 800/94, resulta pertinente la oportuna remisión en este momento a lo consignado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29</w:t>
      </w:r>
      <w:r>
        <w:t>. Mediante escrito registrado de entrada el 6 de octubre de 1994, el Presidente del Senado traslada el Acuerdo de la Mesa por el que se ruega se tenga por personada a la Cámara y ofrecida su colaboración a los efectos del art. 88.1 LOTC. Asimismo, en escrito presentado el 6 de octubre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30</w:t>
      </w:r>
      <w:r>
        <w:t>. El Fiscal vierte sus alegaciones en escrito presentado el 6 de octubre de 1994, en el que, además de solicitar la acumulación de la presente cuestión a la registrada con el núm. 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31</w:t>
      </w:r>
      <w:r>
        <w:t>. El día 19 de septiembre de 1994 tuvo entrada en el Registro de este Tribunal un escrito de la Sección Cuarta de la Sala de lo Contencioso-Administrativo del Tribunal Su</w:t>
      </w:r>
      <w:r>
        <w:lastRenderedPageBreak/>
        <w:t xml:space="preserve">perior de Justicia de Cataluña, al que se acompaña, junto al testimonio del correspondiente procedimiento, el Auto de la referida Sala de 30 de junio de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1.485/91 planteado por "Codere LLeida, S.A", contra la desestimación presunta de la reclamación económico-administrativa instada ante el Tribunal Económico-Administrativo Regional de Cataluña contra el Acuerdo de 5 de diciembre de 1990,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20 de mayo de 1994,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"Codere LLeida,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32</w:t>
      </w:r>
      <w:r>
        <w:t>. Mediante providencia de 27 de septiembre de 1994, la Sección Segunda acordó admitir a trámite la cuestión registrada con el núm. 3.057/94;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las núms. 3.563/93, y otras ya acumuladas, y con otras posteriores pendientes de acumulación;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33</w:t>
      </w:r>
      <w:r>
        <w:t>. El Abogado del Estado, en virtud de escrito registrado de entrada en el Registro de este Tribunal el 10 de octubre de 1994, vierte sus alegaciones en el procedimiento de la cuestión núm. 3.057/94. En la medida de que, amén de solicitar la acumulación de esta cuestión con la núm. 3.563/93, y otras ya acumuladas, el citado escrito es mera reproducción del formulado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34</w:t>
      </w:r>
      <w:r>
        <w:t>. Mediante escrito registrado de entrada el 14 de octubre de 1994, el Presidente del Senado traslada el Acuerdo de la Mesa por el que se ruega se tenga por personada a la Cámara y ofrecida su colaboración a los efectos del art. 88.1 LOTC. Asimismo, en escrito presentado el 6 de octubre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35</w:t>
      </w:r>
      <w:r>
        <w:t>. El escrito del Fiscal tuvo entrada en este Tribunal el día 6 de octubre de 1994. Además de solicitar la acumulación de la presente cuestión a la registrada con el núm. 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36</w:t>
      </w:r>
      <w:r>
        <w:t xml:space="preserve">. El día 19 de septiembre de 1994 tuvo entrada en el Registro de este Tribunal un escrito de la Sección Cuarta de la Sala de lo Contencioso-Administrativo del Tribunal Superior de Justicia de Cataluña, al que se acompaña, junto al testimonio del correspondiente procedimiento, el Auto de la referida Sala de 29 de junio de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434/92 planteado por "Unogasa, S.A" contra la Resolución de 25 de octubre de 1991 del Tribunal Económico-Administrativo Regional de Cataluña, desestimatoria de la reclamación económico-administrativa instada contra el Acuerdo de 12 de abril de 1991,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8 de junio de 1994,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"Unogasa,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37</w:t>
      </w:r>
      <w:r>
        <w:t xml:space="preserve">. Mediante providencia de 27 de septiembre de 1994, la Sección Tercera acordó admitir a trámite la cuestión registrada con el núm. 3.058/94;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w:t>
      </w:r>
      <w:r>
        <w:lastRenderedPageBreak/>
        <w:t>las partes mencionadas pudieran personarse en el proceso y formular las alegaciones que estimasen pertinentes; oír a las partes para que, en igual plazo de traslado, expusieran lo que consideraran conveniente acerca de la acumulación de esta cuestión con la núms. 3.563/93, y otras ya acumuladas, y con otras posteriores pendientes de acumulación;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38</w:t>
      </w:r>
      <w:r>
        <w:t>. El Abogado del Estado, en virtud de escrito registrado de entrada en el Registro de este Tribunal el 10 de octubre de 1994, vierte sus alegaciones en el procedimiento de la cuestión núm. 3.058/94. En la medida de que, amén de solicitar la acumulación de esta cuestión con la núm. 3.563/93, y otras ya acumuladas, el citado escrito es mera reproducción del formulado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39</w:t>
      </w:r>
      <w:r>
        <w:t>. Mediante escrito registrado de entrada el 6 de octubre de 1994, el Presidente del Senado traslada el Acuerdo de la Mesa por el que se ruega se tenga por personada a la Cámara y ofrecida su colaboración a los efectos del art. 88.1 LOTC. Asimismo, en escrito presentado el 6 de octubre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40</w:t>
      </w:r>
      <w:r>
        <w:t>. El escrito del Fiscal tuvo entrada en este Tribunal el día 6 de octubre de 1994. Además de solicitar la acumulación de la presente cuestión a la registrada con el núm. 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41</w:t>
      </w:r>
      <w:r>
        <w:t xml:space="preserve">. El día 2 de noviembre de 1994 tuvo entrada en el Registro de este Tribunal un escrito de la Sala de lo Contencioso-Administrativo del Tribunal Superior de Justicia Canarias (Santa Cruz de Tenerife), al que se acompaña, junto al testimonio del correspondiente procedimiento, el Auto de la referida Sala de 13 de octubre de 1994, mediante el que se acuerda elevar a este Tribunal cuestión de inconstitucionalidad en relación con el art. 38.Dos de la Ley 5/1990, de 29 de junio, que crea un gravamen complementario de la tasa fiscal sobre los juegos de suerte, envite o azar para el año 1990, por su posible contradicción con el art. 9.3 de Constitución. </w:t>
      </w:r>
    </w:p>
    <w:p w:rsidR="006854DA" w:rsidRDefault="006854DA" w:rsidP="006854DA">
      <w:pPr>
        <w:pStyle w:val="TextoNormal"/>
      </w:pPr>
      <w:r>
        <w:t xml:space="preserve">A) Dicha cuestión de inconstitucionalidad trae causa del recurso contencioso- administrativo núm. 407/93 planteado por "Automáticos Mate, Sociedad Civil", contra las Resolución de 24 de marzo de 1993 del Tribunal Económico-Administrativo Regional de Canarias, desestimatoria de la reclamación económico-administrativa instada contra el Acuerdo de 26 de febrero de 1992 dictado por el Jefe Territorial de la Inspección de Tributos, confirmatorio de la liquidación girada a la referida entidad en concepto de Gravamen Complementario de la Tasa Fiscal correspondiente al ejercicio 1990. Una vez concluso el procedimiento, la Sala, al amparo del art. 35.2 LOTC, acordó, mediante providencia de 16 de mayo de 1994, oír a las partes y al Ministerio Fiscal por plazo de diez días acerca de la procedencia de plantear cuestión de inconstitucionalidad sobre el citado art. 38.Dos de la Ley 5/1990, en cuanto el mismo pudiera vulnerar los arts. 9.3 de la Constitución. Dentro del plazo conferido, la recurrente "Automáticos Mate, Sociedad Civil", estimó oportuno elevar la correspondiente cuestión; el Ministerio Fiscal evacuó dicho trámite manifestando </w:t>
      </w:r>
      <w:r>
        <w:lastRenderedPageBreak/>
        <w:t xml:space="preserve">que existían otras cuestiones de inconstitucionalidad de idéntico contenido admitidas a trámite, por lo que entendía que debía paralizarse el trámite del recurso hasta que este Tribunal decidiera sobra la cuestión. </w:t>
      </w:r>
    </w:p>
    <w:p w:rsidR="006854DA" w:rsidRDefault="006854DA" w:rsidP="006854DA">
      <w:pPr>
        <w:pStyle w:val="TextoNormal"/>
      </w:pPr>
      <w:r>
        <w:t>B) El Auto de planteamiento, en síntesis, comienza recordando que la STC 126/1987, de 16 de julio, declaró la constitucionalidad del gravamen complementario de la Tasa del juego establecido por la Disposición adicional sexta, núm. 3, de la Ley 5/1983, de 29 de junio, por dos razones: en primer lugar, porque el precepto citado limitaba su aplicación al período impositivo en que la Ley en la que se incluía fue aprobada, y afectaba a un ejercicio económico en el que, por circunstancias diversas, la Ley de Presupuestos no fue tramitada dentro del plazo previsto en el art. 134 C.E.; en segundo lugar, porque el precepto cuestionado respondía al «intento de adecuar la presión tributaria del sector en cuestión al resto de las modalidades de juego, a fin de lograr una mayor justicia tributaria y aminorar las distorsiones que venían produciéndose entre ellas», dado que, como denunciaba la Exposición de Motivos del Real Decreto-ley 8/1982, las máquinas o aparatos automáticos tenían un tratamiento fiscal favorable dentro de los juegos de suerte, envite o azar, pues mientras la generalidad de los juegos resultaban gravados al tipo proporcional del 20 por 100 del importe total de las cantidades jugadas, «las cuotas fijas que recaían sobre la explotación de máquinas o aparatos automáticos restaban, en cambio, muy lejos de representar el porcentaje fijado respecto de las cantidades jugadas». Bajo estas premisas, considera el órgano proponente que mientras que, como el anterior, el gravamen complementario creado por el art. 38.Dos de la Ley 5/1990 se encuentra también limitado al ejercicio en que la norma se aprobó, ejercicio para el que tampoco se tramitó la Ley de Presupuestos en el plazo constitucionalmente señalado, no aparece, en cambio, ni en la Exposición de Motivos de la Ley 5/1990, ni en la del Real Decreto-ley 7/1989, su justificación para el ejercicio 1990, sin que tampoco pueda colegirse de tales Exposiciones de Motivos que la finalidad es la de lograr un equilibrio en la presión fiscal del sector, ya que éstas no ofrecen «datos que permitan afirmar en esos ejercicios un tratamiento fiscal favorable de las máquinas recreativas». Esto sentado, concluye el Auto de planteamiento que la norma cuestionada contradice el principio de seguridad jurídica garantizado en el art. 9.3 C.E., pues los contribuyentes «han podido y debido planificar su actividad empresarial en función de la normativa vigente en el ejercicio planificado, viéndose sorprendidos cuando éste no ha finalizado con un aumento importante de la deuda tributaria establecido por una norma con efectos retroactivos sobre tal ejercicio, con detrimento también del principio de confianza».</w:t>
      </w:r>
    </w:p>
    <w:p w:rsidR="006854DA" w:rsidRDefault="006854DA" w:rsidP="006854DA">
      <w:pPr>
        <w:pStyle w:val="TextoNormal"/>
      </w:pPr>
    </w:p>
    <w:p w:rsidR="006854DA" w:rsidRDefault="006854DA" w:rsidP="006854DA">
      <w:pPr>
        <w:pStyle w:val="TextoNormal"/>
      </w:pPr>
      <w:r w:rsidRPr="006854DA">
        <w:rPr>
          <w:rStyle w:val="NumeroAFNegritaCaracter"/>
        </w:rPr>
        <w:t>42</w:t>
      </w:r>
      <w:r>
        <w:t>. Mediante providencia de 23 de noviembre de 1995, la Sección Cuarta acordó admitir a trámite la cuestión registrada con el núm. 3.497/94;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expongan lo que consideren oportuno acerca de la acumulación de esta cuestión con la núm. 3.563/93 y otras ya acumuladas;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43</w:t>
      </w:r>
      <w:r>
        <w:t xml:space="preserve">. El Abogado del Estado, en virtud de escrito registrado de entrada en el Registro de este Tribunal el 14 de diciembre de 1994, vierte sus alegaciones en el procedimiento de la </w:t>
      </w:r>
      <w:r>
        <w:lastRenderedPageBreak/>
        <w:t>cuestión núm. 3.497/94. En la medida de que, además de solicitar la acumulación de esta cuestión con la núm. 3.563/93, y otras ya acumuladas, el citado escrito reproduce lo que, en relación con la presunta vulneración de los principios de retroactividad y de seguridad jurídica (art. 9.3 C.E.), formuló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44</w:t>
      </w:r>
      <w:r>
        <w:t>. Mediante escrito registrado de entrada el 1 de diciembre de 1994, el Presidente del Senado traslada el Acuerdo de la Mesa por el que se ruega se tenga por personada a la Cámara y ofrecida su colaboración a los efectos del art. 88.1 LOTC. Asimismo, en escrito presentado el 1 de diciembre de 1994,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45</w:t>
      </w:r>
      <w:r>
        <w:t>. El escrito del Fiscal tuvo entrada en este Tribunal el día 19 de diciembre de 1995. Además de solicitar la acumulación de la presente cuestión a la registrada con el núm. 3.563/93, el representante del Ministerio Público se remite, en lo que se refiere a la supuesta vulneración de los principios de seguridad jurídica e irretroactividad de las normas no favorables,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46</w:t>
      </w:r>
      <w:r>
        <w:t xml:space="preserve">. El día 21 de diciembre de 1994 tuvo entrada en el Registro de este Tribunal un escrito de la Sección Cuarta de la Sala de lo Contencioso-Administrativo del Tribunal Superior de Justicia de Cataluña, al que se acompaña, junto al testimonio del correspondiente procedimiento, el Auto de la referida Sala de 7 de noviembre 1994,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848/92 planteado por "Sociedad Anónima Explotadora de Recreativos" contra las Resolución de 13 de diciembre de 1991 del Tribunal Económico- Administrativo Regional de Cataluña, desestimatoria de la reclamación económico- administrativa instada contra el Acuerdo de 21 de marzo de 1991,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5 de octubre de 1994,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"Sociedad Anónima Explotadora de Recreativos"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lastRenderedPageBreak/>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47</w:t>
      </w:r>
      <w:r>
        <w:t>. Mediante providencia de 7 de noviembre de 1995, la Sección Primera acordó admitir a trámite la cuestión registrada con el núm. 4.091/94;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 núm. 3.563/93 y otras ya acumuladas;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48</w:t>
      </w:r>
      <w:r>
        <w:t>. El Abogado del Estado, en virtud de escrito registrado de entrada en el Registro de este Tribunal el 1 de febrero de 1995, vierte sus alegaciones en el procedimiento de la cuestión núm. 4.091/94. En la medida de que, amén de solicitar la acumulación de esta cuestión con la núm. 3.563/93, y otras ya acumuladas, el citado escrito es mera reproducción del formulado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49</w:t>
      </w:r>
      <w:r>
        <w:t>. Mediante escrito registrado de entrada el 6 de febrero de 1995, el Presidente del Senado traslada el Acuerdo de la Mesa por el que se ruega se tenga por personada a la Cámara y ofrecida su colaboración a los efectos del art. 88.1 LOTC. Asimismo, en escrito presentado el 2 de febrero de 1995,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50</w:t>
      </w:r>
      <w:r>
        <w:t>. El escrito del Fiscal tuvo entrada en este Tribunal el día 30 de enero de 1995. Además de solicitar la acumulación de la presente cuestión a la registrada con el núm. 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51</w:t>
      </w:r>
      <w:r>
        <w:t xml:space="preserve">. El día 7 de agosto de 1995 tuvo entrada en el Registro de este Tribunal un escrito de la Sección Cuarta de la Sala de lo Contencioso-Administrativo del Tribunal Superior de Justicia de Cataluña, al que se acompaña, junto al testimonio del correspondiente procedimiento, el Auto de la referida Sala de 23 de junio de 1995,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lastRenderedPageBreak/>
        <w:t xml:space="preserve">A) Dicha cuestión de inconstitucionalidad trae causa del recurso contencioso- administrativo núm. 1445/92 planteado por "Opesa Internacional, S.A", contra las Resoluciones de 8 y 22 de mayo de 1992 del Tribunal Económico-Administrativo Regional de Cataluña, desestimatorias de la reclamaciones económico-administrativas instadas contra los Acuerdos de 12 de abril y 13 de mayo de 1991, dictados por el Departamento de Economía y Finanzas de la Generalitat de Cataluña, confirmatorios de las autoliquidaciones presentadas por la referida entidad en concepto de Gravamen Complementario de la Tasa Fiscal correspondiente al ejercicio 1990. Una vez concluso el procedimiento, la Sala, al amparo del art. 35.2 LOTC, acordó, mediante providencia de 17 de mayo de 1994,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"Opesa Internacional,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52</w:t>
      </w:r>
      <w:r>
        <w:t>. Mediante providencia de 12 de septiembre de 1995, la Sección Segunda acordó admitir a trámite la cuestión registrada con el núm. 3.039/95;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las admitidas a trámite núms. 3.563, 3.564, 3.565/93 y 100/94 (acumuladas), 799/94, 800/94, 1.661/94, 2.077/94, 2.589/94, 2.977/94, 3.057/94, 3.058/94, 3.497/94 y 4.091/94;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53</w:t>
      </w:r>
      <w:r>
        <w:t>. El Abogado del Estado, en virtud de escrito registrado de entrada en el Registro de este Tribunal el 29 de septiembre de 1995, vierte sus alegaciones en el procedimiento de la cuestión núm. 3.039/95. En la medida de que, amén de solicitar la acumulación de esta cuestión con la núm. 3.563/93, y otras ya acumuladas, el citado escrito es mera reproducción del formulado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54</w:t>
      </w:r>
      <w:r>
        <w:t>. Mediante escrito registrado de entrada el 21 de septiembre de 1995, el Presidente del Senado traslada el Acuerdo de la Mesa por el que se ruega se tenga por personada a la Cámara y ofrecida su colaboración a los efectos del art. 88.1 LOTC. Asimismo, en escrito presentado el 21 de septiembre de 1995,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55</w:t>
      </w:r>
      <w:r>
        <w:t xml:space="preserve">. El escrito del Fiscal tuvo entrada en este Tribunal el día 3 de octubre de 1995. Además de solicitar la acumulación de la presente cuestión a la registrada con el núm. </w:t>
      </w:r>
      <w:r>
        <w:lastRenderedPageBreak/>
        <w:t>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56</w:t>
      </w:r>
      <w:r>
        <w:t xml:space="preserve">. El día 7 de agosto de 1995 tuvo entrada en el Registro de este Tribunal un escrito de la Sección Cuarta de la Sala de lo Contencioso-Administrativo del Tribunal Superior de Justicia de Cataluña, al que se acompaña, junto al testimonio del correspondiente procedimiento, el Auto de la referida Sala de 30 de junio de 1995,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1.270/92 planteado por "Galcom, S.A", contra las Resoluciones de 21 de febrero y 20 de marzo de 1992 del Tribunal Económico-Administrativo Regional de Cataluña, desestimatorias de la reclamaciones económico-administrativas instadas contra los Acuerdos de 21 de marzo y 17 de abril de 1991, dictados por el Departamento de Economía y Finanzas de la Generalitat de Cataluña, confirmatorios de las autoliquidaciones presentadas por la referida entidad en concepto de Gravamen Complementario de la Tasa Fiscal correspondiente al ejercicio 1990. Una vez concluso el procedimiento, la Sala, al amparo del art. 35.2 LOTC, acordó, mediante providencia de 24 de mayo de 1995,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"Galcom,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57</w:t>
      </w:r>
      <w:r>
        <w:t>. Mediante providencia de 12 de septiembre de 1995, la Sección Primera acordó admitir a trámite la cuestión registrada con el núm. 3.040/95;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las admitidas a trámite núms. 3.563, 3.564, 3.565/93 y 100/94 (acumuladas), 799/94, 800/94, 1.661/94, 2.077/94, 2.589/94, 2.977/94, 3.057/94, 3.058/94, 3.497/94 y 4.091/94;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58</w:t>
      </w:r>
      <w:r>
        <w:t>. El Abogado del Estado, en virtud de escrito registrado de entrada en el Registro de este Tribunal el 29 de septiembre de 1995, vierte sus alegaciones en el procedimiento de la cuestión núm. 3.040/95. En la medida de que, amén de solicitar la acumulación de esta cuestión con la núm. 3.563/93, y otras ya acumuladas, el citado escrito es mera reproducción del formulado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59</w:t>
      </w:r>
      <w:r>
        <w:t>. Mediante escrito registrado de entrada el 21 de septiembre de 1995, el Presidente del Senado traslada el Acuerdo de la Mesa por el que se ruega se tenga por personada a la Cámara y ofrecida su colaboración a los efectos del art. 88.1 LOTC. Asimismo, en escrito presentado el 21 de septiembre de 1995,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60</w:t>
      </w:r>
      <w:r>
        <w:t>. El escrito del Fiscal tuvo entrada en este Tribunal el día 3 de octubre de 1995. Además de solicitar la acumulación de la presente cuestión a la registrada con el núm. 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61</w:t>
      </w:r>
      <w:r>
        <w:t xml:space="preserve">. El día 10 de octubre de 1995 tuvo entrada en el Registro de este Tribunal un escrito de la Sección Cuarta de la Sala de lo Contencioso-Administrativo del Tribunal Superior de Justicia de Cataluña, al que se acompaña, junto al testimonio del correspondiente procedimiento, el Auto de la referida Sala de 24 de julio de 1995, mediante el que se acuerda elevar a este Tribunal cuestión de inconstitucionalidad en relación con el art. 38.Dos de la Ley 5/1990, de 29 de junio, que crea un gravamen complementario de la tasa fiscal sobre los juegos de suerte, envite o azar para el año 1990, y el apartado A) del núm. 2 del art. 3.4 del Real Decreto-ley 16/1977, de 25 de febrero, por el que se regulan los aspectos penales, administrativos y fiscales de los juegos de suerte, envite o azar y apuestas, según la nueva redacción dada por la Ley 5/1990, por su posible contradicción con los arts. 9.3, 14, 31.1 y 38, todos de la C.E. </w:t>
      </w:r>
    </w:p>
    <w:p w:rsidR="006854DA" w:rsidRDefault="006854DA" w:rsidP="006854DA">
      <w:pPr>
        <w:pStyle w:val="TextoNormal"/>
      </w:pPr>
      <w:r>
        <w:t xml:space="preserve">A) Dicha cuestión de inconstitucionalidad trae causa del recurso contencioso- administrativo núm. 1.695/92 planteado por "Joctronic, S.A", contra las Resolución de 29 de junio de 1992 del Tribunal Económico-Administrativo Regional de Cataluña, desestimatoria de la reclamación económico-administrativa instada contra el Acuerdo dictado por el Departamento de Economía y Finanzas de la Generalitat de Cataluña, confirmatorio de las autoliquidaciones presentadas por la referida entidad en concepto de Gravamen Complementario de la Tasa Fiscal correspondiente al ejercicio 1990. Una vez concluso el procedimiento, la Sala, al amparo del art. 35.2 LOTC, acordó, mediante providencia de 28 de junio de 1995, oír a las partes y al Ministerio Fiscal por plazo de diez días acerca de la procedencia de plantear cuestión de inconstitucionalidad sobre el citado art. 38.Dos de la Ley 5/1990, en cuanto el mismo pudiera vulnerar los arts. 9.3, 14, 31.1 y 38 de la Constitución. Dentro del plazo conferido, la recurrente "Joctronic, S.A.", estimó oportuno elevar la correspondiente cuestión, pretensión a la que, por el contrario, se opusieron el Abogado del Estado, el Letrado de la Generalitat de Cataluña y el Ministerio Fiscal. </w:t>
      </w:r>
    </w:p>
    <w:p w:rsidR="006854DA" w:rsidRDefault="006854DA" w:rsidP="006854DA">
      <w:pPr>
        <w:pStyle w:val="TextoNormal"/>
      </w:pPr>
      <w:r>
        <w:lastRenderedPageBreak/>
        <w:t>B) El Auto de planteamiento de la cuestión es idéntico al elevado con ocasión de la cuestión núm. 799/94, cuyo contenido [apartado 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62</w:t>
      </w:r>
      <w:r>
        <w:t>. Mediante providencia de 7 de noviembre de 1995, la Sección Primera acordó admitir a trámite la cuestión registrada con el núm. 3.429/95;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oír a las partes para que, en igual plazo de traslado, expusieran lo que consideraran conveniente acerca de la acumulación de esta cuestión con las ya acumuladas y que fueron registradas con los núms. 3.563, 3.564 y 3.565/93, y 100/94;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63</w:t>
      </w:r>
      <w:r>
        <w:t>. El Abogado del Estado, en virtud de escrito registrado de entrada en el Registro de este Tribunal el 27 de noviembre de 1995, vierte sus alegaciones en el procedimiento de la cuestión núm. 3.429/95. En la medida de que, amén de solicitar la acumulación de esta cuestión con la núm. 3.563/93, y otras ya acumuladas, el citado escrito es mera reproducción del formulado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64</w:t>
      </w:r>
      <w:r>
        <w:t>. Mediante escrito registrado de entrada el 24 de noviembre de 1995, el Presidente del Senado traslada el Acuerdo de la Mesa por el que se ruega se tenga por personada a la Cámara y ofrecida su colaboración a los efectos del art. 88.1 LOTC. Asimismo, en escrito presentado el 23 de noviembre de 1995,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65</w:t>
      </w:r>
      <w:r>
        <w:t>. El escrito del Fiscal tuvo entrada en este Tribunal el día 23 de noviembre de 1995. Además de solicitar la acumulación de la presente cuestión a la registrada con el núm. 3.563/93,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66</w:t>
      </w:r>
      <w:r>
        <w:t xml:space="preserve">. El día 14 de diciembre de 1995 tuvo entrada en el Registro de este Tribunal un escrito de la Sala de lo Contencioso-Administrativo del Tribunal Superior de Justicia Canarias (Santa Cruz de Tenerife), al que se acompaña, junto al testimonio del correspondiente procedimiento, el Auto de la referida Sala de 18 de octubre de 1995, mediante el que se acuerda elevar a este Tribunal cuestión de inconstitucionalidad en relación con el art. 38.Dos de la Ley 5/1990, de 29 de junio, que crea un gravamen complementario de la tasa fiscal sobre los juegos de suerte, envite o azar para el año 1990, por su posible contradicción con el art. 9.3 de Constitución. </w:t>
      </w:r>
    </w:p>
    <w:p w:rsidR="006854DA" w:rsidRDefault="006854DA" w:rsidP="006854DA">
      <w:pPr>
        <w:pStyle w:val="TextoNormal"/>
      </w:pPr>
      <w:r>
        <w:t xml:space="preserve">A) Dicha cuestión de inconstitucionalidad trae causa del recurso contencioso- administrativo núm. 1.055/92 planteado por Don José Luis Gómez Herrera contra las Resolución de 28 de agosto de 1992 del Tribunal Económico-Administrativo Regional de Canarias, desestimatoria de las peticiones de condonación graciable de las sanciones impuestas al </w:t>
      </w:r>
      <w:r>
        <w:lastRenderedPageBreak/>
        <w:t xml:space="preserve">actor en liquidaciones practicadas en concepto de Gravamen Complementario de la Tasa Fiscal correspondiente al ejercicio 1990, con motivo de las Actas de la Inspección Regional Fiscal de la Consejería de Economía y Hacienda. Una vez concluso el procedimiento, la Sala, al amparo del art. 35.2 LOTC, acordó, mediante providencia de 27 de septiembre de 1995, oír a las partes y al Ministerio Fiscal por plazo de diez días acerca de la procedencia de plantear cuestión de inconstitucionalidad sobre el citado art. 38.Dos de la Ley 5/1990, en cuanto el mismo pudiera vulnerar los arts. 9.3 de la Constitución. Dentro del plazo conferido, el recurrente don José Luis Gómez Herrera y el Ministerio Fiscal estimaron oportuno elevar la correspondiente cuestión, pretensión a la que, por el contrario, se opuso el Abogado del Estado. </w:t>
      </w:r>
    </w:p>
    <w:p w:rsidR="006854DA" w:rsidRDefault="006854DA" w:rsidP="006854DA">
      <w:pPr>
        <w:pStyle w:val="TextoNormal"/>
      </w:pPr>
      <w:r>
        <w:t>B) El Auto de planteamiento de la cuestión es idéntico al elevado con ocasión de la cuestión núm. 3.497/94, cuyo contenido [apartado 41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67</w:t>
      </w:r>
      <w:r>
        <w:t>. Mediante providencia de 16 de enero de 1996, la Sección Segunda acordó admitir a trámite la cuestión registrada con el núm. 4.221/95;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68</w:t>
      </w:r>
      <w:r>
        <w:t>. El Abogado del Estado, en virtud de escrito registrado de entrada en el Registro de este Tribunal el 24 de enero de 1996, vierte sus alegaciones en el procedimiento de la cuestión núm. 4.221/95. En la medida de que, además de solicitar la acumulación de esta cuestión con la núm. 3.563/93 y acumuladas, el citado escrito reproduce lo que, en relación con la presunta vulneración de los principios de retroactividad y de seguridad jurídica (art. 9.3 C.E.), formuló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69</w:t>
      </w:r>
      <w:r>
        <w:t>. Mediante escrito registrado de entrada el 23 de enero de 1996, el Presidente del Senado traslada el Acuerdo de la Mesa por el que se ruega se tenga por personada a la Cámara y ofrecida su colaboración a los efectos del art. 88.1 LOTC. Asimismo, en escrito presentado el 29 de enero de 1996,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70</w:t>
      </w:r>
      <w:r>
        <w:t>. El escrito del Fiscal tuvo entrada en este Tribunal el día 23 de noviembre de 1995. Además de solicitar la acumulación de la presente cuestión a la registrada con el núm. 3.563/93 y otras a ella acumuladas,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71</w:t>
      </w:r>
      <w:r>
        <w:t xml:space="preserve">. El día 13 de junio de 1996 tuvo entrada en el Registro de este Tribunal un escrito de la Sala de lo Contencioso-Administrativo del Tribunal Superior de Justicia Canarias (Santa Cruz de Tenerife), al que se acompaña, junto al testimonio del correspondiente procedimiento, el Auto de la referida Sala de 18 de octubre de 1995, mediante el que se </w:t>
      </w:r>
      <w:r>
        <w:lastRenderedPageBreak/>
        <w:t xml:space="preserve">acuerda elevar a este Tribunal cuestión de inconstitucionalidad en relación con el art. 38.Dos de la Ley 5/1990, de 29 de junio, que crea un gravamen complementario de la tasa fiscal sobre los juegos de suerte, envite o azar para el año 1990, por su posible contradicción con el art. 9.3 de Constitución. </w:t>
      </w:r>
    </w:p>
    <w:p w:rsidR="006854DA" w:rsidRDefault="006854DA" w:rsidP="006854DA">
      <w:pPr>
        <w:pStyle w:val="TextoNormal"/>
      </w:pPr>
      <w:r>
        <w:t xml:space="preserve">A) Dicha cuestión de inconstitucionalidad trae causa del recurso contencioso- administrativo núm. 855/92 planteado por "Sistemas Técnicos de Consumo, S.A.", contra las Resolución de 29 de mayo de 1992 del Tribunal Económico-Administrativo Regional de Canarias, desestimatoria de la reclamación económico-administrativa instada contra el Acuerdo dictado por la Dirección General de Tributos de la Consejería de Hacienda del Gobierno de Canarias confirmatorio de las autoliquidaciones presentadas por la referida entidad en concepto de Gravamen Complementario de la Tasa Fiscal correspondiente al ejercicio 1990. Una vez concluso el procedimiento, la Sala, al amparo del art. 35.2 LOTC, acordó, mediante providencia oír a las partes y al Ministerio Fiscal por plazo de diez días acerca de la procedencia de plantear cuestión de inconstitucionalidad sobre el citado art. 38.Dos de la Ley 5/1990, en cuanto el mismo pudiera vulnerar los arts. 9.3 de la Constitución. Dentro del plazo conferido, la recurrente "Sistemas Técnicos de Consumo, S.A.", estimó oportuno elevar la correspondiente cuestión, pretensión a la que, por el contrario, se opuso el Abogado del Estado; por su parte, el Ministerio Fiscal evacuó dicho trámite manifestando que existían otras cuestiones de inconstitucionalidad de idéntico contenido admitidas a trámite, por lo que entendía que debía paralizarse el trámite del recurso hasta que este Tribunal decidiera sobra la cuestión. </w:t>
      </w:r>
    </w:p>
    <w:p w:rsidR="006854DA" w:rsidRDefault="006854DA" w:rsidP="006854DA">
      <w:pPr>
        <w:pStyle w:val="TextoNormal"/>
      </w:pPr>
      <w:r>
        <w:t>B) El Auto de planteamiento de la cuestión es idéntico al elevado con ocasión de la cuestión núm. 3.497/94, cuyo contenido [apartado 41 B) de estos Antecedentes] resulta pertinente dar aquí por reproducido.</w:t>
      </w:r>
    </w:p>
    <w:p w:rsidR="006854DA" w:rsidRDefault="006854DA" w:rsidP="006854DA">
      <w:pPr>
        <w:pStyle w:val="TextoNormal"/>
      </w:pPr>
    </w:p>
    <w:p w:rsidR="006854DA" w:rsidRDefault="006854DA" w:rsidP="006854DA">
      <w:pPr>
        <w:pStyle w:val="TextoNormal"/>
      </w:pPr>
      <w:r w:rsidRPr="006854DA">
        <w:rPr>
          <w:rStyle w:val="NumeroAFNegritaCaracter"/>
        </w:rPr>
        <w:t>72</w:t>
      </w:r>
      <w:r>
        <w:t>. Mediante providencia de 25 de junio de 1996, la Sección Cuarta acordó admitir a trámite la cuestión registrada con el núm. 2.418/96;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publicar la incoación de la cuestión en el Boletín Oficial del Estado.</w:t>
      </w:r>
    </w:p>
    <w:p w:rsidR="006854DA" w:rsidRDefault="006854DA" w:rsidP="006854DA">
      <w:pPr>
        <w:pStyle w:val="TextoNormal"/>
      </w:pPr>
    </w:p>
    <w:p w:rsidR="006854DA" w:rsidRDefault="006854DA" w:rsidP="006854DA">
      <w:pPr>
        <w:pStyle w:val="TextoNormal"/>
      </w:pPr>
      <w:r w:rsidRPr="006854DA">
        <w:rPr>
          <w:rStyle w:val="NumeroAFNegritaCaracter"/>
        </w:rPr>
        <w:t>73</w:t>
      </w:r>
      <w:r>
        <w:t>. El Abogado del Estado, en virtud de escrito registrado de entrada en el Registro de este Tribunal el 24 de enero de 1996, vierte sus alegaciones en el procedimiento de la cuestión núm. 4.221/95. En la medida de que, además de solicitar la acumulación de esta cuestión con la núm. 3.563/93 y acumuladas, y con la núm. 43/96, el citado escrito reproduce lo que, en relación con la presunta vulneración de los principios de retroactividad y de seguridad jurídica (art. 9.3 C.E.), formuló a propósito de la cuestión núm. 800/94, bastará con remitirse en este momento a lo expuesto en el apartado 3 de estos Antecedentes.</w:t>
      </w:r>
    </w:p>
    <w:p w:rsidR="006854DA" w:rsidRDefault="006854DA" w:rsidP="006854DA">
      <w:pPr>
        <w:pStyle w:val="TextoNormal"/>
      </w:pPr>
    </w:p>
    <w:p w:rsidR="006854DA" w:rsidRDefault="006854DA" w:rsidP="006854DA">
      <w:pPr>
        <w:pStyle w:val="TextoNormal"/>
      </w:pPr>
      <w:r w:rsidRPr="006854DA">
        <w:rPr>
          <w:rStyle w:val="NumeroAFNegritaCaracter"/>
        </w:rPr>
        <w:t>74</w:t>
      </w:r>
      <w:r>
        <w:t>. Mediante escrito registrado de entrada el 16 de julio de 1996, el Presidente del Senado traslada el Acuerdo de la Mesa por el que se ruega se tenga por personada a la Cámara y ofrecida su colaboración a los efectos del art. 88.1 LOTC. Asimismo, en escrito presentado el 2 de julio de 1996, el Presidente del Congreso de los Diputados comunica que, aun cuando la Cámara no se personará en el procedimiento ni formulará alegaciones, pone a disposición del Tribunal las actuaciones de aquélla que pueda precisar.</w:t>
      </w:r>
    </w:p>
    <w:p w:rsidR="006854DA" w:rsidRDefault="006854DA" w:rsidP="006854DA">
      <w:pPr>
        <w:pStyle w:val="TextoNormal"/>
      </w:pPr>
    </w:p>
    <w:p w:rsidR="006854DA" w:rsidRDefault="006854DA" w:rsidP="006854DA">
      <w:pPr>
        <w:pStyle w:val="TextoNormal"/>
      </w:pPr>
      <w:r w:rsidRPr="006854DA">
        <w:rPr>
          <w:rStyle w:val="NumeroAFNegritaCaracter"/>
        </w:rPr>
        <w:t>75</w:t>
      </w:r>
      <w:r>
        <w:t>. El escrito del Fiscal tuvo entrada en este Tribunal el día 23 de noviembre de 1995. Además de solicitar la acumulación de la presente cuestión a la registrada con el núm. 3.563/93 y otras a ella acumuladas, el representante del Ministerio Público se remite a lo expuesto en su anterior escrito de 26 de enero de 1994, cuyas consideraciones quedaron expuestas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76</w:t>
      </w:r>
      <w:r>
        <w:t>. Por Auto del Pleno, de 22 de abril de 1997, se acordó la acumulación de las Cuestiones de inconstitucionalidad núms. 800/94, 1.661/94, 2.077/94, 2.589/94, 2.977/94, 3.057/94, 3.058/94, 3.497/94, 4.091/94, 3.039/95, 3.040/95, 3.429/95, 4.221/95 y 2.418/96, a la registrada con el núm. 799/94.</w:t>
      </w:r>
    </w:p>
    <w:p w:rsidR="006854DA" w:rsidRDefault="006854DA" w:rsidP="006854DA">
      <w:pPr>
        <w:pStyle w:val="TextoNormal"/>
      </w:pPr>
    </w:p>
    <w:p w:rsidR="006854DA" w:rsidRDefault="006854DA" w:rsidP="006854DA">
      <w:pPr>
        <w:pStyle w:val="TextoNormal"/>
      </w:pPr>
      <w:r w:rsidRPr="006854DA">
        <w:rPr>
          <w:rStyle w:val="NumeroAFNegritaCaracter"/>
        </w:rPr>
        <w:t>77</w:t>
      </w:r>
      <w:r>
        <w:t>. Por providencia de fecha 6 de mayo de 1997, se acordó señalar, para deliberación y votación de la presente Sentencia, el día 8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0270E8">
        <w:rPr>
          <w:rStyle w:val="NumeroAFNegritaCaracter"/>
        </w:rPr>
        <w:t>Único.</w:t>
      </w:r>
      <w:r>
        <w:t xml:space="preserve"> La Sección Cuarta de la Sala de lo Contencioso-Administrativo del Tribunal Superior de Justicia de Cataluña, la Sala de lo Contencioso-Administrativo del Tribunal Superior de Justicia de Navarra y la Sala de lo Contencioso-Administrativo del</w:t>
      </w:r>
    </w:p>
    <w:p w:rsidR="006854DA" w:rsidRDefault="006854DA" w:rsidP="006854DA">
      <w:pPr>
        <w:pStyle w:val="TextoNormal"/>
      </w:pPr>
      <w:r>
        <w:t>Tribunal Superior de Justicia de Canarias (Santa Cruz de Tenerife), han planteado cuestiones de inconstitucionalidad respecto del art. 38.Dos. 2 de la Ley 5/1990, de 29 de junio, de medidas urgentes en materia presupuestaria, financiera y tributaria, que</w:t>
      </w:r>
    </w:p>
    <w:p w:rsidR="006854DA" w:rsidRDefault="006854DA" w:rsidP="006854DA">
      <w:pPr>
        <w:pStyle w:val="TextoNormal"/>
      </w:pPr>
      <w:r>
        <w:t>creó un gravamen complementario de la tasa fiscal sobre los juegos de suerte, envite o azar para el año 1990, en relación con el apartado A) del núm. 2 del art. 3.4 del Real Decreto-ley 16/1977, de 25 de febrero, por el que se regulan los aspectos</w:t>
      </w:r>
    </w:p>
    <w:p w:rsidR="006854DA" w:rsidRDefault="006854DA" w:rsidP="006854DA">
      <w:pPr>
        <w:pStyle w:val="TextoNormal"/>
      </w:pPr>
      <w:r>
        <w:t>penales, administrativos y fiscales de los juegos de suerte, envite o azar y apuestas, según la nueva redacción dada a dicho precepto por la Ley 5/1990, por presunta vulneración de los arts. 9.3, 14, 31.1 y 38 de la C.E.</w:t>
      </w:r>
    </w:p>
    <w:p w:rsidR="006854DA" w:rsidRDefault="006854DA" w:rsidP="006854DA">
      <w:pPr>
        <w:pStyle w:val="TextoNormal"/>
      </w:pPr>
      <w:r>
        <w:t>En la STC 173/1996 (B.O.E. de 3 de diciembre de 1996), resolutoria de las cuestiones de inconstitucionalidad núms. 3.563/93, 3.564/93, 3.565/93 y 100/94, dictada con posterioridad a la admisión de las cuestiones aquí acumuladas, este Tribunal ha declarado inconstitucional y por tanto nulo el citado art. 38.Dos. 2 de la Ley 5/1990, al entender que «ha llevado a cabo, retroactivamente, un aumento de la deuda tributaria que puede calificarse de no previsible y carente de la suficiente justificación, lo que conduce a estimar que en este caso se ha producido una vulneración del principio de seguridad jurídica garantizado en el art. 9.3 de la Constitución» (fundamento jurídico 5º).</w:t>
      </w:r>
    </w:p>
    <w:p w:rsidR="006854DA" w:rsidRDefault="006854DA" w:rsidP="006854DA">
      <w:pPr>
        <w:pStyle w:val="TextoNormal"/>
      </w:pPr>
      <w:r>
        <w:t>La declaración de inconstitucionalidad y nulidad contenida en el fallo de la STC 173/1996 produjo plenos efectos de cosa juzgada a partir de su publicación en el «Boletín Oficial del Estado» (arts. 164.1 C.E. y 38.1 LOTC) por lo que, al resultar expulsado del ordenamiento jurídico el precepto cuestionado y quedar resuelta en sentido estimatorio la duda de constitucionalidad aquí planteada, las cuestiones de inconstitucionalidad han perdido su objeto.</w:t>
      </w:r>
    </w:p>
    <w:p w:rsidR="006854DA" w:rsidRDefault="006854DA" w:rsidP="006854DA">
      <w:pPr>
        <w:pStyle w:val="TextoNormal"/>
      </w:pPr>
    </w:p>
    <w:p w:rsidR="006854DA" w:rsidRDefault="006854DA" w:rsidP="006854DA">
      <w:pPr>
        <w:pStyle w:val="TextoNormalCentrado"/>
        <w:keepNext/>
      </w:pPr>
      <w:r>
        <w:lastRenderedPageBreak/>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Declarar la desaparición sobrevenida del objeto de las cuestiones de inconstitucionalidad acumuladas núms. 799/94, 800/94, 1.661/94, 2.077/94, 2.589/94, 3.057/94, 3.058/94, 4.091/94, 3.039/95, 3.040/95, 3.429/95, promovidas por la Sección Cuarta de la Sala de lo Contencioso-Administrativo del Tribunal Superior de Justicia de Cataluña, 2.977/94, planteada por la Sala de lo Contencioso-Administrativo del Tribunal Superior de Justicia de Navarra, y 3.497/94, 4.221/95 y 2.418/1996, promovidas por la Sala de lo Contencioso-Administrativo del Tribunal Superior de Justicia de Canarias, respecto del art. 38.Dos.2 de la Ley 5/1990, de 29 de junio, que crea un gravamen complementario de la tasa fiscal sobre los juegos de suerte, envite o azar para el año 1990, y el apartado A) del núm. 2 del art. 3.4 del Real Decreto-ley 17/1977, de 25 de febrero, por el que se regulan los aspectos penales, administrativos y fiscales de los juegos de suerte envite o azar y apuestas, según la nueva redacción dada por la Ley 5/1990.</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ocho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8" w:name="SENTENCIA_1997_92"/>
      <w:r>
        <w:lastRenderedPageBreak/>
        <w:t>SENTENCIA 92/1997, de 8 de mayo de 1997</w:t>
      </w:r>
    </w:p>
    <w:bookmarkEnd w:id="8"/>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ECLI:ES:TC:1997:92</w:t>
      </w:r>
    </w:p>
    <w:p w:rsidR="006854DA" w:rsidRDefault="006854DA" w:rsidP="006854DA">
      <w:pPr>
        <w:pStyle w:val="SntesisDescriptiva"/>
      </w:pPr>
    </w:p>
    <w:p w:rsidR="006854DA" w:rsidRDefault="006854DA" w:rsidP="006854DA">
      <w:pPr>
        <w:pStyle w:val="SntesisDescriptiva"/>
      </w:pPr>
      <w:r>
        <w:t>Recurso de amparo 152/1995. Contra Sentencia de la Audiencia Provincial de San Sebastián dictada en apelación condenando al recurente como responsable de un delito de contrabando.</w:t>
      </w:r>
    </w:p>
    <w:p w:rsidR="006854DA" w:rsidRDefault="006854DA" w:rsidP="006854DA">
      <w:pPr>
        <w:pStyle w:val="SntesisDescriptiva"/>
      </w:pPr>
    </w:p>
    <w:p w:rsidR="006854DA" w:rsidRDefault="006854DA" w:rsidP="006854DA">
      <w:pPr>
        <w:pStyle w:val="SntesisAnaltica"/>
      </w:pPr>
      <w:r>
        <w:t>Vulneración del derecho a un proceso con todas las garantías: indefensión imputable al órgano judicial.</w:t>
      </w:r>
    </w:p>
    <w:p w:rsidR="006854DA" w:rsidRDefault="006854DA" w:rsidP="006854DA">
      <w:pPr>
        <w:pStyle w:val="SntesisAnaltica"/>
      </w:pPr>
    </w:p>
    <w:p w:rsidR="006854DA" w:rsidRDefault="006854DA" w:rsidP="006854DA">
      <w:pPr>
        <w:pStyle w:val="Extracto"/>
      </w:pPr>
      <w:r>
        <w:t>1.</w:t>
      </w:r>
      <w:r>
        <w:tab/>
        <w:t>Como ha declarado este Tribunal en múltiples ocasiones, el haber sido parte en el proceso antecedente no es suficiente para comparecer como parte actora en el recurso de amparo, sino que es necesario que concurra la exigencia del art. 162.1 b) de la Constitución, consistente en poseer un interés legítimo, propio y específico, supuesto que no se da en el primer recurrente [F.J. 1].</w:t>
      </w:r>
    </w:p>
    <w:p w:rsidR="006854DA" w:rsidRDefault="006854DA" w:rsidP="006854DA">
      <w:pPr>
        <w:pStyle w:val="Extracto"/>
      </w:pPr>
    </w:p>
    <w:p w:rsidR="006854DA" w:rsidRDefault="006854DA" w:rsidP="006854DA">
      <w:pPr>
        <w:pStyle w:val="Extracto"/>
      </w:pPr>
      <w:r>
        <w:t>2.</w:t>
      </w:r>
      <w:r>
        <w:tab/>
        <w:t>Por el contrario, no cabe duda de la legitimación en este proceso constitucional de la esposa del anterior, a pesar de que, a diferencia de lo que ocurría con su esposo, no fue parte en el proceso judicial previo. Esto es así porque precisamente en el hecho de no haber adquirido la condición de parte se centra la queja esgrimida, que invoca el derecho fundamental a la no indefensión del art. 24.1 C.E. (SSTC 4/1982, 46/1982, 86/1984, 83/1985, 67/1986 y 38/1987, entre otras [F.J.1].</w:t>
      </w:r>
    </w:p>
    <w:p w:rsidR="006854DA" w:rsidRDefault="006854DA" w:rsidP="006854DA">
      <w:pPr>
        <w:pStyle w:val="Extracto"/>
      </w:pPr>
    </w:p>
    <w:p w:rsidR="006854DA" w:rsidRDefault="006854DA" w:rsidP="006854DA">
      <w:pPr>
        <w:pStyle w:val="Extracto"/>
      </w:pPr>
      <w:r>
        <w:t>3.</w:t>
      </w:r>
      <w:r>
        <w:tab/>
        <w:t>De la configuración del comiso como una sanción penal accesoria, en el ordenamiento penal vigente en el momento de los hechos, se derivaba, debido a las exigencias del principio de culpabilidad, entre otras consecuencias, la de que sólo podría imponerse al sujeto responsable del ilícito penal y, por ello, exclusivamente respecto a los instrumentos de su propiedad. En modo alguno, como precisaban los preceptos transcritos, podrían ser decomisados los instrumentos del delito que, aun habiendo sido utilizados para la comisión del mismo, pertenecieran a un tercero no responsable de la infracción penal. Sin embargo, el proceso penal en cuestión nunca se dirigió contra la esposa, frente a la cual no se ejercitó acción penal alguna, no siendo siquiera llamada a declarar como testigo. De ahí la indefensión que alega haber padecido y que, a la vista de lo expuesto, debe reconocerse en esta sede como violación del derecho a un proceso con todas las garantías (art. 24.2 C.E.). Al disponer la Sentencia impugnada el comiso de los vehículos propiedad de la recurrente, le impuso, «de facto», una pena sin previa acusación, sin sometimiento al principio de contradicción y, además, sin que quedara acreditada ni fuera declarada en la Sentencia su participación penal en los hechos enjuiciados, presupuesto necesario, según la legislación penal entonces vigente, para el comiso de los instrumentos del delito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lastRenderedPageBreak/>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152/95, interpuesto por don José María Goenaga Larrañaga y doña María Jesús Iturbe Usabiaga, a quienes representa el Procurador de los Tribunales don Santos de Gandarillas Carmona, y defiende el Letrado señor Ruiz del Cerro, contra la Sentencia de 16 de diciembre de 1994, dictada por la Sección Tercera de la Audiencia Provincial de San Sebastián en el rollo de apelación núm. 3.186/94. Han intervenido el Ministerio Fiscal y el Abogado del Estado. Ha sido Ponente el Magistrado don Manuel Jiménez de Parga y Cabrera,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demanda presentada en el Registro General de este Tribunal el 16 de enero de 1995, el Procurador de los Tribunales don Santos de Gandarillas Carmona, en nombre y representación de don José María Goenaga Larrañaga y doña María Jesús Iturbe Usabiaga, interpuso recurso de amparo contra la Sentencia de la que se ha hecho mención en el encabezamiento.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presente recurso trae causa en los siguientes hechos: </w:t>
      </w:r>
    </w:p>
    <w:p w:rsidR="006854DA" w:rsidRDefault="006854DA" w:rsidP="006854DA">
      <w:pPr>
        <w:pStyle w:val="TextoNormal"/>
      </w:pPr>
      <w:r>
        <w:t xml:space="preserve">a) El Servicio de Vigilancia Aduanera sorprendió a José María Goenaga cuando había entrado en un almacén conduciendo el vehículo matrícula SS-0992-AH. En este lugar, la Policía interviene, además, el automóvil matrícula SS-5683-AH, así como una importante cantidad de cajas de tabaco. A consecuencia de ello, el Juzgado de Instrucción núm. 4 de San Sebastián incoó diligencias previas núm. 1.105/92, imputando al ahora recurrente la comisión de un presunto delito de contrabando. </w:t>
      </w:r>
    </w:p>
    <w:p w:rsidR="006854DA" w:rsidRDefault="006854DA" w:rsidP="006854DA">
      <w:pPr>
        <w:pStyle w:val="TextoNormal"/>
      </w:pPr>
      <w:r>
        <w:t xml:space="preserve">b) El 26 de mayo de 1992, la representación procesal de José María Goenaga presentó escrito solicitando la devolución de los mencionados vehículos a la esposa del recurrente, María Jesús Iturbe Usabiaga, por ser ésta la propietaria de los mismos, figurando ambos a su nombre en el permiso de circulación. </w:t>
      </w:r>
    </w:p>
    <w:p w:rsidR="006854DA" w:rsidRDefault="006854DA" w:rsidP="006854DA">
      <w:pPr>
        <w:pStyle w:val="TextoNormal"/>
      </w:pPr>
      <w:r>
        <w:t xml:space="preserve">c) El Juzgado de Instrucción dictó Auto el 8 de junio de 1992 accediendo a lo solicitado respecto al vehículo matrícula SS-0992-AH, por tratarse de un "instrumento accidental" del delito que se investigaba, y denegándolo respecto del vehículo matrícula SS-5683-AH, por tener éste la consideración de "instrumento esencial del ilícito". </w:t>
      </w:r>
    </w:p>
    <w:p w:rsidR="006854DA" w:rsidRDefault="006854DA" w:rsidP="006854DA">
      <w:pPr>
        <w:pStyle w:val="TextoNormal"/>
      </w:pPr>
      <w:r>
        <w:t>d) Contra dicho Auto, José María Goenaga, por medio de su representación procesal, formuló recurso de reforma, que fue estimado parcialmente (Auto de 24 de septiembre de 1992). Se acuerda mantener la consideración de "instrumento esencial" del automóvil SS-</w:t>
      </w:r>
      <w:r>
        <w:lastRenderedPageBreak/>
        <w:t xml:space="preserve">5683-AH, pero restituyéndolo a su propietaria, "si bien en calidad de depositaria, con las advertencias del art. 1409 L.E.C. hasta la resolución del procedimiento en que se acordará de manera definitiva sobre el mismo". </w:t>
      </w:r>
    </w:p>
    <w:p w:rsidR="006854DA" w:rsidRDefault="006854DA" w:rsidP="006854DA">
      <w:pPr>
        <w:pStyle w:val="TextoNormal"/>
      </w:pPr>
      <w:r>
        <w:t xml:space="preserve">e) El 11 de febrero de 1993, el Ministerio Fiscal presentó escrito de acusación solicitando, entre otros extremos, la condena de José María Goenaga como autor de un delito de contrabando y el comiso de una serie de efectos, entre ellos, los vehículos inicialmente aprehendidos, "objetos, todos ellos, propiedad de los acusados, aunque estén inscritos a nombre de titulares fiduciarios". El Sr. Goenaga en su escrito de defensa solicitaba la absolución sin hacer referencia alguna al comiso de los vehículos. </w:t>
      </w:r>
    </w:p>
    <w:p w:rsidR="006854DA" w:rsidRDefault="006854DA" w:rsidP="006854DA">
      <w:pPr>
        <w:pStyle w:val="TextoNormal"/>
      </w:pPr>
      <w:r>
        <w:t xml:space="preserve">f) El 11 de mayo de 1994, el Juzgado de lo Penal núm. 3 de San Sebastián dictó Sentencia en la que absolvía a todos los acusados, dejando sin efecto la medida de comiso decretada. </w:t>
      </w:r>
    </w:p>
    <w:p w:rsidR="006854DA" w:rsidRDefault="006854DA" w:rsidP="006854DA">
      <w:pPr>
        <w:pStyle w:val="TextoNormal"/>
      </w:pPr>
      <w:r>
        <w:t>g) Contra esta resolución el Ministerio Fiscal y el Abogado del Estado interpusieron sendos recursos de apelación, solicitando el primero de ellos expresamente el comiso de los vehículos. La Sección Tercera de la Audiencia Provincial de San Sebastián, en Sentencia de 16 de diciembre de 1994, estimaba parcialmente los recursos y condenaba a José María Goenaga Larrañaga, como responsable en concepto de autor de un delito de contrabando del núm. 3 del art. 1 de la Ley 7/1982, a la pena de dos años, cuatro meses y un día de prisión menor y multa de 65.000.000 pesetas, fijando en seis meses el arresto sustitutorio, debiendo indemnizar al Estado en 59.235.676 pesetas. Decidía asimismo el comiso del tabaco aprehendido y de los vehículos matrículas SS-5683-AH y SS-0992-AH.</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Según la demanda de amparo, que se dirige contra esta Sentencia de la Audiencia Provincial de San Sebastián, los vehículos decomisados nunca fueron propiedad de José María Goenaga, sino de su esposa María Jesús Iturbe; propiedad que durante la tramitación del procedimiento nunca fue cuestionada, sino que incluso fue expresamente reconocida en el Auto del Juzgado de Instrucción núm. 4 de San Sebastián, de 8 de junio de 1982. En ningún momento del proceso se habría insinuado siquiera que la actora tuviera participación alguna en los hechos imputados, no dirigiéndose contra ella la acusación, ni habiendo sido llamada a declarar. </w:t>
      </w:r>
    </w:p>
    <w:p w:rsidR="006854DA" w:rsidRDefault="006854DA" w:rsidP="006854DA">
      <w:pPr>
        <w:pStyle w:val="TextoNormal"/>
      </w:pPr>
      <w:r>
        <w:t>La imposición a María Jesús Iturbe de la pena accesoria de comiso supuso, según los quejosos, la lesión del derecho a la tutela judicial efectiva, al ser acordada sin razonamiento ni justificación alguna, con el resultado de indefensión proscrita en el art. 24.1 C.E. La esposa habría resultado condenada sin haber sido citada, ni acusada y ni siquiera mencionada en la resolución condenatoria.</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Por providencia de 12 de septiembre de 1995, la Sección Segunda de este Tribunal acordó la admisión a trámite de la demanda de amparo y, a tenor de lo dispuesto en el art. 51 LOTC, requerir atentamente al Juzgado de lo Penal núm. 3 de San Sebastián y a la Audiencia Provincial de dicha capital la remisión, respectivamente, del testimonio del procedimiento abreviado núm. 347/93 y del rollo de Sala núm. 3.186/94, interesándose al propio tiempo el emplazamiento de quienes fueron parte en el mencionado procedimiento, con excepción del recurrente, para que en el plazo de diez días pudieran comparecer en este proceso constitucional. </w:t>
      </w:r>
    </w:p>
    <w:p w:rsidR="006854DA" w:rsidRDefault="006854DA" w:rsidP="006854DA">
      <w:pPr>
        <w:pStyle w:val="TextoNormal"/>
      </w:pPr>
      <w:r>
        <w:t xml:space="preserve">Asimismo se acordó formar la oportuna pieza separada de suspensión, concediendo un plazo común de tres días al Ministerio Fiscal y a los solicitantes de amparo para que formularan las alegaciones que estimaran pertinentes respecto a la suspensión solicitada. Evacuado dicho trámite por ambas partes, la Sala Primera dictó Auto, el 2 de octubre de </w:t>
      </w:r>
      <w:r>
        <w:lastRenderedPageBreak/>
        <w:t>1995, por el que se acordó la suspensión de la ejecución de la Sentencia impugnada en lo referente a la pena de comiso de los vehículos SS-5683-AH y SS-0992-AH, propiedad de María Jesús Iturbe Usabiaga.</w:t>
      </w:r>
    </w:p>
    <w:p w:rsidR="006854DA" w:rsidRDefault="006854DA" w:rsidP="006854DA">
      <w:pPr>
        <w:pStyle w:val="TextoNormal"/>
      </w:pPr>
    </w:p>
    <w:p w:rsidR="006854DA" w:rsidRDefault="006854DA" w:rsidP="006854DA">
      <w:pPr>
        <w:pStyle w:val="TextoNormal"/>
      </w:pPr>
      <w:r w:rsidRPr="006854DA">
        <w:rPr>
          <w:rStyle w:val="NumeroAFNegritaCaracter"/>
        </w:rPr>
        <w:t>5</w:t>
      </w:r>
      <w:r>
        <w:t>. El 23 de octubre de 1995, la Sección Segunda dictó providencia teniendo por recibidos los testimonios de las actuaciones requeridas, así como el escrito del Abogado del Estado, a quien se le tiene por personado y parte en el proceso. A tenor de lo dispuesto en el art. 52 LOTC, se acordó dar vista de las actuaciones, por plazo común de veinte días, al Ministerio Fiscal, al Abogado del Estado y a los solicitantes de amparo, para que en dicho término pudieran presentar las alegaciones que a su derecho conviniesen.</w:t>
      </w:r>
    </w:p>
    <w:p w:rsidR="006854DA" w:rsidRDefault="006854DA" w:rsidP="006854DA">
      <w:pPr>
        <w:pStyle w:val="TextoNormal"/>
      </w:pPr>
    </w:p>
    <w:p w:rsidR="006854DA" w:rsidRDefault="006854DA" w:rsidP="006854DA">
      <w:pPr>
        <w:pStyle w:val="TextoNormal"/>
      </w:pPr>
      <w:r w:rsidRPr="006854DA">
        <w:rPr>
          <w:rStyle w:val="NumeroAFNegritaCaracter"/>
        </w:rPr>
        <w:t>6</w:t>
      </w:r>
      <w:r>
        <w:t>. El 6 de noviembre de 1995 tuvo entrada en el Registro General de este Tribunal el escrito de alegaciones de los solicitantes de amparo, en el que se subraya que María Jesús Iturbe es la única propietaria de los vehículos decomisados, titularidad sobradamente acreditada en autos, sin que ella hubiera tenido participación alguna en el proceso penal que concluyó con la Sentencia impugnada, y habiéndole sido previamente devueltos los vehículos por el Juzgado de Instrucción núm. 4 de San Sebastián, sin advertencia alguna. Se reitera la denuncia de la lesión del derecho a la tutela judicial efectiva con el resultado de indefensión proscrito en el art. 24.1 C.E.</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El Abogado del Estado presentó su escrito de alegaciones el 17 de noviembre de 1995, en el que comienza delimitando el objeto del amparo. Éste se dirige exclusivamente contra el comiso decretado en la Sentencia impugnada y no contra el resto de los pronunciamientos que ésta contiene. Ello determinaría la falta de legitimación de José María Goenaga como recurrente en amparo, dado que, según la demanda, los vehículos decomisados serían propiedad exclusiva de su esposa. </w:t>
      </w:r>
    </w:p>
    <w:p w:rsidR="006854DA" w:rsidRDefault="006854DA" w:rsidP="006854DA">
      <w:pPr>
        <w:pStyle w:val="TextoNormal"/>
      </w:pPr>
      <w:r>
        <w:t>Así delimitado el amparo, entiende el Abogado del Estado que debe denegarse. Las actuaciones mostrarían que el comiso fue acordado porque la instrucción sumarial había demostrado que el vehículo fue instrumento esencial del delito de contrabando, como precisaría el Auto del Juzgado de Instrucción núm. 4 de San Sebastián, de 8 de junio de 1992; que el defensor de José María Goenaga manifestó la pertenencia del vehículo a la esposa de éste, pero silenciado este dato en el escrito de apelación y en la vista celebrada luego. Ello demostraría que hubo debate sobre el comiso acordado, pudiendo afirmarse, con base en las actuaciones, que María Jesús Iturbe conoció en todo momento los hechos, ya que incluso recibió el vehículo SS-5683- AH en depósito. Sin embargo, no intentó ningún remedio en la vía judicial, pretendiendo ahora acceder al amparo pese a su pasividad y con olvido del carácter subsidiario del recurso. El Abogado del Estado solicita la desestimación del amparo solicitado.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24 de noviembre de 1995 fue presentada la alegación del Fiscal ante el Tribunal Constitucional. Comienza el Fiscal puntualizando la naturaleza jurídica del comiso, que ha de ser considerado, en general y de acuerdo con el art. 48 C.P., como una pena accesoria no imperativa, lo que implica que su imposición no cabe de manera implícita o indirecta, siendo necesaria la motivación de su adopción. Sin embargo, en el presente caso el órgano judicial no explicó en la Sentencia impugnada la imposición de la pena de comiso solicitada por el Fiscal, no apareciendo siquiera en los hechos probados ni en los fundamentos jurídicos referencia alguna a los vehículos que se decomisaban en la parte dispositiva de la </w:t>
      </w:r>
      <w:r>
        <w:lastRenderedPageBreak/>
        <w:t>Sentencia, ni en su momento se dio, a la persona a cuyo nombre figuraba en Tráfico los vehículos, intervención alguna en el proceso. En tales circunstancias, estima el Ministerio Público, "la imposición de la pena de comiso -con independencia de que haya sido solicitada por el Ministerio Fiscal y de que puedan existir motivos para entender fundada tal acusación en la efectiva pertenencia de los coches al acusado, Sr. Goenaga-, no está justificada constitucionalmente y lesiona el derecho a la tutela judicial efectiva del art. 24.1 C.E. al carecer de motivación la condena, de un lado, y al haber causado indefensión, de otro, a la persona a cuyo nombre se encuentran matriculados los vehículos". Sin embargo, dados los términos en que se plantea la demanda, no es José María Goenaga, condenado en la Sentencia impugnada, quien está legitimado para interponer recurso de amparo, sino su esposa, a quien se habría inferido la lesión constitucional analizada. Concluye el Fiscal solicitando el otorgamiento de amparo y que se anule la Sentencia impugnada "únicamente en el extremo de la condena a la pena accesoria de comiso de los vehículos ya citados arriba, por falta de motivación y por indefensión de la supuesta propietaria o titular de los instrumentos decomisados, para que, restablecido el proceso al momento anterior al acto del juicio oral, se haga el ofrecimiento de acciones a doña María Jesús Iturbe Usabiaga y, tras la celebración del juicio, se dicte Sentencia en este punto respetando el derecho a la tutela judicial efectiva del art. 24.1 C.E."</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7 de mayo de 1997, se señaló para la deliberación y votación de la presente Sentencia el siguiente día 8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Antes de entrar en el fondo del asunto planteado en el presente recurso de amparo, es necesario examinar la alegación del Abogado del Estado relativa a la falta de legitimación activa de don José María Goenaga Larrañaga.</w:t>
      </w:r>
    </w:p>
    <w:p w:rsidR="006854DA" w:rsidRDefault="006854DA" w:rsidP="006854DA">
      <w:pPr>
        <w:pStyle w:val="TextoNormal"/>
      </w:pPr>
      <w:r>
        <w:t>Dicha objeción ha de ser aceptada. La demanda de amparo se dirige contra la Sentencia de 16 de diciembre de 1994 dictada por la Sección Tercera de la Audiencia Provincial de San Sebastián. En ella se condenaba al Sr. Goenaga como autor penalmente responsable de un delito de contrabando. Este quejoso fue, pues, parte en el proceso judicial previo que concluyó con la resolución impugnada. Sin embargo, como ha declarado este Tribunal en múltiples ocasiones (SSTC 258/1988, 25/1989, 123/1989, 25/1990, 47/1990, 293/1994, AATC 558/1983, 524/1984, 134/1985, 1.151/1988, entre otras), el haber sido parte en el proceso antecedente no es suficiente para comparecer como parte actora en el recurso de amparo, sino que es necesario que concurra la exigencia del art.  162.1 b) de la Constitución, consistente en poseer un interés legítimo, propio y específico. Las pretensiones deducidas por los recurrentes y los argumentos que en su apoyo esgrime la demanda de amparo demuestran por sí mismos la falta de legitimación activa de José María Goenaga por carecer de un interés legítimo en la reparación de los derechos fundamentales que se invocan como vulnerados. Si bien el marido resultó condenado en la Sentencia recurrida, de ésta tan sólo se impugna el pronunciamiento relativo al comiso de los automóviles, cuya propietaria, se afirma en la demanda y así se reconoce en el Auto del Juzgado de Instrucción núm. 4 de San Sebastián de 8 de junio de 1992, es exclusivamente doña María Jesús Iturbe. El pronunciamiento judicial combatido afecta sólo a esta última.</w:t>
      </w:r>
    </w:p>
    <w:p w:rsidR="006854DA" w:rsidRDefault="006854DA" w:rsidP="006854DA">
      <w:pPr>
        <w:pStyle w:val="TextoNormal"/>
      </w:pPr>
      <w:r>
        <w:t xml:space="preserve">Por el contrario, no cabe duda de la legitimación en este proceso constitucional de doña María Jesús Iturbe Usabiaga, a pesar de que, a diferencia de lo que ocurría con su esposo, </w:t>
      </w:r>
      <w:r>
        <w:lastRenderedPageBreak/>
        <w:t>no fue parte en el proceso judicial previo. Esto es así porque precisamente en el hecho de no haber adquirido la condición de parte se centra la queja esgrimida, que invoca el derecho fundamental a la no indefensión del art. 24.1 C.E.  (SSTC 4/1982, 46/1982, 86/1984, 83/1985, 67/1986, 38/1987, entre otras). Ahora bien, en puridad, la supuesta vulneración que se reprocha a la resolución judicial debe ser reconducida, con el fin de dar una más correcta respuesta sobre el fondo de la pretensión (STC 22/1997, fundamento jurídico 2º), al derecho fundamental a un proceso con todas las garantías reconocido en el art. 24.2 C.E.</w:t>
      </w:r>
    </w:p>
    <w:p w:rsidR="006854DA" w:rsidRDefault="006854DA" w:rsidP="006854DA">
      <w:pPr>
        <w:pStyle w:val="TextoNormal"/>
      </w:pPr>
    </w:p>
    <w:p w:rsidR="006854DA" w:rsidRDefault="006854DA" w:rsidP="006854DA">
      <w:pPr>
        <w:pStyle w:val="TextoNormal"/>
      </w:pPr>
      <w:r w:rsidRPr="006854DA">
        <w:rPr>
          <w:rStyle w:val="NumeroAFNegritaCaracter"/>
        </w:rPr>
        <w:t>2</w:t>
      </w:r>
      <w:r>
        <w:t>. Despejada la cuestión relativa a la legitimación de los recurrentes y delimitado el objeto del proceso de amparo, procede entrar en el fondo del tema planteado.</w:t>
      </w:r>
    </w:p>
    <w:p w:rsidR="006854DA" w:rsidRDefault="006854DA" w:rsidP="006854DA">
      <w:pPr>
        <w:pStyle w:val="TextoNormal"/>
      </w:pPr>
      <w:r>
        <w:t>La quejosa impugna la Sentencia en cuanto decreta el comiso de los vehículos de su propiedad, matrículas SS-5683-AH y SS-0992-AH. Tal pena se habría impuesto -dice- sin razonamiento que la justifique y sin que hubiera quedado acreditada su participación en los hechos enjuiciados. Contra ella no se dirigió acusación alguna a lo largo del proceso, durante el cual ni siquiera fue llamada a declarar como testigo. Esto habría supuesto la lesión del derecho a la tutela judicial efectiva con el resultado de indefensión proscrito en el art. 24.1 C.E.</w:t>
      </w:r>
    </w:p>
    <w:p w:rsidR="006854DA" w:rsidRDefault="006854DA" w:rsidP="006854DA">
      <w:pPr>
        <w:pStyle w:val="TextoNormal"/>
      </w:pPr>
    </w:p>
    <w:p w:rsidR="006854DA" w:rsidRDefault="006854DA" w:rsidP="006854DA">
      <w:pPr>
        <w:pStyle w:val="TextoNormal"/>
      </w:pPr>
      <w:r w:rsidRPr="006854DA">
        <w:rPr>
          <w:rStyle w:val="NumeroAFNegritaCaracter"/>
        </w:rPr>
        <w:t>3</w:t>
      </w:r>
      <w:r>
        <w:t>. El art. 27 del Código Penal, vigente en el momento de los hechos y de su enjuiciamiento, conceptuaba el comiso como una pena accesoria, estableciendo su art.  48 que "toda pena que se impusiese por delito o falta llevará consigo la pérdida de los efectos que de ellos provinieren y de los efectos con que se hubieren ejecutado. Los unos y los otros serán decomisados a no ser que pertenecieren a un tercero no responsable del delito". Por su parte, la Ley Orgánica 7/1982, de Contrabando, preceptuaba en su art. 5 lo siguiente: "Toda pena que se impusiese por un delito de contrabando llevará consigo el comiso de los siguientes bienes y efectos: ... 3º Los medios de transporte con que se lleve a efecto la comisión del delito, siempre que no pertenezcan a tercero que no haya tenido participación en éste".</w:t>
      </w:r>
    </w:p>
    <w:p w:rsidR="006854DA" w:rsidRDefault="006854DA" w:rsidP="006854DA">
      <w:pPr>
        <w:pStyle w:val="TextoNormal"/>
      </w:pPr>
      <w:r>
        <w:t>De la configuración del comiso como una sanción penal accesoria, en el ordenamiento penal citado, se derivaba, debido a las exigencias del principio de culpabilidad, entre otras consecuencias, la de que sólo podría imponerse al sujeto responsable del ilícito penal y, por ello, exclusivamente respecto a los instrumentos de su propiedad. En modo alguno, como precisaban los preceptos transcritos, podrían ser decomisados los instrumentos del delito que, aún habiendo sido utilizados para la comisión del mismo, pertenecieran a un tercero no responsable de la infracción penal.</w:t>
      </w:r>
    </w:p>
    <w:p w:rsidR="006854DA" w:rsidRDefault="006854DA" w:rsidP="006854DA">
      <w:pPr>
        <w:pStyle w:val="TextoNormal"/>
      </w:pPr>
      <w:r>
        <w:t>Sin embargo, el proceso penal en cuestión -como hemos dicho- nunca se dirigió contra la esposa, frente a la cual no se ejercitó acción penal alguna, no siendo siquiera llamada a declarar como testigo. De ahí la indefensión que alega haber padecido y que, a la vista de lo expuesto, debe reconocerse en esta sede como violación del derecho a un proceso con todas las garantías (art. 24.2 C.E.). Al disponer la Sentencia impugnada el comiso de los vehículos propiedad de la recurrente, le impuso, de facto, una pena sin previa acusación, sin sometimiento al principio de contradicción y, además, sin que quedara acreditada ni fuera declarada en la Sentencia su participación penal en los hechos enjuiciados, presupuesto necesario, según la legislación penal entonces vigente, para el comiso de los instrumentos del delito.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4</w:t>
      </w:r>
      <w:r>
        <w:t>. Procede, pues, la anulación de la Sentencia impugnada únicamente en el extremo de la condena a la pena accesoria de comiso de los vehículos ya citados, sin que quepa la retroacción de las actuaciones interesada por el Fiscal. Según se ha subrayado, el comiso tenía -y tiene- la consideración de sanción penal accesoria, cuya imposición exige la previa declaración de la responsabilidad penal de la propietaria de los bienes en cuestión.</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A) Otorgar el amparo solicitado por doña María Jesús Iturbe Usabiaga y, en consecuencia:</w:t>
      </w:r>
    </w:p>
    <w:p w:rsidR="006854DA" w:rsidRDefault="006854DA" w:rsidP="006854DA">
      <w:pPr>
        <w:pStyle w:val="TextoNormal"/>
      </w:pPr>
      <w:r>
        <w:t>1º Reconocer el derecho de la recurrente a un proceso con todas las garantías, reconocido en el art. 24.2 C.E.</w:t>
      </w:r>
    </w:p>
    <w:p w:rsidR="006854DA" w:rsidRDefault="006854DA" w:rsidP="006854DA">
      <w:pPr>
        <w:pStyle w:val="TextoNormal"/>
      </w:pPr>
      <w:r>
        <w:t>2º Declarar la nulidad parcial de la Sentencia de 16 de diciembre de 1994, dictada por la Sección Tercera de la Audiencia Provincial de San Sebastián en el Rollo de Apelación 3/86/94; concretamente nulidad respecto al pronunciamiento relativo al comiso de los vehículos matrículas SS-5683-AH y SS-0992-AH.</w:t>
      </w:r>
    </w:p>
    <w:p w:rsidR="006854DA" w:rsidRDefault="006854DA" w:rsidP="006854DA">
      <w:pPr>
        <w:pStyle w:val="TextoNormal"/>
      </w:pPr>
      <w:r>
        <w:t>B. Desestimar la demanda de don José María Goenaga Larrañaga por carecer éste de legitimación activa en el presente proceso.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ocho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9" w:name="SENTENCIA_1997_93"/>
      <w:r>
        <w:lastRenderedPageBreak/>
        <w:t>SENTENCIA 93/1997, de 8 de mayo de 1997</w:t>
      </w:r>
    </w:p>
    <w:bookmarkEnd w:id="9"/>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ECLI:ES:TC:1997:93</w:t>
      </w:r>
    </w:p>
    <w:p w:rsidR="006854DA" w:rsidRDefault="006854DA" w:rsidP="006854DA">
      <w:pPr>
        <w:pStyle w:val="SntesisDescriptiva"/>
      </w:pPr>
    </w:p>
    <w:p w:rsidR="006854DA" w:rsidRDefault="006854DA" w:rsidP="006854DA">
      <w:pPr>
        <w:pStyle w:val="SntesisDescriptiva"/>
      </w:pPr>
      <w:r>
        <w:t>Recurso de amparo 1.093/1995. Contra Sentencia de la Sala de lo Social del T.S.J. de Cataluña inadmitiendo recurso de suplicación instado contra Sentencia del Juzgado de lo Social núm. 21 de la misma ciudad que condenó a la recurrente al pago al pago de la cantidad reclamada.</w:t>
      </w:r>
    </w:p>
    <w:p w:rsidR="006854DA" w:rsidRDefault="006854DA" w:rsidP="006854DA">
      <w:pPr>
        <w:pStyle w:val="SntesisDescriptiva"/>
      </w:pPr>
    </w:p>
    <w:p w:rsidR="006854DA" w:rsidRDefault="006854DA" w:rsidP="006854DA">
      <w:pPr>
        <w:pStyle w:val="SntesisAnaltica"/>
      </w:pPr>
      <w:r>
        <w:t>Vulneración del derecho a la tutela judicial efectiva: interpretación arbitraria de requisitos procesales.</w:t>
      </w:r>
    </w:p>
    <w:p w:rsidR="006854DA" w:rsidRDefault="006854DA" w:rsidP="006854DA">
      <w:pPr>
        <w:pStyle w:val="SntesisAnaltica"/>
      </w:pPr>
    </w:p>
    <w:p w:rsidR="006854DA" w:rsidRDefault="006854DA" w:rsidP="006854DA">
      <w:pPr>
        <w:pStyle w:val="Extracto"/>
      </w:pPr>
      <w:r>
        <w:t>1.</w:t>
      </w:r>
      <w:r>
        <w:tab/>
        <w:t>Ha de recordarse, para desestimar el motivo de inadmisión alegado, que la subsidiariedad del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347/1993, 354/1993, 377/1993, 132/1994 y 140/1994) [F.J. 2].</w:t>
      </w:r>
    </w:p>
    <w:p w:rsidR="006854DA" w:rsidRDefault="006854DA" w:rsidP="006854DA">
      <w:pPr>
        <w:pStyle w:val="Extracto"/>
      </w:pPr>
    </w:p>
    <w:p w:rsidR="006854DA" w:rsidRDefault="006854DA" w:rsidP="006854DA">
      <w:pPr>
        <w:pStyle w:val="Extracto"/>
      </w:pPr>
      <w:r>
        <w:t>2.</w:t>
      </w:r>
      <w:r>
        <w:tab/>
        <w:t>El carácter extraodinario del recurso de suplicación justifica la exigencia de determinados requisitos procesales, aunque, ciertamente, como se dijo en la STC 18/1993, desde la perspectiva constitucional lo relevante «no es la forma o técnica del escrito de recurso, sino su contenido», y que «desde esta perspectiva, resulta obligado concluir que el órgano judicial, según una interpretación flexibilizadora y finalista de las normas disciplinadoras del recurso, no debe rechazar "a limine" el examen de su pretensión por defectos formales o deficiencias técnicas, cuando el escrito correspondiente suministra datos suficientes para conocer precisa y realmente la argumentación de la parte» [F.J. 3].</w:t>
      </w:r>
    </w:p>
    <w:p w:rsidR="006854DA" w:rsidRDefault="006854DA" w:rsidP="006854DA">
      <w:pPr>
        <w:pStyle w:val="Extracto"/>
      </w:pPr>
    </w:p>
    <w:p w:rsidR="006854DA" w:rsidRDefault="006854DA" w:rsidP="006854DA">
      <w:pPr>
        <w:pStyle w:val="Extracto"/>
      </w:pPr>
      <w:r>
        <w:t>3.</w:t>
      </w:r>
      <w:r>
        <w:tab/>
        <w:t>El órgano judicial rechazó «a limine» el examen de la pretensión formulada en el recurso de suplicación, por unos supuestos defectos formales, en virtud de un entendimiento ritualista de los requisitos cercano a la pura arbitrariedad, cuando el escrito correspondiente suministraba datos suficientes para conocer la argumentacción del recurrente, que debía haber sido analizada para su estimacion o desestimación [F.J.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1.093/95, interpuesto por la Red Nacional de Ferrocarriles Españoles (R.E.N.F.E.), representada por el Procurador de los Tribunales don Rafael Rodriguez Montaut (luego sustituido por su compañera doña María Luisa Delgado-Iribarren Pastor) y asistida por el Letrado don José Luis Sanchidrián Alvarez, contra la Sentencia de la Sala de lo Social del Tribunal Superior de Justicia de Cataluña, de 13 de febrero de 1995. Han sido partes, además del Ministerio Fiscal, don Juan Ibañez Tapia, representado por la Procuradora doña Isabel Cañedo Vega y asistido por el Letrado don Ignacio González Pérez. Ha sido Ponente el Magistrado don Manuel Jiménez de Parga y Cabrera,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presentado en el Juzgado de Guardia el 23 de marzo de 1995 y registrado en el Tribunal el 27 de marzo de 1995, la Red Nacional de Ferrocarriles Españoles (R.E.N.F.E.), representada por el Procurador de los Tribunales don Rafael Rodriguez Montaut, interpone recurso de amparo contra la Sentencia de la Sala de lo Social del T.S.J. de Cataluña, de 13 de febrero de 1995.</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base fáctica de la demanda está constituída por lo siguiente: </w:t>
      </w:r>
    </w:p>
    <w:p w:rsidR="006854DA" w:rsidRDefault="006854DA" w:rsidP="006854DA">
      <w:pPr>
        <w:pStyle w:val="TextoNormal"/>
      </w:pPr>
      <w:r>
        <w:t xml:space="preserve">a) Don Juan Ibañez Tapia, trabajador de la empresa recurrente, demandó a ésta por reclamación de cantidad. Entendía que R.E.N.F.E. le adeudaba 764.640 ptas., toda vez que le venía abonando los llamados gastos por viaje de servicio (clave 562), cuando, según el trabajador, se le debían haber abonado los llamados gastos de destacamento (clave 563). La demanda invoca los arts. 299 y 308 del Texto Refundido de la Normativa Laboral de R.E.N.F.E. </w:t>
      </w:r>
    </w:p>
    <w:p w:rsidR="006854DA" w:rsidRDefault="006854DA" w:rsidP="006854DA">
      <w:pPr>
        <w:pStyle w:val="TextoNormal"/>
      </w:pPr>
      <w:r>
        <w:t xml:space="preserve">b) La Sentencia del Juzgado de lo Social núm. 13 de Barcelona, de 11 de marzo de 1994, estimó parcialmente la demanda y condenó a R.E.N.F.E. a abonar la cantidad reclamada. La Sentencia consideró que eran de aplicación los arts. 299, 308, 310, 311 y 313 del citado Texto Refundido de la Normativa Laboral de R.E.N.F.E. </w:t>
      </w:r>
    </w:p>
    <w:p w:rsidR="006854DA" w:rsidRDefault="006854DA" w:rsidP="006854DA">
      <w:pPr>
        <w:pStyle w:val="TextoNormal"/>
      </w:pPr>
      <w:r>
        <w:t>c) R.E.N.F.E. interpuso recurso de suplicación contra la anterior Sentencia invocando, como único motivo, la infracción del art. 311 del Texto Refundido de la Normativa Laboral de R.E.N.F.E. (art. 230 de la Reglamentación Nacional de Trabajo en R.E.N.F.E.). En el desarrollo del motivo se citaban los arts. 299, 308, 310 y 311 del citado Texto Refundido. El recurso de suplicación fue impugnado de contrario, alegando la parte entonces recurrida, como primer motivo de impugnación, que el recurso de suplicación adolecía de un defecto de formulación, tal y como la jurisprudencia viene interpretando la exigencia del art. 193.2 (actual 194.2) L.P.L.: citar la norma con rango legal infringida, señalando la fecha de entrada en vigor de las normas del ordenamiento jurídico que se estiman vulnera</w:t>
      </w:r>
      <w:r>
        <w:lastRenderedPageBreak/>
        <w:t xml:space="preserve">das, y el día de su publicación en el B.O.E. Subsidiariamente, se articulaba un segundo motivo impugnatorio, rebatiendo el fondo del recurso de suplicación. </w:t>
      </w:r>
    </w:p>
    <w:p w:rsidR="006854DA" w:rsidRDefault="006854DA" w:rsidP="006854DA">
      <w:pPr>
        <w:pStyle w:val="TextoNormal"/>
      </w:pPr>
      <w:r>
        <w:t xml:space="preserve">d) La Sentencia de la Sala de lo Social del T.S.J. de Cataluña, de 13 de febrero de 1995, desestimó el recurso "por defectuosamente formulado". El T.S.J. se basó en la Sentencia del Tribunal Supremo de 29 de diciembre de 1992, dictada en casación para la unificación de doctrina, la cual había declarado, a los efectos que aquí interesan, que el denominado Texto Refundido de la Normativa Laboral de R.E.N.F.E. tiene "un contenido heterógeneo en el que se recogen cláusulas o preceptos procedentes de la Reglamentación de Trabajo, de los sucesivos Convenios Colectivos, de pactos extraestatutarios y de usos y prácticas empresariales", sin que la inclusión de un precepto o regla en dicho Texto Refundido afecte a "su naturaleza o posición en la regulación de las relaciones de trabajo de la empresa, manteniéndose las que corresponden a su fuente de origen". Dicho Texto Refundido carece de la eficacia normativa propia de los Convenios Colectivos regulados en el art. 82 del Estatuto de los Trabajadores, toda vez que ni fue pactado por la comisión negociadora (art. 88 del Estatuto de los Trabajadores), ni fue publicado en el B.O.E. (art. 90 del Estatuto de los Trabajadores). </w:t>
      </w:r>
    </w:p>
    <w:p w:rsidR="006854DA" w:rsidRDefault="006854DA" w:rsidP="006854DA">
      <w:pPr>
        <w:pStyle w:val="TextoNormal"/>
      </w:pPr>
      <w:r>
        <w:t xml:space="preserve">Aplicando la anterior doctrina, la Sentencia del T.S.J. impugnada en amparo afirma que, si la empresa recurrente en suplicación se limita a denunciar "la infracción del art. 311 del Texto Refundido de la Normativa Laboral de R.E.N.F.E. (art. 230 de la Reglamentación Nacional de Trabajo en R.E.N.F.E.)", sin mención ni tan siquiera de su fecha, debió probarse que lo establecido en dicho precepto es consecuencia de un previo acuerdo entre las partes. </w:t>
      </w:r>
    </w:p>
    <w:p w:rsidR="006854DA" w:rsidRDefault="006854DA" w:rsidP="006854DA">
      <w:pPr>
        <w:pStyle w:val="TextoNormal"/>
      </w:pPr>
      <w:r>
        <w:t>Por lo que se refiere a la reseña entre paréntesis del art. 230 de la Reglamentación Nacional de Trabajo en R.E.N.F.E., la Sala de lo Social del T.S.J. afirma que la Reglamentación de 1971, modificada en 1973 y 1975, permanece en vigor como derecho dispositivo en cuanto no haya sido sustituida por Convenio Colectivo (disposición transitoria segunda del Estatuto de los Trabajadores). Sin embargo, la Sala de lo Social del T.S.J. reprocha a R.E.N.F.E. que no señale a qué Reglamentación se está refiriendo, ni consta ese dato aportado a los autos. Y, teniendo presente el art. 24.1 C.E., el T.S.J. entiende que no puede soslayar el contenido de las normas procesales, como el art. 193.2 de la Ley de Procedimiento Laboral, que son derecho necesario por afectar al orden público, tanto para los Tribunales, como para los litigantes. Por último, tampoco considera el T.S.J. que pueda "atribuirse el deber de entresacar del ordenamiento el o los preceptos legales que pudieran servir a la pretensión del recurrente, pues ello generaría una situación de indefensión de la contraparte".</w:t>
      </w:r>
    </w:p>
    <w:p w:rsidR="006854DA" w:rsidRDefault="006854DA" w:rsidP="006854DA">
      <w:pPr>
        <w:pStyle w:val="TextoNormal"/>
      </w:pPr>
    </w:p>
    <w:p w:rsidR="006854DA" w:rsidRDefault="006854DA" w:rsidP="006854DA">
      <w:pPr>
        <w:pStyle w:val="TextoNormal"/>
      </w:pPr>
      <w:r w:rsidRPr="006854DA">
        <w:rPr>
          <w:rStyle w:val="NumeroAFNegritaCaracter"/>
        </w:rPr>
        <w:t>3</w:t>
      </w:r>
      <w:r>
        <w:t>. Se interpone recurso de amparo contra esta Sentencia de la Sala de lo Social del T.S.J. de Cataluña, de 13 de febrero de 1995, interesando su nulidad, por vulnerar el derecho a la tutela judicial efectiva consagrado en el art. 24.1 C.E. Previamente a la fundamentación de la lesión aducida, la demanda de amparo justifica la imposibilidad, en el presente caso, de interponer recurso de casación para la unificación de doctrina, atendiendo a la regulación legal sobre este recurso, con amplia cita de la jurisprudencia del Tribunal Constitucional. Por lo que se refiere a la vulneración del derecho a la tutela judicial efectiva alegada, el demandante entiende que el T.S.J. habría vulnerado el derecho de acceso al recurso de suplicación, al emitir una decisión de desestimación del mismo fundada en una interpretación arbitraria e irrazonable, que lesiona el art. 24.1 C.E. A su juicio, para no pronunciarse sobre el fondo, la Sentencia impugnada en amparo tendría que haber argu</w:t>
      </w:r>
      <w:r>
        <w:lastRenderedPageBreak/>
        <w:t xml:space="preserve">mentado de forma clara y razonable la reprochada construcción defectuosa del recurso de suplicación. </w:t>
      </w:r>
    </w:p>
    <w:p w:rsidR="006854DA" w:rsidRDefault="006854DA" w:rsidP="006854DA">
      <w:pPr>
        <w:pStyle w:val="TextoNormal"/>
      </w:pPr>
      <w:r>
        <w:t xml:space="preserve">La demanda de amparo recuerda que, a lo largo de su historia, R.E.N.F.E. ha contado con dos Reglamentaciones de Trabajo, la de 29 de diciembre de 1944, primero, y la de 22 de enero de 1971 (B.O.E. 3 a 6 de febrero), que derogó a la anterior. Ninguna otra Reglamentación se ha aprobado con anterioridad al caso de autos. Tan sólo se han producido dos modificaciones (Ordenes Ministeriales de 22 de febrero de 1973 y de 5 de febrero de 1975, B.O.E. 9 de marzo de 1973 y 6 de febrero de 1975, respectivamente), sin que en ninguna de ellas se enmendase el art. 230 de la Reglamentación, invocado en el recurso de suplicación. </w:t>
      </w:r>
    </w:p>
    <w:p w:rsidR="006854DA" w:rsidRDefault="006854DA" w:rsidP="006854DA">
      <w:pPr>
        <w:pStyle w:val="TextoNormal"/>
      </w:pPr>
      <w:r>
        <w:t xml:space="preserve">En el año 1981, prosigue la demanda, se elabora el llamado Texto Refundido de la Normativa Laboral de la Red, que tiene su origen en la paulatina sustitución, en unos casos por convenio colectivo y en otros por acuerdos con los representantes del personal, de los preceptos de la Reglamentación. El Texto Refundido tenía como misión unificar y actualizar la normativa laboral a medida que aparecieran nuevos convenios, pactos y disposiciones legales, de tal manera que ha sido este Texto el que se ha venido utilizando de ordinario para invocar deberes o reclamar derechos. </w:t>
      </w:r>
    </w:p>
    <w:p w:rsidR="006854DA" w:rsidRDefault="006854DA" w:rsidP="006854DA">
      <w:pPr>
        <w:pStyle w:val="TextoNormal"/>
      </w:pPr>
      <w:r>
        <w:t xml:space="preserve">Pues bien, explica el demandante de amparo, el art. 311 del Texto Refundido de la Normativa Laboral, cuya vulneración se denunciaba en el recurso de suplicación, resulta ser una transcripción literal del art. 230 de la Reglamentación de 1971. En su uso habitual se menciona primero el precepto del Texto y después, entre paréntesis, el artículo de la Reglamentación a que corresponde. Pero el tenor literal de ambos preceptos es exactamente el mismo. Entiende la empresa recurrente que el recurso de suplicación por ella interpuesto se acomodaba a los requisitos del art. 190 (en la actualidad 191) L.P.L. Se mencionó el precepto legal que se consideraba infringido, concretamente el art. 311 del Texto Refundido de la Normativa Laboral, haciéndose figurar entre paréntesis el art. 230 de la Reglamentación Nacional de Trabajo de la Red. El T.S.J. argumentó la no consideración del art. 311 del Texto Refundido por su carácter no consensuado ni estatutario. Suficiente argumentación no convence a la entidad solicitante de amparo -se dice en la demanda-, independientemente de que se discuta o no en la presente demanda de amparo. Lo que sí discute es la no consideración por el T.S.J. del art. 230 de la Reglamentación Nacional de Trabajo de R.E.N.F.E.. El T.S.J. afirma que al no mencionarse el año de la Reglamentación no se puede saber a cuál se está refiriendo. Pero el caso es que sólo hay una Reglamentación de R.E.N.F.E. (la de 1971), pues no deben considerarse tales las modificaciones parciales de 1973 y 1975, las cuales no son ni una segunda ni una tercera Reglamentación. El T.S.J. conoce además que se trata de simples modificaciones. </w:t>
      </w:r>
    </w:p>
    <w:p w:rsidR="006854DA" w:rsidRDefault="006854DA" w:rsidP="006854DA">
      <w:pPr>
        <w:pStyle w:val="TextoNormal"/>
      </w:pPr>
      <w:r>
        <w:t xml:space="preserve">Es indispensable, desde luego, admite la demanda de amparo, que la pretensión o pretensiones formuladas en el recurso de suplicación sean conocidas por la otra parte, a fin de que pueda defenderse debidamente, y por el órgano judicial, para que pueda resolver congruentemente. A estos efecto, se cita, en relación con el recurso de suplicación, la STC 18/1993, donde se declara que lo relevante no es la "forma" o "técnica" del escrito del recurso, sino su contenido. </w:t>
      </w:r>
    </w:p>
    <w:p w:rsidR="006854DA" w:rsidRDefault="006854DA" w:rsidP="006854DA">
      <w:pPr>
        <w:pStyle w:val="TextoNormal"/>
      </w:pPr>
      <w:r>
        <w:t xml:space="preserve">La demanda afirma, por último, que en el recurso de suplicación se especificaban de forma suficiente los preceptos que se consideraban infringidos, teniendo en cuenta que la Reglamentación de Trabajo a que se hacía mención es la única en R.E.N.F.E., por lo que la omisión del año de la misma o su reseña entre paréntesis no producía indefensión a la otra parte ni impedía conocer al T.S.J. a qué texto legal se hacía referencia. Si así hubiera sido, el T.S.J. habría inadmitido el recurso, dando audiencia al recurrente, de conformidad </w:t>
      </w:r>
      <w:r>
        <w:lastRenderedPageBreak/>
        <w:t>con lo previsto en el art. 197 L.P.L., solución más adecuada a Derecho. Por lo demás, se concluye, el T.S.J. deja sin contenido el principio iura novit curia.</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Mediante providencia de 29 de enero de 1996, la Sección Primera acordó admitir a trámite la demanda de amparo y, a tenor de lo dispuesto en el art. 51 de la LOTC, requerir al Juzgado de lo Social núm. 13 de Barcelona, y a la Sala de lo Social del T.S.J. de Cataluña, para que, en el plazo de diez días, remitieran testimonio de los autos 1.056/93 y del recurso núm. 3.072/94, con la realización de los emplazamientos pertinentes. </w:t>
      </w:r>
    </w:p>
    <w:p w:rsidR="006854DA" w:rsidRDefault="006854DA" w:rsidP="006854DA">
      <w:pPr>
        <w:pStyle w:val="TextoNormal"/>
      </w:pPr>
      <w:r>
        <w:t>En el escrito registrado el 27 de febrero de 1996, doña Isabel Cañedo Vega, Procuradora de los Tribunales, se persona en las actuaciones en nombre de don Juan Ibañez Tapia. Por providencia de 11 de marzo de 1996, la Sección Segunda acuerda tenerla por personada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6854DA" w:rsidRDefault="006854DA" w:rsidP="006854DA">
      <w:pPr>
        <w:pStyle w:val="TextoNormal"/>
      </w:pPr>
    </w:p>
    <w:p w:rsidR="006854DA" w:rsidRDefault="006854DA" w:rsidP="006854DA">
      <w:pPr>
        <w:pStyle w:val="TextoNormal"/>
      </w:pPr>
      <w:r w:rsidRPr="006854DA">
        <w:rPr>
          <w:rStyle w:val="NumeroAFNegritaCaracter"/>
        </w:rPr>
        <w:t>5</w:t>
      </w:r>
      <w:r>
        <w:t>. Por escrito registrado en el Tribunal el 18 de marzo de 1996, doña María Luisa Delgado-Iribarren Pastor, Procuradora de los Tribunales, se persona en el proceso en nombre y representación de R.E.N.F.E., en sustitución de don Rafael Rodriguez Montaut, y mediante escrito presentado el 3 de abril de 1996 formula alegaciones, reiterando las ya vertidas en la demanda de amparo. Aduce también la representación actora que, a la vista de las actuaciones, los preceptos en cuya infracción fundó su recurso de suplicación fueron los mismos en los que se basó la demanda inicial formulada por el trabajador, así como la Sentencia de instancia, y fueron aportados en el ramo de prueba de la parte actora en instancia. En su opinión, resulta sorprendente que el trabajador, en su impugnación del recurso de suplicación, negase la fuerza jurídica de aquellos preceptos, y que la Sala de lo Social haya acogido aquel motivo de oposición, a la vista de las actuaciones, pues resulta evidente que la parte recurrida en suplicación conocía fehacientemente el contenido de tales preceptos. En definitiva, se afirma, no podría hablarse, como hace la Sentencia recurrida en amparo, de indefensión ni de infracción del principio de igualdad de las partes en el proceso, si el órgano judicial hubiera completado la supuesta inconcreción existente en el recurso dando contenido al principio iura novit curia, pues ambas partes conocían perfectamente los preceptos que se denunciaban vulnerados en el recurso de suplicación, al haber sido los utilizados hasta ese momento procesal.</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La representación de don Juan Ibañez Tapia, por escrito registrado el 9 de abril de 1996, formuló alegaciones interesando la desestimación de la demanda de amparo. Entiende que en el presente supuesto, en primer lugar, la recurrente no ha agotado la vía judicial ordinaria, infringiendo por tanto el art 44.1 a) LOTC, y el art. 53.2 C.E., pues se debería haber interpuesto recurso de casación para la unificación de doctrina. Planteando la demanda de amparo una cuestión de legalidad ordinaria, como es la interpretación realizada por el T.S.J. de Cataluña del art. 193.2 de la L.P.L., es decir, de las exigencias de formulación del recurso de suplicación, correspondería al Tribunal Supremo unificar las interpretaciones judiciales existentes, si bien, se afirma, el recurrente no interpuso tal recurso, pues como el mismo admite, no existen Sentencias divergentes, pues unanimemente los distintos Tribunales Superiores, continuando la línea interpretativa del extinto Tribunal Central de Trabajo, adoptan la misma línea interpretativa que la Sentencia impugnada en </w:t>
      </w:r>
      <w:r>
        <w:lastRenderedPageBreak/>
        <w:t>amparo. Además, se señala que no existió vulneración del principio pro actione, pues la declaración de inadmisión del recurso adoptó la forma de una Sentencia motivada; que no existió, por parte del órgano judicial, una errónea interpretación del art. 193.2 L.P.L.; y, por último, que los órganos judiciales no pueden suplir o completar los motivos en que la parte recurrente funda su recurso, pues ello lesionaría el derecho de defensa de la contraparte y la igualdad de ambos litigantes en la tramitación del recurso.</w:t>
      </w:r>
    </w:p>
    <w:p w:rsidR="006854DA" w:rsidRDefault="006854DA" w:rsidP="006854DA">
      <w:pPr>
        <w:pStyle w:val="TextoNormal"/>
      </w:pPr>
    </w:p>
    <w:p w:rsidR="006854DA" w:rsidRDefault="006854DA" w:rsidP="006854DA">
      <w:pPr>
        <w:pStyle w:val="TextoNormal"/>
      </w:pPr>
      <w:r w:rsidRPr="006854DA">
        <w:rPr>
          <w:rStyle w:val="NumeroAFNegritaCaracter"/>
        </w:rPr>
        <w:t>7</w:t>
      </w:r>
      <w:r>
        <w:t>. El Fiscal ante el Tribunal Constitucional, en el escrito de 8 de abril de 1996, solicitó el otorgamiento del amparo, al estimar que la Sentencia impugnada ha vulnerado el art. 24.1 C.E. A su juicio, cuando se confronta la motivación del recurso de suplicación y la argumentación de desestimación a limine efectuada por la Sentencia, es forzoso concluir que la respuesta judicial no se acomoda a lo prevenido por el art. 24.1 C.E. Aunque la decisión judicial se sitúa en el terreno de la mera legalidad, que el art. 117.3 C.E. atribuye a los Tribunales ordinarios, la negativa a dar eficacia normativa al Texto Refundido de la Normativa de R.E.N.F.E., es fruto de la utilización por el T.S.J. de criterios formalistas y claramente desproporcionados, sin que se justifique con ellos el no pronunciamiento sobre el fondo.</w:t>
      </w:r>
    </w:p>
    <w:p w:rsidR="006854DA" w:rsidRDefault="006854DA" w:rsidP="006854DA">
      <w:pPr>
        <w:pStyle w:val="TextoNormal"/>
      </w:pPr>
    </w:p>
    <w:p w:rsidR="006854DA" w:rsidRDefault="006854DA" w:rsidP="006854DA">
      <w:pPr>
        <w:pStyle w:val="TextoNormal"/>
      </w:pPr>
      <w:r w:rsidRPr="006854DA">
        <w:rPr>
          <w:rStyle w:val="NumeroAFNegritaCaracter"/>
        </w:rPr>
        <w:t>8</w:t>
      </w:r>
      <w:r>
        <w:t>. Por providencia de 7 de mayo de 1997, se señaló para la deliberación y votación de la presente Sentencia el siguiente día 8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presente amparo tiene por objeto determinar si, como alega la recurrente, la Sentencia de la Sala de lo Social del T.S.J. de Cataluña, de 13 de febrero de 1995, que desestima el recurso de suplicación núm. 3.072/94, por haber sido formulado defectuosamente, vulnera el derecho a la tutela judicial efectiva consagrado en el art.  24.1 C.E.</w:t>
      </w:r>
    </w:p>
    <w:p w:rsidR="006854DA" w:rsidRDefault="006854DA" w:rsidP="006854DA">
      <w:pPr>
        <w:pStyle w:val="TextoNormal"/>
      </w:pPr>
    </w:p>
    <w:p w:rsidR="006854DA" w:rsidRDefault="006854DA" w:rsidP="006854DA">
      <w:pPr>
        <w:pStyle w:val="TextoNormal"/>
      </w:pPr>
      <w:r w:rsidRPr="006854DA">
        <w:rPr>
          <w:rStyle w:val="NumeroAFNegritaCaracter"/>
        </w:rPr>
        <w:t>2</w:t>
      </w:r>
      <w:r>
        <w:t>. Procede, en primer término, examinar la causa de inadmisión del recurso de amparo por falta de agotamiento de la vía judicial previa [art. 44.1 a) LOTC], alegada por la representación legal de la parte demandada en este proceso, debido a la no formalización del oportuno recurso de casación para la unificación de doctrina, previsto en el art. 215 y siguientes de la Ley de Procedimiento Laboral. Tal motivo de inadmisión debe ser rechazado a la vista de los hechos y circunstancias concurrentes.</w:t>
      </w:r>
    </w:p>
    <w:p w:rsidR="006854DA" w:rsidRDefault="006854DA" w:rsidP="006854DA">
      <w:pPr>
        <w:pStyle w:val="TextoNormal"/>
      </w:pPr>
      <w:r>
        <w:t>El propio escrito de la representación de la demandada admite la inexistencia de otra u otras Sentencias dictadas en suplicación por las Salas de lo Social de los Tribunales Superiores de Justicia que fueran contradictorias con la aquí impugnada, y, como la recurrente señala, en el presente caso, dada la naturaleza de la vulneración de los derechos fundamentales denunciada, el recurso de casación para la unificación de doctrina no resultaba una vía idónea para resolverla.</w:t>
      </w:r>
    </w:p>
    <w:p w:rsidR="006854DA" w:rsidRDefault="006854DA" w:rsidP="006854DA">
      <w:pPr>
        <w:pStyle w:val="TextoNormal"/>
      </w:pPr>
      <w:r>
        <w:t>Ha de recordarse al respecto, y para desestimar el motivo de inadmisión, que la subsidiariedad del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347/1993, 35471993, 377/1993, 132/1994, 140/1994).</w:t>
      </w:r>
    </w:p>
    <w:p w:rsidR="006854DA" w:rsidRDefault="006854DA" w:rsidP="006854DA">
      <w:pPr>
        <w:pStyle w:val="TextoNormal"/>
      </w:pPr>
    </w:p>
    <w:p w:rsidR="006854DA" w:rsidRDefault="006854DA" w:rsidP="006854DA">
      <w:pPr>
        <w:pStyle w:val="TextoNormal"/>
      </w:pPr>
      <w:r w:rsidRPr="006854DA">
        <w:rPr>
          <w:rStyle w:val="NumeroAFNegritaCaracter"/>
        </w:rPr>
        <w:t>3</w:t>
      </w:r>
      <w:r>
        <w:t>. Debemos, pues, pasar a examinar el fondo del recurso, en el cual se plantea la vulneración del derecho a la tutela judicial efectiva, en su vertiente de acceso al recurso.</w:t>
      </w:r>
    </w:p>
    <w:p w:rsidR="006854DA" w:rsidRDefault="006854DA" w:rsidP="006854DA">
      <w:pPr>
        <w:pStyle w:val="TextoNormal"/>
      </w:pPr>
      <w:r>
        <w:t>Constituye jurisprudencia consolidada de este Tribunal que el derecho a los recursos no se integra en la tutela judicial efectiva del art. 24 C.E.  -excepto en materia penal-, de modo que el legislador no viene obligado a diseñar un sistema determinado de recursos, si bien una vez que la ley ha establecido tal sistema, el derecho al recurso, en los términos y con los requisitos establecidos legalmente, pasa a integrar, en principio, el derecho a la tutela judicial efectiva (SSTC 3/1983, 69/1987, 27/1994, 172/1995).</w:t>
      </w:r>
    </w:p>
    <w:p w:rsidR="006854DA" w:rsidRDefault="006854DA" w:rsidP="006854DA">
      <w:pPr>
        <w:pStyle w:val="TextoNormal"/>
      </w:pPr>
      <w:r>
        <w:t>Ahora bien, nuestra jurisprudencia ha establecido una distinción fundamental entre el acceso a la justicia, como elemento esencial del contenido de la tutela judicial, y el acceso a los recursos. Así hemos declarado que "el principio hermenéutico pro actione no opera con igual intensidad en la fase inicial del proceso, para acceder al sistema judicial, que en las sucesivas" (STC 37/1995, fundamento jurídico 5º).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(Ibidem).</w:t>
      </w:r>
    </w:p>
    <w:p w:rsidR="006854DA" w:rsidRDefault="006854DA" w:rsidP="006854DA">
      <w:pPr>
        <w:pStyle w:val="TextoNormal"/>
      </w:pPr>
      <w:r>
        <w:t>Por otro lado, este Tribunal ha venido entendiendo que los requisitos y presupuestos establecidos por las leyes para recurrir han de ser interpretados y aplicados teniendo en cuenta la efectividad del derecho constitucional en el que tienen su razón de ser, y por ello atendiendo a su finalidad. De modo que la mayor o menor severidad en la exigencia de los mismos guarde proporción de medio a fin, eludiéndose interpretaciones rigoristas que no se correspondan en absoluto con la finalidad de la exigencia legal. Y, dentro de esta doctrina, se ha enmarcado el control constitucional sobre las decisiones judiciales de inadmisión del recurso de suplicación fundadas en un incumplimiento de los requisitos formales legalmente establecidos (SSTC 18/1993, 294/1993, 256/1994).</w:t>
      </w:r>
    </w:p>
    <w:p w:rsidR="006854DA" w:rsidRDefault="006854DA" w:rsidP="006854DA">
      <w:pPr>
        <w:pStyle w:val="TextoNormal"/>
      </w:pPr>
      <w:r>
        <w:t>El art. 194.2 L.P.L. exige, ciertamente, que en el escrito de interposición del recurso se expresen, con suficiente precisión y claridad, el motivo o los motivos en que se ampare, citándose las normas del ordenamiento jurídico o la jurisprudencia que se consideren infringidas. Precepto que, como se dijo en la STC 18/1993 (en relación con su antecedente, el art. 156 de la L.P.L.), es acorde con el art. 24.1 C.E. en cuanto persigue que el contenido del recurso -la pretensión o pretensiones formuladas en éste y su fundamentación- sea conocido por la otra parte, que pueda así debidamente defenderse, y por el órgano judicial, que ha de tener cabal conocimiento del thema decidendi, para resolver congruentemente.</w:t>
      </w:r>
    </w:p>
    <w:p w:rsidR="006854DA" w:rsidRDefault="006854DA" w:rsidP="006854DA">
      <w:pPr>
        <w:pStyle w:val="TextoNormal"/>
      </w:pPr>
      <w:r>
        <w:t xml:space="preserve">De acuerdo con estas premisas, el Tribunal Constitucional también tiene establecido que, al enjuiciar el cumplimiento de los requisitos de admisión del recurso de suplicación, debe tenerse presente que éste no es un recurso de apelación ni una segunda instancia, sino "un recurso de naturaleza extraordinaria, de objeto limitado, en el que el Tribunal ad quem no puede valorar ex novo toda la prueba practicada ni revisar el Derecho aplicable, sino que debe limitarse a las concretas cuestiones planteadas por las partes" (SSTC 18/1993 y 294/1993). El carácter extraodinario del recurso de suplicación justifica la exigencia de estos requisitos procesales, aunque, ciertamente, como se dijo en la STC 18/1993, desde la perspectiva constitucional lo relevante "no es la forma o técnica del escrito de recurso, sino su contenido", y que "desde esta perspectiva, resulta obligado concluir que el órgano judicial, según una interpretación flexibilizadora y finalista de las normas disciplinadoras del recurso, no debe rechazar a limine el examen de su pretensión por defectos formales o </w:t>
      </w:r>
      <w:r>
        <w:lastRenderedPageBreak/>
        <w:t>deficiencias técnicas, cuando el escrito correspondiente suministra datos suficientes para conocer precisa y realmente la argumentación de la parte" (fundamentos jurídicos 3º y 4º).</w:t>
      </w:r>
    </w:p>
    <w:p w:rsidR="006854DA" w:rsidRDefault="006854DA" w:rsidP="006854DA">
      <w:pPr>
        <w:pStyle w:val="TextoNormal"/>
      </w:pPr>
    </w:p>
    <w:p w:rsidR="006854DA" w:rsidRDefault="006854DA" w:rsidP="006854DA">
      <w:pPr>
        <w:pStyle w:val="TextoNormal"/>
      </w:pPr>
      <w:r w:rsidRPr="006854DA">
        <w:rPr>
          <w:rStyle w:val="NumeroAFNegritaCaracter"/>
        </w:rPr>
        <w:t>4</w:t>
      </w:r>
      <w:r>
        <w:t>. La Sentencia que aquí se recurre funda la desestimación del recurso de suplicación en que éste se limita a denunciar "la infracción del art. 311 del Texto Refundido de la Normativa Laboral de R.E.N.F.E. (art. 230 de la Reglamentación Nacional de Trabajo en R.E.N.F.E.)", sin mención ni tan siquiera de su fecha. No se probó -se argumenta- que lo establecido en dicho precepto proviene de un previo acuerdo entre las partes; y, por lo que se refiere a la reseña entre paréntesis del art. 230 de la Reglamentación Nacional de Trabajo en R.E.N.F.E., no se señaló a qué Reglamentación se está refiriendo, ni consta aportada a los autos, amen de su nueva cita tangencial.  La Sentencia del T.S.J. añade que, aun teniendo presente el art. 24.1 C.E., no se puede soslayar el contenido de las normas procesales, como el art. 193.2 (actual 194.2) de la Ley de Procedimiento Laboral, que son derecho necesario por afectar al orden público. Por último, el órgano judicial niega que pueda él mismo "atribuirse el deber de entresacar del ordenamiento el o los preceptos legales que pudieran servir a la pretensión del recurrente, pues ello generaría una situación de indefensión de la contraparte".</w:t>
      </w:r>
    </w:p>
    <w:p w:rsidR="006854DA" w:rsidRDefault="006854DA" w:rsidP="006854DA">
      <w:pPr>
        <w:pStyle w:val="TextoNormal"/>
      </w:pPr>
      <w:r>
        <w:t>Ahora bien, la cita conjunta (con una norma entre paréntesis) ilustraba sobre el origen del precepto invocado, pues el art. 311 del Texto Refundido reproduce y procede del art.  230 de la Reglamentación de Trabajo. Además, y como expone la recurrente, sólo había una Reglamentación de Trabajo vigente en R.E.N.F.E., la de 1971, como reconoció el propio T.S.J., y que, en el extremo aquí de interés, no había sido alterada por las modificaciones de 1973 y 1975.  Por consiguiente, el art. 230 de la Reglamentación de Trabajo seguía conservando, según la doctrina del T.S. de la que parte la Setencia aquí impugnada, su naturaleza de norma de derecho dispositivo (tal como entonces se definía por la disposición transitoria segunda del Estatuto de los Trabajadores), sin que la misma quedara afectadas por su inclusión -como art.  311- en el Texto Refundido, por lo que el T.S.J. debió pronunciarse utilizando el postulado iura novit curia.</w:t>
      </w:r>
    </w:p>
    <w:p w:rsidR="006854DA" w:rsidRDefault="006854DA" w:rsidP="006854DA">
      <w:pPr>
        <w:pStyle w:val="TextoNormal"/>
      </w:pPr>
      <w:r>
        <w:t>Ademas, el recurso de suplicación mencionaba, como preceptos infringidos por el órgano de instancia, unas normas que, junto con los relacionados con ellas, habían formado parte del debate procesal, pues se citaban en la demanda inicial y habían sido aplicadas por la Sentencia del Juzgado de lo Social, sin que en ningún momento se cuestionara qué normas eran aplicables, ni la vigencia de las mismas. No puede ser compartida, en suma, la afirmación del T.S.J., según la cual el examen de fondo del recurso de suplicación podría ocasionar indefensión al trabajador.</w:t>
      </w:r>
    </w:p>
    <w:p w:rsidR="006854DA" w:rsidRDefault="006854DA" w:rsidP="006854DA">
      <w:pPr>
        <w:pStyle w:val="TextoNormal"/>
      </w:pPr>
    </w:p>
    <w:p w:rsidR="006854DA" w:rsidRDefault="006854DA" w:rsidP="006854DA">
      <w:pPr>
        <w:pStyle w:val="TextoNormal"/>
      </w:pPr>
      <w:r w:rsidRPr="006854DA">
        <w:rPr>
          <w:rStyle w:val="NumeroAFNegritaCaracter"/>
        </w:rPr>
        <w:t>5</w:t>
      </w:r>
      <w:r>
        <w:t>. Hay que concluir, por tanto, que el órgano judicial rechazó a limine el examen de la pretensión formulada en el recurso de suplicación, por unos supuestos defectos formales, en virtud de un entendimiento ritualista de los requisitos cercano a la pura arbitrariedad, cuando el escrito correspondiente suministraba datos suficientes para conocer la argumentacción del recurrente, que debía haber sido analizada para su estimación o desestimación. La Sentencia impugnada del T.S.J. de Cataluña desconoció las exigencias del art.  24.1 C.E., y debe anularse, como ha sido señalado por el Ministerio Fiscal, para que se dicte otra razonada sobre el fondo del recurso de suplicación interpuesto por la recurrente en amparo.</w:t>
      </w:r>
    </w:p>
    <w:p w:rsidR="006854DA" w:rsidRDefault="006854DA" w:rsidP="006854DA">
      <w:pPr>
        <w:pStyle w:val="TextoNormal"/>
      </w:pPr>
    </w:p>
    <w:p w:rsidR="006854DA" w:rsidRDefault="006854DA" w:rsidP="006854DA">
      <w:pPr>
        <w:pStyle w:val="TextoNormalCentrado"/>
        <w:keepNext/>
      </w:pPr>
      <w:r>
        <w:lastRenderedPageBreak/>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a la Red Nacional de Ferrocarriles Españoles (R.E.N.F.E.)  y, en consecuencia:</w:t>
      </w:r>
    </w:p>
    <w:p w:rsidR="006854DA" w:rsidRDefault="006854DA" w:rsidP="006854DA">
      <w:pPr>
        <w:pStyle w:val="TextoNormal"/>
      </w:pPr>
      <w:r>
        <w:t>1º. Reconocer el derecho de la misma a la tutela judicial efectiva.</w:t>
      </w:r>
    </w:p>
    <w:p w:rsidR="006854DA" w:rsidRDefault="006854DA" w:rsidP="006854DA">
      <w:pPr>
        <w:pStyle w:val="TextoNormal"/>
      </w:pPr>
      <w:r>
        <w:t>2º. Anular la Sentencia de la Sala de lo Social del T.S.J. de Cataluña, de 13 de febrero de 1995.</w:t>
      </w:r>
    </w:p>
    <w:p w:rsidR="006854DA" w:rsidRDefault="006854DA" w:rsidP="006854DA">
      <w:pPr>
        <w:pStyle w:val="TextoNormal"/>
      </w:pPr>
      <w:r>
        <w:t>3º. Retrotraer el procedimiento al momento en que la Sala de lo Social del T.S.J. de Cataluña debe dictar nueva Sentencia sobre el fondo del recurso de suplicación interpuesto por la demandante de amparo.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ocho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0" w:name="SENTENCIA_1997_94"/>
      <w:r>
        <w:lastRenderedPageBreak/>
        <w:t>SENTENCIA 94/1997, de 8 de mayo de 1997</w:t>
      </w:r>
    </w:p>
    <w:bookmarkEnd w:id="10"/>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ECLI:ES:TC:1997:94</w:t>
      </w:r>
    </w:p>
    <w:p w:rsidR="006854DA" w:rsidRDefault="006854DA" w:rsidP="006854DA">
      <w:pPr>
        <w:pStyle w:val="SntesisDescriptiva"/>
      </w:pPr>
    </w:p>
    <w:p w:rsidR="006854DA" w:rsidRDefault="006854DA" w:rsidP="006854DA">
      <w:pPr>
        <w:pStyle w:val="SntesisDescriptiva"/>
      </w:pPr>
      <w:r>
        <w:t>Recurso de amparo 3.450/1995. Contra Sentencia de la Sala de lo Contencioso-Administrativo del T.S.J. de Andalucía recaída en recurso contra el Decreto de la Alcaldía de Córdoba imponiendo sanción a un funcionario.</w:t>
      </w:r>
    </w:p>
    <w:p w:rsidR="006854DA" w:rsidRDefault="006854DA" w:rsidP="006854DA">
      <w:pPr>
        <w:pStyle w:val="SntesisDescriptiva"/>
      </w:pPr>
    </w:p>
    <w:p w:rsidR="006854DA" w:rsidRDefault="006854DA" w:rsidP="006854DA">
      <w:pPr>
        <w:pStyle w:val="SntesisAnaltica"/>
      </w:pPr>
      <w:r>
        <w:t>Vulneración del derecho a la tutela judicial efectiva: incongruencia omisiva.</w:t>
      </w:r>
    </w:p>
    <w:p w:rsidR="006854DA" w:rsidRDefault="006854DA" w:rsidP="006854DA">
      <w:pPr>
        <w:pStyle w:val="SntesisAnaltica"/>
      </w:pPr>
    </w:p>
    <w:p w:rsidR="006854DA" w:rsidRDefault="006854DA" w:rsidP="006854DA">
      <w:pPr>
        <w:pStyle w:val="Extracto"/>
      </w:pPr>
      <w:r>
        <w:t>1.</w:t>
      </w:r>
      <w:r>
        <w:tab/>
        <w:t>Tanto el art. 120.3 de la C.E. como el art. 24.1 C.E. implican la obligación de los órganos judiciales de pronunciarse motivadamente sobre todas las pretensiones; obligación, que si bien no exige una exhaustiva descripción del proceso intelectual que lleva al órgano judicial a adoptar una solución determinada, ni le impone un concreto alcance o intensidad en el razonamiento empleado (SSTC 100/1987 y 109/1992), sí supone al mismo tiempo «una garantía esencial del justiciable mediante la cual, sin perjuicio de la libertad del Juez en la interpretación de las normas, se pueda comprobar que la solución dada al caso es consecuencia de una exégesis racional del ordenamiento y no el fruto de la arbitrariedad» (STC 116/1986). Cuando esta respuesta razonada no se produce, ni es posible deducirla razonablemente de las circunstancias que rodean al caso concreto o de otras afirmaciones de la Sentencia, no se respetan las garantías del art. 24.1 C.E. (STC 91/1995), como ahora es el caso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3.450/95 promovido por don Antonio Delgado García, representado por el Procurador de los Tribunales don José Granados Weil y asistido por el Letrado don José Antonio Guiote Ordóñez, contra la Sentencia de la Sala de lo Contencioso-Administrativo en Sevilla del Tribunal Superior de Justicia de Andalucía, de 18 de julio de 1995, recaída en recurso contra el Decreto de la Alcaldía de Córdoba, de 27 de abril de 1994, sobre sanción. Ha sido parte el Excmo. Ayuntamiento de Córdoba, representado por el Procurador don Luciano Rosch Nadal y asistido por el Letrado don José González San</w:t>
      </w:r>
      <w:r>
        <w:lastRenderedPageBreak/>
        <w:t>ta-Cruz y ha intervenido el Ministerio Fiscal. Ha sido Ponente el Magistrado don Vicente Gimeno Sendra,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registrado en este Tribunal el 11 de octubre de 1995, don José Granados Weil, Procurador de los Tribunales, en nombre y representación de don Antonio Delgado García, interpone recurso de amparo contra la Sentencia de la Sala de lo Contencioso-Administrativo en Sevilla del Tribunal Superior de Justicia de Andalucía, de 18 de julio de 1995, recaída en recurso contra el Decreto de la Alcaldía de Córdoba, de 27 de abril de 1994, sobre sanción.</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en los que se fundamenta la demanda son, sucintamente expuestos, los siguientes: </w:t>
      </w:r>
    </w:p>
    <w:p w:rsidR="006854DA" w:rsidRDefault="006854DA" w:rsidP="006854DA">
      <w:pPr>
        <w:pStyle w:val="TextoNormal"/>
      </w:pPr>
      <w:r>
        <w:t xml:space="preserve">a) Mediante Decreto de la Alcaldía de Córdoba, de 29 de abril de 1992, fue incoado expediente disciplinario al recurrente, funcionario de carrera, con categoría de Técnico de Administración General, designándose como instructor del mismo a don Pedro A. Cortés Fernández, funcionario de empleo de dicha Corporación. </w:t>
      </w:r>
    </w:p>
    <w:p w:rsidR="006854DA" w:rsidRDefault="006854DA" w:rsidP="006854DA">
      <w:pPr>
        <w:pStyle w:val="TextoNormal"/>
      </w:pPr>
      <w:r>
        <w:t xml:space="preserve">De dicha resolución se dio traslado al recurrente el 6 de mayo del mismo año; y, el 11 de mayo de 1992, mediante escrito dirigido al Alcalde, impugnó el referido Decreto, alegando, entre otros motivos, defectos en la notificación, ambigüedad y vaguedad de los motivos de su incoación y presunción de inocencia. Asimismo, ejercitó la recusación del instructor por entender que el nombrado no tenía la categoría de funcionario de empleo sino la de personal eventual, desempeñando un puesto de confianza o asesoramiento especial; por tanto, al no ser funcionario público no podía pertenecer a cuerpo o escala de igual o superior grado al que pertenecía el recurrente, según lo dispuesto en el art. 30 del Reglamento de Régimen Disciplinario de los funcionarios de la Administración del Estado ("En la resolución por la que se incoe el procedimiento se nombrará Instructor, que deberá ser un funcionario público perteneciente a un Cuerpo o escala de igual o superior grupo al del inculpado, de los establecidos en el en el art. 25 de la Ley 30/1984, de 2 de agosto"). </w:t>
      </w:r>
    </w:p>
    <w:p w:rsidR="006854DA" w:rsidRDefault="006854DA" w:rsidP="006854DA">
      <w:pPr>
        <w:pStyle w:val="TextoNormal"/>
      </w:pPr>
      <w:r>
        <w:t xml:space="preserve">b) El 12 de mayo de 1992, mediante Decreto del Alcalde, y a la vista de la propuesta formulada por el instructor, se designó Secretaria del procedimiento incoado a doña Rocío Ortiz Priego. Dicha resolución fue notificada al recurrente el 19 de mayo siguiente, quien en la misma fecha, dirigió un nuevo escrito al Alcalde solicitando la nulidad de este último Decreto, alegando nuevamente la falta de información acerca de los hechos que dieron lugar a la incoación del expediente disciplinario y la falta de resolución del incidente de recusación del instructor promovido mediante escrito de 11 de mayo, por lo que solicitó la retroacción de las actuaciones, hasta el momento de la promoción del expediente. </w:t>
      </w:r>
    </w:p>
    <w:p w:rsidR="006854DA" w:rsidRDefault="006854DA" w:rsidP="006854DA">
      <w:pPr>
        <w:pStyle w:val="TextoNormal"/>
      </w:pPr>
      <w:r>
        <w:t xml:space="preserve">c) Por Decreto de 3 de junio de 1992, notificado al recurrente el 9 de junio, se desestimó la primera impugnación efectuada el 11 de mayo de 1992, y por Acuerdo de 5 de junio de 1992, el Alcalde accidental, asistido de la Comisión de Gobierno en sesión ordinaria, desestimó el recurso del recurrente de 19 de mayo de 1992. </w:t>
      </w:r>
    </w:p>
    <w:p w:rsidR="006854DA" w:rsidRDefault="006854DA" w:rsidP="006854DA">
      <w:pPr>
        <w:pStyle w:val="TextoNormal"/>
      </w:pPr>
      <w:r>
        <w:t>d) Por escrito de 8 de junio de 1992, el recurrente presentó reclamación en queja ante el Alcalde-Presidente del Ayuntamiento de Córdoba, alegando defecto de tramitación del procedimiento, infracción de plazos preceptivos, y omisión de trámites, solicitando la nulidad de pleno Derecho de todo lo actuado y la retroacción del expediente al momento en que se promovió y debió ser resuelto el incidente de recusación del instructor, con notifi</w:t>
      </w:r>
      <w:r>
        <w:lastRenderedPageBreak/>
        <w:t xml:space="preserve">cación de la denuncia origen del expediente. La queja fue desestimada mediante Decreto del Alcalde de 19 de junio del mismo año. </w:t>
      </w:r>
    </w:p>
    <w:p w:rsidR="006854DA" w:rsidRDefault="006854DA" w:rsidP="006854DA">
      <w:pPr>
        <w:pStyle w:val="TextoNormal"/>
      </w:pPr>
      <w:r>
        <w:t xml:space="preserve">e) Mediante Decreto de 27 de abril de 1994, se resolvió el expediente disciplinario, declarando al recurrente responsable de dos faltas graves previstas en los apartados e) y l) del art. 7 del Real Decreto 33/1986, de 10 de enero, por el que se aprueba el Reglamento de Régimen Disciplinario de los Funcionarios de la Administración del Estado, considerando probado que don Antonio Delgado García, utilizando el "Diario de Córdoba", de fecha 6 de marzo de 1992, en la Sección de Cartas al Director, empleó las siguientes expresiones referidas al Primer Teniente de Alcalde del Ayuntamiento de Córdoba y Portavoz del Grupo de Concejales IU-CA, don Manuel Pérez Pérez, "chico de los recados" y "con sus alusiones no dice chorradas distintas de aquéllas con las que en plan apagafuegos o public relations nos obsequia regularmente en la prensa local", así como otras expresiones referidas al equipo de gobierno municipal y al Alcalde, tales como "se les acusa de faltar a la verdad" y "de ser osados y de pecar de ligereza". La segunda sanción se impuso por incumplimiento injustificado de la jornada de trabajo. Por todo ello, don Antonio Delgado García fue sancionado con la suspensión de empleo y sueldo durante un período de tres meses. </w:t>
      </w:r>
    </w:p>
    <w:p w:rsidR="006854DA" w:rsidRDefault="006854DA" w:rsidP="006854DA">
      <w:pPr>
        <w:pStyle w:val="TextoNormal"/>
      </w:pPr>
      <w:r>
        <w:t xml:space="preserve">f) Interpuesto recurso de reposición (solicitando nuevamente nulidad de lo actuado hasta la designación del Instructor y la recusación de éste), y ante el silencio de la Administración, se dedujo recurso contencioso-administrativo, interesando en la demanda: A) Que se declare la nulidad del expediente disciplinario seguido contra él, ordenando la reposición del mismo al momento de designar nuevo instructor, que cumpla todos los requisitos legales; y, B) Con carácter subsidiario, que se dicte Sentencia por la que se declare no ajustada a Derecho la denegación presunta del recurso de reposición contra la resolución dictada por el Alcalde de Córdoba en el citado expediente, dejando sin efecto la resolución declarándola nula, y por la que se declare que don Antonio Delgado García no ha cometido ninguna de las dos faltas que se le imputan. </w:t>
      </w:r>
    </w:p>
    <w:p w:rsidR="006854DA" w:rsidRDefault="006854DA" w:rsidP="006854DA">
      <w:pPr>
        <w:pStyle w:val="TextoNormal"/>
      </w:pPr>
      <w:r>
        <w:t xml:space="preserve">g) La Sentencia de la Sala de lo Contencioso-Administrativo en Sevilla del Tribunal Superior de Justicia de Andalucía, de 18 de julio de 1995, estimó parcialmente el recurso formulado contra el Decreto de la Alcaldía de Córdoba, de 27 de abril de 1994, por considerarlo en parte contrario a Derecho, revocando la sanción de tres meses de suspensión de empleo y sueldo e imponiendo al recurrente, como autor de una falta leve, la sanción de apercibimiento. La Sala examinó directamente las cuestiones de fondo planteadas, sin pronunciarse acerca de la solicitud de nulidad del expediente disciplinario y reposición del mismo al momento de designar nuevo instructor. Desde esta perspectiva, estimó el recurso en cuanto a la sanción impuesta por la comisión de una falta prevista en el apartado l) del art. 7 del Real Decreto 33/1986, de 10 de enero - incumplimiento injustificado de la jornada de trabajo-. Sin embargo, y en cuanto a la sanción impuesta por la comisión de una falta prevista en el apartado e) del art. 7 del mencionado Real Decreto -desconsideración con los superiores-, si bien concluye que las circunstancias del caso -enfrentamientos previos entre el funcionario y la Corporación y presencia del derecho a la libertad de expresión- comportan una corrección en la tipificación de la falta como leve, no por ello deja de apreciar una extralimitación en el ejercicio de dicho derecho en las expresiones dirigidas al primer Teniente de Alcalde: "Las expresiones 'chico de los recados', o la acusación de faltar a la verdad o de ser osados y pecar de ligereza, dirigidas al equipo de gobierno, no constituyen más que expresiones, ciertamente críticas, pero exentas de contenido que pueda, por atacar la dignidad de los destinatarios, merecer reproche disciplinario. Sin embargo, cuando se afirma que "con sus alusiones no dice chorradas distintas de aquellas con las </w:t>
      </w:r>
      <w:r>
        <w:lastRenderedPageBreak/>
        <w:t>que en plan 'apagafuegos' o public-relations nos obsequia regularmente", se está incurriendo en un exceso innecesario, superfluo, en la crítica ejercida. La vulgarización del lenguaje, disculpable quizás en la pura contienda política, no debe admitirse en la relación de un funcionario con su superior jerárquico. Menos aún cuando las expresiones se vierten en un canal inapropiado -aunque sea tan utilizado- cual es la prensa local. Según se desprende del expediente, fue el recurrente quien comenzó las comunicaciones epistolares públicas" (fundamento jurídico 5º).</w:t>
      </w:r>
    </w:p>
    <w:p w:rsidR="006854DA" w:rsidRDefault="006854DA" w:rsidP="006854DA">
      <w:pPr>
        <w:pStyle w:val="TextoNormal"/>
      </w:pPr>
    </w:p>
    <w:p w:rsidR="006854DA" w:rsidRDefault="006854DA" w:rsidP="006854DA">
      <w:pPr>
        <w:pStyle w:val="TextoNormal"/>
      </w:pPr>
      <w:r w:rsidRPr="006854DA">
        <w:rPr>
          <w:rStyle w:val="NumeroAFNegritaCaracter"/>
        </w:rPr>
        <w:t>3</w:t>
      </w:r>
      <w:r>
        <w:t>. El recurso de amparo se interpone contra esta última resolución. La representación del recurrente fundamenta la demanda en la vulneración, por una parte, del art. 24.1 C.E., por falta absoluta de motivación y respuesta, en la Sentencia impugnada, con respecto a la nulidad de actuaciones planteada en la demanda como consecuencia de la recusación del Instructor y Secretario nombrados en el procedimiento disciplinario seguido. Por otra, en la violación del derecho a la libertad de expresión y de opinión reconocido en el art. 20.1a) CE, en relación con el art. 14 C.E. Al respecto, entiende que la Sala juzgadora justifica su fallo basándose en la doctrina contenida en la STC de 25 de mayo de 1995, sin especificar a cuál de las tres sentencias que emanan de la Sala Segunda en la expresada fecha -76, 78, 79- se está refiriendo. Pero ya se trate de la STC 76, o de la STC 79/1995, subyace en la ratio decidendi de ambas la protección de la libertad de expresión en aquellos casos en que el sujeto que la ejerce versa críticas sobre la función pública o trata de contestar a opiniones de un tercero. Pues bien, si el ahora recurrente, ante unas opiniones hirientes como las vertidas en una carta precedente del presunto sujeto ofendido, no puede contestar manifestando que dice "chorradas", no puede alcanzarse a concebir un contenido mínimo del derecho fundamental a expresar libremente una opinión, ni del principio de igualdad. Por todo ello solicita que se dicte Sentencia declarando: 1º) El derecho del actor a obtener una respuesta motivada a las cuestiones planteadas en la instancia; 2º) Declarar la nulidad de la Sentencia en cuanto que tales cuestiones ni siquiera son tenidas en consideración y, menos aun motivadas en la misma, ordenando reponer las actuaciones al momento en que las mismas debieron ser objeto de tratamiento y motivación expresa; 3º) Declarar el derecho del actor a la libertad de expresión; 4º) Declarar la nulidad del fallo de la referida Sentencia en cuanto que los hechos que en la misma se reprochan al recurrente no exceden de los límites de la libertad de expresión. 5º) Declarar nula la sanción impuesta; y 6º) Declarar el derecho del actor a la igualdad respecto del presunto agraviado en orden al derecho a expresar y difundir libremente sus opiniones en réplica atemperada a las que previamente se vertieron contra aquél.</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30 de septiembre de 1996, la Sección Segunda de este Tribunal acordó admitir a trámite la demanda de amparo y, a tenor de lo dispuesto en el artículo 51 LOTC, dirigir atenta comunicación al Tribunal Superior de Justicia de Andalucía y al Ayuntamiento de Córdoba, a fin de que, en un plazo no superior a diez días, remitieran, respectivamente, certificación o copia adverada de las actuaciones correspondientes al rollo 1.570/94 y del expediente disciplinario al que dio lugar el Decreto de 29 de abril de 1992, interesándose al propio tiempo que previamente se emplazara, para que en el plazo de diez días pudieran comparecer en el recurso de amparo, a quienes hubieran sido parte en el procedimiento.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5</w:t>
      </w:r>
      <w:r>
        <w:t>. Por escrito registrado el 27 de diciembre de 1996, el Procurador de los Tribunales, don Luciano Bosch Nadal, solicitó se le tuviera como personado y parte en el presente amparo en nombre y representación del Ayuntamiento de Córdoba.</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20 de enero de 1997, la Sección Segunda acordó tener por recibidos los testimonios de las actuaciones remitidos por el Ayuntamiento de Córdoba y el Tribunal Superior de Justicia de Andalucía y escrito del Procurador Sr. Bosch Nadal, a quien se tuvo por personado y parte en nombre y representación del Ayuntamiento de Córdoba. Asimismo, a tenor de lo dispuesto en el art. 52 de la LOTC, la Sección acordó dar vista de todas las actuaciones del recurso, por un plazo común de veinte días, al Ministerio Fiscal y a las partes, para que dentro de dicho término pudieran presentar las alegaciones que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escrito registrado en este Tribunal el 13 de febrero de 1997, la representación del recurrente en amparo dio por reproducidos los argumentos de su demanda, insistiendo en la cuestión de que las manifestaciones enjuiciadas se vertieron en ejercicio del derecho de réplica a una previa agresión dialéctica y que dicha réplica se dirigió contra el portavoz de un grupo político y no a un superior jerárquico.</w:t>
      </w:r>
    </w:p>
    <w:p w:rsidR="006854DA" w:rsidRDefault="006854DA" w:rsidP="006854DA">
      <w:pPr>
        <w:pStyle w:val="TextoNormal"/>
      </w:pPr>
    </w:p>
    <w:p w:rsidR="006854DA" w:rsidRDefault="006854DA" w:rsidP="006854DA">
      <w:pPr>
        <w:pStyle w:val="TextoNormal"/>
      </w:pPr>
      <w:r w:rsidRPr="006854DA">
        <w:rPr>
          <w:rStyle w:val="NumeroAFNegritaCaracter"/>
        </w:rPr>
        <w:t>8</w:t>
      </w:r>
      <w:r>
        <w:t>. La representación procesal del Ayuntamiento de Córdoba registró su escrito ante el Juzgado de Guardia de Madrid en fecha 14 de febrero de 1997. En el mismo se solicita se dicte Sentencia desestimatoria del presente recurso. En relación con la alegación relativa al art. 24.1 C.E., sostiene esta parte que la no respuesta judicial a la nulidad de actuaciones planteada no supone una incongruencia omisiva vetada en el referido precepto, sino, mas bien, un cambio de punto vista, expresado en el aforismo iura novit curia, en cuya virtud los Jueces y Tribunales no están obligados a motivar sus Sentencias, ajustándose estrictamente a las alegaciones de carácter jurídico aducidas por las partes. En cuanto a la supuesta quiebra del art. 20.1a) C.E., considera esta parte que la motivación de la resolución impugnada es suficiente al advertir que las expresiones utilizadas por el actor extralimitaban el ejercicio de aquel derecho fundamental, más si se tiene en cuenta su condición de funcionario que, en virtud del art. 103.1 C.E., conlleva un deber de respeto y obediencia a las autoridades y superiores jerárquicos.</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Ministerio Fiscal formuló alegaciones en escrito registrado el 19 de febrero de 1997, en el que analiza, en primer lugar, la alegada quiebra de la libertad de expresión, pues, a su juicio, su estimación, y es lo que solicita, haría innecesario el análisis de la denunciada incongruencia omisiva. Desde esta perspectiva, considera que es patente que el recurrente emitió su crítica en el ejercicio de su libertad de expresión. Lo que debe dilucidarse es si tal ejercicio era legítimo; y la peculiaridad fundamental del caso es que ha sido sancionado por el hecho de ser funcionario y por haber faltado en tal concepto a la consideración debida a sus superiores. Por tanto, los bienes constitucionalmente protegidos que se encuentran en juego no son la libertad de expresión y el honor, sino la primera y el principio de autoridad. </w:t>
      </w:r>
    </w:p>
    <w:p w:rsidR="006854DA" w:rsidRDefault="006854DA" w:rsidP="006854DA">
      <w:pPr>
        <w:pStyle w:val="TextoNormal"/>
      </w:pPr>
      <w:r>
        <w:t xml:space="preserve">Ahora bien, aun teniendo en cuenta que la libertad de expresión posee límites específicos y más severos para quienes se encuentran en una situación de sujeción especial, el Ministerio Fiscal discrepa de la ponderación efectuada por la Administración Local y por la Sentencia impugnada. En este sentido, parte de que el actor ha formulado una crítica, a </w:t>
      </w:r>
      <w:r>
        <w:lastRenderedPageBreak/>
        <w:t xml:space="preserve">través de la prensa, y en el seno de una polémica acerca del funcionamiento municipal, que, si bien puede calificarse de agria, no posee virtualidad suficiente para exceder los límites de la libertad de expresión. Así, al tratarse de una controversia aceptada por el primer Teniente de Alcalde, es más que dudoso, en opinión del Fiscal, que el demandante actuase en su condición de funcionario y no de ciudadano particular. Es por ello que el Ministerio Fiscal entiende que el amparo debe prosperar, pues la ponderación de los límites a la libertad de expresión efectuada por la Sala a quo no respeta el contenido esencial de tal derecho ni su posición prevalente derivada del hecho de encontrarnos ante una garantía institucional, tanto por la levedad de las expresiones proferidas, como por el concepto en que el actor las manifestó, que fue como ciudadano que formula una crítica a la acción municipal, en el seno de una polémica mantenida con el edil. </w:t>
      </w:r>
    </w:p>
    <w:p w:rsidR="006854DA" w:rsidRDefault="006854DA" w:rsidP="006854DA">
      <w:pPr>
        <w:pStyle w:val="TextoNormal"/>
      </w:pPr>
      <w:r>
        <w:t xml:space="preserve">Por último, por si el amparo no fuera otorgado por el motivo expuesto, el Fiscal considera que la incongruencia omisiva aducida por el actor es también relevante a efectos constitucionales. Tras resumir la doctrina de este Tribunal sobre el concepto de incongruencia omisiva (SSTC 5/1986, 34/1992, 305/1994, 142/1995, 85/1996), concluye que, en el caso de autos, se ha producido efectivamente una lesión del derecho a la tutela judicial, pues el actor planteó a la Sala la nulidad de actuaciones por la irregularidad en el nombramiento del instructor del expediente sancionador, que no reunía las condiciones exigidas legalmente; y, de la mera lectura de la Sentencia impugnada, se deduce que tal pretensión carece por completo de respuesta. La trascendencia de la alegación es, a juicio del Fiscal, indudable, toda vez que su acogimiento hubiera incidido decisivamente en el fallo de la resolución. Así pues, finaliza, nos encontramos ante un supuesto de silencio parcial, en el sentido utilizado por la STC 195/1995, lo que conlleva la necesidad de anular la resolución impugnada para que en su lugar se dicte otra que dé respuesta cumplida a todas las pretensiones del actor. </w:t>
      </w:r>
    </w:p>
    <w:p w:rsidR="006854DA" w:rsidRDefault="006854DA" w:rsidP="006854DA">
      <w:pPr>
        <w:pStyle w:val="TextoNormal"/>
      </w:pPr>
      <w:r>
        <w:t xml:space="preserve">En consecuencia, el Ministerio Fiscal interesa que se dicte Sentencia otorgando el amparo, en los términos antedichos, por cuanto resulta del proceso la lesión del derecho a la libertad de expresión del solicitante de amparo, y, en su defecto, de la tutela judicial efectiva. </w:t>
      </w:r>
    </w:p>
    <w:p w:rsidR="006854DA" w:rsidRDefault="006854DA" w:rsidP="006854DA">
      <w:pPr>
        <w:pStyle w:val="TextoNormal"/>
      </w:pPr>
      <w:r>
        <w:t>9. Por providencia de 7 de mayo de 1997 se acordó señalar el siguiente día 8 de mayo para la deliberación y votación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Es objeto del presente recurso de amparo la Sentencia de la Sala de lo Contencioso- Administrativo en Sevilla del Tribunal Superior de Justicia de Andalucía, de 18 de julio de 1995, recaída en recurso contra el Decreto de la Alcaldía de Córdoba, de 27 de abril de 1994, que sancionó al recurrente como autor responsable de dos faltas graves previstas en los apartados e) y l) del art. 7 del Real Decreto 33/1986, de 10 de enero. Aunque la Sentencia ahora impugnada estimara parcialmente el recurso y revocara la sanción de tres meses de suspensión de empleo y sueldo, imponiendo al recurrente, como autor de una falta leve, la sanción de apercibimiento, el hoy demandante de amparo le sigue imputando dos lesiones distintas de derechos fundamentales: de un lado, una quiebra de los derechos a la libertad de expresión y a la igualdad, reconocidos en el art. 20.1a) y 14 de la C.E., respectivamente; de otro, una violación del derecho a la tutela judicial efectiva sin indefensión, establecido en el art. 24.1 C.E.</w:t>
      </w:r>
    </w:p>
    <w:p w:rsidR="006854DA" w:rsidRDefault="006854DA" w:rsidP="006854DA">
      <w:pPr>
        <w:pStyle w:val="TextoNormal"/>
      </w:pPr>
      <w:r>
        <w:lastRenderedPageBreak/>
        <w:t>La infracción del primer grupo de estos derechos, esto es, la libertad de expresión y el principio de igualdad, se hace derivar de la ponderación efectuada por la Sala, que no habría tenido en cuenta que las manifestaciones enjuiciadas fueron vertidas en ejercicio del derecho de réplica a una previa agresión dialéctica y que dicha réplica se dirigió contra el portavoz de un grupo político y no a un superior jerárquico. La vulneración del derecho a la tutela judicial, se fundamenta en un vicio de incongruencia omisiva, por cuanto la pretensión principal deducida en el recurso contencioso- administrativo nulidad de actuaciones planteada como consecuencia de la no recusación del Instructor nombrado en el procedimiento disciplinario seguido no obtuvo respuesta alguna en la Sentencia del Tribunal Superior de Justicia.</w:t>
      </w:r>
    </w:p>
    <w:p w:rsidR="006854DA" w:rsidRDefault="006854DA" w:rsidP="006854DA">
      <w:pPr>
        <w:pStyle w:val="TextoNormal"/>
      </w:pPr>
      <w:r>
        <w:t>Del mismo parecer es el Ministerio Fiscal, para quien, al margen de ser evidente la incongruencia omisiva denunciada, la ponderación de los límites a la libertad de expresión efectuada por la Sala a quo no respeta el contenido esencial de tal derecho ni su posición prevalente en el caso, tanto por la levedad de las expresiones proferidas, como por el concepto en que el actor las manifestó, esto es, en su calidad de ciudadano que formula una crítica a la acción municipal, en el seno de una polémica mantenida con el edil.</w:t>
      </w:r>
    </w:p>
    <w:p w:rsidR="006854DA" w:rsidRDefault="006854DA" w:rsidP="006854DA">
      <w:pPr>
        <w:pStyle w:val="TextoNormal"/>
      </w:pPr>
      <w:r>
        <w:t>A la pretensión de amparo se opone el Ayuntamiento de Córdoba, que sostiene la constitucionalidad de la resolución impugnada. En este sentido, entiende esta parte, en relación con la pretendida vulneración del art. 20.1a) de la C.E., que la motivación contenida en la referida sentencia es suficiente, en tanto que constata que las expresiones utilizadas por el actor extralimitan el ejercicio de aquel derecho fundamental, teniendo en cuenta su condición de funcionario que, en virtud del art.  103.1 C.E., conlleva un deber de respeto y obediencia a las autoridades y superiores jerárquicos. Y, en cuanto a la supuesta quiebra del artículo 24.1 de la CE, considera que la ausencia de respuesta judicial a la nulidad de actuaciones planteada no supone una incongruencia omisiva vedada en el referido precepto, sino, más bien, un cambio de punto vista, expresado en el aforismo iura novit curia, en cuya virtud los jueces y Tribunales no están obligados a ajustar estrictamente sus sentencias a las alegaciones de carácter jurídico aducidas por las partes.</w:t>
      </w:r>
    </w:p>
    <w:p w:rsidR="006854DA" w:rsidRDefault="006854DA" w:rsidP="006854DA">
      <w:pPr>
        <w:pStyle w:val="TextoNormal"/>
      </w:pPr>
      <w:r>
        <w:t>Así, pues, dos son las cuestiones que se plantean ante este Tribunal: si la Sentencia de la Sala de lo Contencioso-Administrativo en Sevilla del Tribunal Superior de Justicia de Andalucía, de 18 de julio de 1995, ha incurrido en incongruencia omisiva, con la consiguiente violación del art. 24.1 C.E., de una parte, y si ha vulnerado con su respuesta los derechos a la libertad de expresión y a la igualdad, de otra.</w:t>
      </w:r>
    </w:p>
    <w:p w:rsidR="006854DA" w:rsidRDefault="006854DA" w:rsidP="006854DA">
      <w:pPr>
        <w:pStyle w:val="TextoNormal"/>
      </w:pPr>
    </w:p>
    <w:p w:rsidR="006854DA" w:rsidRDefault="006854DA" w:rsidP="006854DA">
      <w:pPr>
        <w:pStyle w:val="TextoNormal"/>
      </w:pPr>
      <w:r w:rsidRPr="006854DA">
        <w:rPr>
          <w:rStyle w:val="NumeroAFNegritaCaracter"/>
        </w:rPr>
        <w:t>2</w:t>
      </w:r>
      <w:r>
        <w:t>. Conviene iniciar el análisis de las quejas enunciadas con la que esgrime la lesión del art.  24.1 de la CE. En este sentido, la pretendida lesión del derecho a la tutela judicial efectiva se aduce por cuanto la resolución impugnada no habría resuelto la pretensión principal deducida en la demanda contenciosa -frente a la subsidiaria que versaba sobre el fondo-, relativa a la nulidad del expediente sancionador, como consecuencia de la denegación en vía administrativa de la recusación del Instructor nombrado en el procedimiento disciplinario seguido.</w:t>
      </w:r>
    </w:p>
    <w:p w:rsidR="006854DA" w:rsidRDefault="006854DA" w:rsidP="006854DA">
      <w:pPr>
        <w:pStyle w:val="TextoNormal"/>
      </w:pPr>
      <w:r>
        <w:t xml:space="preserve">Planteado el problema en tales términos, el punto de partida para su resolución lo constituye la constante doctrina de este Tribunal sobre el vicio de incongruencia de las resoluciones judiciales que puede suponer, según la misma, una denegación de justicia y, por ello, una vulneración del derecho a la tutela judicial efectiva que garantiza el art.  24.1 C.E. Al respecto, y centrándonos en el tipo de incongruencia que se denuncia - incongruencia por defecto u omisiva- hemos reiterado que se trata de un vicio procesal consistente en omitir respuesta judicial a las pretensiones de la parte adecuadamente planteadas, </w:t>
      </w:r>
      <w:r>
        <w:lastRenderedPageBreak/>
        <w:t>lo que constituiría una vulneración de aquél derecho fundamental (SSTC 14/1984, 177/1985, 142/1987, 69/1992, 88/1992, 169/1994, entre otras). Vulneración que, sin embargo, y a la luz de la más reciente jurisprudencia constitucional sobre el tema, no cabe apreciar cuando el silencio judicial pueda razonablemente interpretarse como una desestimación implícita (por todas, SSTC 4/1994 y 169/1994), aunque no se haya pronunciado sobre todas las alegaciones concretas, o no se haya dado una respuesta pormenorizada, siempre que se resuelvan las pretensiones formuladas (SSTC 14/1985, 29/1987, 169/1994, entre otras).</w:t>
      </w:r>
    </w:p>
    <w:p w:rsidR="006854DA" w:rsidRDefault="006854DA" w:rsidP="006854DA">
      <w:pPr>
        <w:pStyle w:val="TextoNormal"/>
      </w:pPr>
      <w:r>
        <w:t>De este modo, y de acuerdo con los principios en que se inspira la doctrina de este Tribunal, lo definitivamente importante consiste en determinar si el silencio parcial de una resolución respecto de un tema debatido sitúa a la parte en indefensión; y ello sucederá siempre que, al omitir un pronunciamiento judicial sobre alguna petición o causa petendi, resulte imposible o especialmente dificultoso descubrir las razones en que la desestimación se basa (STC 195/1995).</w:t>
      </w:r>
    </w:p>
    <w:p w:rsidR="006854DA" w:rsidRDefault="006854DA" w:rsidP="006854DA">
      <w:pPr>
        <w:pStyle w:val="TextoNormal"/>
      </w:pPr>
    </w:p>
    <w:p w:rsidR="006854DA" w:rsidRDefault="006854DA" w:rsidP="006854DA">
      <w:pPr>
        <w:pStyle w:val="TextoNormal"/>
      </w:pPr>
      <w:r w:rsidRPr="006854DA">
        <w:rPr>
          <w:rStyle w:val="NumeroAFNegritaCaracter"/>
        </w:rPr>
        <w:t>3</w:t>
      </w:r>
      <w:r>
        <w:t>. Al amparo de la jurisprudencia transcrita, y centrándonos ya en la cuestión planteada en la presente demanda, para apreciar la incongruencia denunciada debemos comprobar, al menos, si la cuestión fue realmente suscitada en el momento procesal oportuno y, fundamentalmente, si existe una ausencia de contestación sobre algún elemento esencial de la pretensión por parte del órgano judicial generador de indefensión.</w:t>
      </w:r>
    </w:p>
    <w:p w:rsidR="006854DA" w:rsidRDefault="006854DA" w:rsidP="006854DA">
      <w:pPr>
        <w:pStyle w:val="TextoNormal"/>
      </w:pPr>
      <w:r>
        <w:t>De la documentación obrante en autos se desprende con claridad que la pretensión de anulación del expediente administrativo y reposición de las actuaciones al trámite de designar nuevo instructor, que se entiende no contestada por la Sentencia recurrida, fue efectivamente planteada tanto a lo largo de todo el procedimiento administrativo como ante el Tribunal contencioso, conjuntamente con la pretensión subsidiaria de fondo.</w:t>
      </w:r>
    </w:p>
    <w:p w:rsidR="006854DA" w:rsidRDefault="006854DA" w:rsidP="006854DA">
      <w:pPr>
        <w:pStyle w:val="TextoNormal"/>
      </w:pPr>
      <w:r>
        <w:t>Recuérdese -con más detalle se relata en los Antecedentes de esta resolución-, que al incoarse expediente disciplinario al ahora actor, mediante Decreto de la Alcaldía de Córdoba de 29 de abril de 1992, se designó como instructor del mismo a don Pedro A.  Cortés Fernández, funcionario de empleo de dicha Corporación.</w:t>
      </w:r>
    </w:p>
    <w:p w:rsidR="006854DA" w:rsidRDefault="006854DA" w:rsidP="006854DA">
      <w:pPr>
        <w:pStyle w:val="TextoNormal"/>
      </w:pPr>
      <w:r>
        <w:t>El Sr. Delgado García impugnó este acto, y entre otras cuestiones, planteó la recusación del instructor designado, por las siguientes razones: "a) No existe la pretendida categoría de funcionario de empleo, que se le pretende atribuir al instructor designado, sino la de personal eventual (art. 89 L.B.R.L.); b) Como tal personal, el Sr.  Cortés Fernández, desempeña puesto de confianza o asesoramiento especial (art. 89 L.B.R.L.); c) No es funcionario público, y, por tanto, no puede pertenecer a cuerpo o escala de igual o superior grado al que pertenece este funcionario (art. 30 R.R.D.F.A.E.  y 182 R.O.F.)". Por Decreto de 3 de junio de 1992 se desestimó, entre otras, esta pretensión, porque "el Sr. Cortés Fernández, funcionario de empleo de esta Corporación puede ser Instructor del expediente disciplinario, no apreciándose causa de recusación".</w:t>
      </w:r>
    </w:p>
    <w:p w:rsidR="006854DA" w:rsidRDefault="006854DA" w:rsidP="006854DA">
      <w:pPr>
        <w:pStyle w:val="TextoNormal"/>
      </w:pPr>
      <w:r>
        <w:t>Como también se ha expuesto, el ahora recurrente volvió a reproducir su queja en el recurso de reposición contra la Resolución de 27 de abril de 1994 y, ante el silencio de la Administración, la planteó de nuevo en el escrito de formalización de la demanda contencioso-administrativa, interesando: "A) Que se declare la nulidad del expediente disciplinario seguido contra don Antonio Delgado García, ordenando la reposición del mismo al momento de designar nuevo instructor, que cumpla todos los requisitos legales".</w:t>
      </w:r>
    </w:p>
    <w:p w:rsidR="006854DA" w:rsidRDefault="006854DA" w:rsidP="006854DA">
      <w:pPr>
        <w:pStyle w:val="TextoNormal"/>
      </w:pPr>
      <w:r>
        <w:t xml:space="preserve">En consecuencia, debemos concluir que la pretensión supuestamente no resuelta por el órgano judicial fue efectivamente suscitada, desde un punto de vista procesal, oportunamente por el ahora actor. Pero, es más: se trata de una cuestión con decisiva relevancia </w:t>
      </w:r>
      <w:r>
        <w:lastRenderedPageBreak/>
        <w:t>para la solución final del litigio, pues, de prosperar, podría haber impedido una decisión de fondo sobre la cuestión litigiosa, esto es, sobre la procedencia de las sanciones impuestas.</w:t>
      </w:r>
    </w:p>
    <w:p w:rsidR="006854DA" w:rsidRDefault="006854DA" w:rsidP="006854DA">
      <w:pPr>
        <w:pStyle w:val="TextoNormal"/>
      </w:pPr>
      <w:r>
        <w:t>Por otra parte, y en relación con los pronunciamientos de la Sentencia del Tribunal Superior de Justicia, procede también declarar que no se da en los mismos contestación expresa a aquella pretensión. Asimismo, tampoco puede deducirse de otros razonamientos de la Sentencia una respuesta tácita a la cuestión planteada, pues éstos centraron su atención de manera exclusiva en las pretensiones de fondo suscitadas por las partes.</w:t>
      </w:r>
    </w:p>
    <w:p w:rsidR="006854DA" w:rsidRDefault="006854DA" w:rsidP="006854DA">
      <w:pPr>
        <w:pStyle w:val="TextoNormal"/>
      </w:pPr>
      <w:r>
        <w:t>Cabría plantearse si el hecho de que la Sala haya entrado a decidir directamente sobre el fondo del asunto no puede interpretarse, precisamente, como una desestimación implícita de la nulidad solicitada por el actor. O dicho de otro modo: si al órgano judicial no le pudo pasar desapercibida tal cuestión y, sin embargo, se limitó a decidir sobre el fondo, pudiendo así concluir que no la consideró relevante. Sin embargo, como también pusimos de manifiesto en la STC 91/1995, tal planteamiento resulta poco respetuoso, en casos como el presente, no sólo con lo dispuesto en el art.  120.3 de la C.E.  sino, también, con el art. 24.1 C.E. que, como antes se ha indicado, implica la obligación de los órganos judiciales de pronunciarse motivadamente sobre todas las pretensiones; obligación, que si bien no exige una exhaustiva descripción del proceso intelectual que lleva al órgano judicial a adoptar una solución determinada, ni le impone un concreto alcance o intensidad en el razonamiento empleado (SSTC 100/1987 y 109/1992), sí supone al mismo tiempo "una garantía esencial del justiciable mediante la cual, sin perjuicio de la libertad del Juez en la interpretación de las normas, se pueda comprobar que la solución dada al caso es consecuencia de una exégesis racional del ordenamiento y no el fruto de la arbitrariedad" (STC 116/1986). Cuando esta respuesta razonada no se produce, ni es posible deducirla razonablemente de las circunstancias que rodean al caso concreto o de otras afirmaciones de la Sentencia, no se respetan las garantías del art. 24.1 C.E. (STC 91/1995), como ahora es el caso.</w:t>
      </w:r>
    </w:p>
    <w:p w:rsidR="006854DA" w:rsidRDefault="006854DA" w:rsidP="006854DA">
      <w:pPr>
        <w:pStyle w:val="TextoNormal"/>
      </w:pPr>
      <w:r>
        <w:t>En consecuencia, por todo lo expuesto, debemos otorgar el amparo en relación con esta concreta alegación y anular, como se pide, la Sentencia impugnada al objeto de que la Sala de lo Contencioso-Administrativo del Tribunal Superior de Justicia de Andalucia proceda a dictar nueva resolución en la que resuelva expresa y motivadamente sobre la pretensión de anulación del expediente disciplinario por la causa aducida.</w:t>
      </w:r>
    </w:p>
    <w:p w:rsidR="006854DA" w:rsidRDefault="006854DA" w:rsidP="006854DA">
      <w:pPr>
        <w:pStyle w:val="TextoNormal"/>
      </w:pPr>
    </w:p>
    <w:p w:rsidR="006854DA" w:rsidRDefault="006854DA" w:rsidP="006854DA">
      <w:pPr>
        <w:pStyle w:val="TextoNormal"/>
      </w:pPr>
      <w:r w:rsidRPr="006854DA">
        <w:rPr>
          <w:rStyle w:val="NumeroAFNegritaCaracter"/>
        </w:rPr>
        <w:t>4</w:t>
      </w:r>
      <w:r>
        <w:t>. La declaración de la existencia en la Sentencia de la Sala de lo Contencioso- Administrativo en Sevilla del Tribunal Superior de Justicia de Andalucía de un vicio de incongruencia omisiva lesivo del art. 24.1 de la C.E.  no exige que este Tribunal se pronuncie sobre el motivo de amparo que restaría por analizar: la posible vulneración del derecho a la libertad de expresión [(art. 20.1a) de la C.E.)], en relación con el principio de igualdad (art. 14 de la C.E.). Y ello, debe ser así porque quedó incontestada la pretensión relativa a la posible anulación del expediente disciplinario; es decir, una cuestión formal que, de resolverla la Sala en sentido estimatorio, podría tener, en última instancia, incidencia sobre el fondo de las cuestiones enjuiciadas, lo que, lógicamente, veda ahora cualquier pronunciamiento previo sobre las mismas.</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lo expuesto, el Tribunal Constitucional, POR LA AUTORIDAD QUE LE CONFIERE LA CONSTITUCION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parcialmente el recurso de amparo interpuesto por don Antonio Delgado García y, en consecuencia:</w:t>
      </w:r>
    </w:p>
    <w:p w:rsidR="006854DA" w:rsidRDefault="006854DA" w:rsidP="006854DA">
      <w:pPr>
        <w:pStyle w:val="TextoNormal"/>
      </w:pPr>
      <w:r>
        <w:t>1º Reconocer al recurrente su derecho a la tutela judicial efectiva.</w:t>
      </w:r>
    </w:p>
    <w:p w:rsidR="006854DA" w:rsidRDefault="006854DA" w:rsidP="006854DA">
      <w:pPr>
        <w:pStyle w:val="TextoNormal"/>
      </w:pPr>
      <w:r>
        <w:t>2º Anular la Sentencia dictada por la Sala de lo Contencioso-Administrativo en Sevilla del Tribunal Superior de Justicia de Andalucía, de 18 de julio de 1995, recaída en recurso contra el Decreto de la Alcaldía de Córdoba, de 27 de abril de 1994, sobre sanción.</w:t>
      </w:r>
    </w:p>
    <w:p w:rsidR="006854DA" w:rsidRDefault="006854DA" w:rsidP="006854DA">
      <w:pPr>
        <w:pStyle w:val="TextoNormal"/>
      </w:pPr>
      <w:r>
        <w:t>3º Retrotraer las actuaciones al momento inmediatamente anterior al de dictarse la Sentencia anulada, a fin de que dicho Tribunal dicte otra congruente con la totalidad de las pretensiones deducidas por las partes.</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ocho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1" w:name="SENTENCIA_1997_95"/>
      <w:r>
        <w:lastRenderedPageBreak/>
        <w:t>SENTENCIA 95/1997, de 19 de mayo de 1997</w:t>
      </w:r>
    </w:p>
    <w:bookmarkEnd w:id="11"/>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ECLI:ES:TC:1997:95</w:t>
      </w:r>
    </w:p>
    <w:p w:rsidR="006854DA" w:rsidRDefault="006854DA" w:rsidP="006854DA">
      <w:pPr>
        <w:pStyle w:val="SntesisDescriptiva"/>
      </w:pPr>
    </w:p>
    <w:p w:rsidR="006854DA" w:rsidRDefault="006854DA" w:rsidP="006854DA">
      <w:pPr>
        <w:pStyle w:val="SntesisDescriptiva"/>
      </w:pPr>
      <w:r>
        <w:t>Recurso de amparo 829/1993. Contra Sentencia de la Sala de lo Contencioso-Administrativo del T.S.J. de Andalucía, con sede en Málaga, desestimatoria de recurso contencioso-administrativo interpuesto, al amparo de la Ley 62/1978, contra Resolución de la Alcaldía del Ayuntamiento de Fuengirola.</w:t>
      </w:r>
    </w:p>
    <w:p w:rsidR="006854DA" w:rsidRDefault="006854DA" w:rsidP="006854DA">
      <w:pPr>
        <w:pStyle w:val="SntesisDescriptiva"/>
      </w:pPr>
    </w:p>
    <w:p w:rsidR="006854DA" w:rsidRDefault="006854DA" w:rsidP="006854DA">
      <w:pPr>
        <w:pStyle w:val="SntesisAnaltica"/>
      </w:pPr>
      <w:r>
        <w:t>Vulneración del derecho a la tutela judicial efectiva: revisión plena de la actuación administrativa por parte del órgano jurisdiccional.</w:t>
      </w:r>
    </w:p>
    <w:p w:rsidR="006854DA" w:rsidRDefault="006854DA" w:rsidP="006854DA">
      <w:pPr>
        <w:pStyle w:val="SntesisAnaltica"/>
      </w:pPr>
    </w:p>
    <w:p w:rsidR="006854DA" w:rsidRDefault="006854DA" w:rsidP="006854DA">
      <w:pPr>
        <w:pStyle w:val="Extracto"/>
      </w:pPr>
      <w:r>
        <w:t>1.</w:t>
      </w:r>
      <w:r>
        <w:tab/>
        <w:t>La Sentencia impugnada entiende autolimitadas sus funciones en cuanto al conocimiento del fondo de las pretensiones del recurrente, por el criterio de identificar en buena medida el recurso seguido por el cauce de la Ley 62/1978, con el recurso de amparo constitucional. El punto de partida de sus razonamientos estriba en que la citada Ley instauró un proceso contencioso de naturaleza especial, sumario y urgente, que debe quedar limitado al examen de posibles lesiones de derechos fundamentales debidas a la actuación administrativa, sin que esté permitido «examinar cualquier infracción del ordenamiento jurídico, ni entrar a conocer la~ legalidad del acto y su adecuación al ordenamiento general». Sobre la base de esta premisa, la Sentencia impugnada afirma que debe quedar fuera de su enjuiciamiento «todo lo relativo a la adecuación a Derecho o no de la calificación jurídica de los hechos, y si éstos se reputan probados o no, ya que esto sería lo procedente en el recurso ordinario». Declara que debe circunscribir su análisis a la posible discriminación del recurrente con respecto a otros compañeros en igual situación, pero lo cierto es que tampoco entra a conocer de esta materia [F.J. 2].</w:t>
      </w:r>
    </w:p>
    <w:p w:rsidR="006854DA" w:rsidRDefault="006854DA" w:rsidP="006854DA">
      <w:pPr>
        <w:pStyle w:val="Extracto"/>
      </w:pPr>
    </w:p>
    <w:p w:rsidR="006854DA" w:rsidRDefault="006854DA" w:rsidP="006854DA">
      <w:pPr>
        <w:pStyle w:val="Extracto"/>
      </w:pPr>
      <w:r>
        <w:t>2.</w:t>
      </w:r>
      <w:r>
        <w:tab/>
        <w:t>De la propia Ley 62/1978, y más concretamente de su art. 7.1, se desprende que el procedimiento contencioso que regula se caracteriza por tener naturaleza preferente, lo que implica que no es preceptivo agotar la vía administrativa previa (STC 11/1982). Por el contrario, el recurso de amparo planteado contra resoluciones judiciales en sede constitucional, tiene naturaleza subsidiaria, según imponen los apartados a) y c) del art. 44.1 de nuestra Ley Orgánica. En materia de derechos fundamentales y libertades públicas, este Tribunal no tiene la primera sino la última palabra: Actúa, pues, como «ultima ratio». La tutela más inmediata corresponde a los Jueces y Tribunales ordinarios en todo tipo de procesos (art. 7.1 de la L.O.P.J.), y sólo cuando éstos se han pronunciado al respecto, sin resultado satisfactorio para el recurrente, puede éste interponer el oportuno recurso de amparo ante este Tribunal. La jurisdicción constitucional no puede, pues, suplantar a la ordinaria en su función de juzgar y hacer ejecutar lo juzgado, pues en tal caso infringiría lo dispuesto en el art. 117.3 de la Constitución, ni a la del orden contencioso-administrativo en la tarea de controlar la legalidad de la ac</w:t>
      </w:r>
      <w:r>
        <w:lastRenderedPageBreak/>
        <w:t>tuación administrativa, ya que en ese supuesto actuaría en abierta contradicción con lo previsto en el art. 106.1 de la Norma fundamental [F.J. 3].</w:t>
      </w:r>
    </w:p>
    <w:p w:rsidR="006854DA" w:rsidRDefault="006854DA" w:rsidP="006854DA">
      <w:pPr>
        <w:pStyle w:val="Extracto"/>
      </w:pPr>
    </w:p>
    <w:p w:rsidR="006854DA" w:rsidRDefault="006854DA" w:rsidP="006854DA">
      <w:pPr>
        <w:pStyle w:val="Extracto"/>
      </w:pPr>
      <w:r>
        <w:t>3.</w:t>
      </w:r>
      <w:r>
        <w:tab/>
        <w:t>De la Ley 62/1978 y de su norma supletoria, la Ley de la Jurisdicción Contencioso-Administrativa, resulta que el Tribunal competente debe actuar con plenitud de jurisdicción respecto a las circunstancias fácticas que dieran lugar a la vulneración por el acto administrativo de los derechos fundamentales que se denuncien en la demanda. Si no lo hiciera así -como ocurre en este caso- estaría dando por buena la fijación de hechos llevada a cabo por la Administración sancionadora, sin realizar la función revisora jurisdiccional que corresponde a los órganos judiciales. De admitirse el criterio de la Sentencia impugnada resultaría superflua la necesidad de agotar la vía judicial [art. 44.1 a) LOTC] para acceder al amparo constitucional. Precisamente la razón de ser de las limitaciones a que está sometido dicho recurso radica en su naturaleza subsidiaria que condiciona en diversos aspectos (hechos, preceptos aplicables y su interpretación, pruebas y su apreciación...) a lo que ya ha sido revisado en el procedimiento judicial previo al recurso de amparo. Las Salas de lo Contencioso-Administrativo que sustancian el procedimiento contemplado en la Ley 62/1978 sólo pueden relegar los aspectos de legalidad ordinaria, cuando estos aspectos no tengan relación alguna con la tutela de los derechos fundamentales comprendidos en los arts. 14 a 30 de la Constitución. Pero la Sala no sólo puede, sino que -debe y esa es su función-, conocer y pronunciarse acerca de todas las cuestiones que se planteen en la demanda, tanto de hecho como de Derecho, relacionadas con el contenido de los derechos fundamentales invocados, para, previo su enjuiciamiento y fundamentación, adoptar la resolución que estime procedente. Debe actuar, pues, con plena jurisdicción, revisando la actuación administrativa en los términos que establecen los arts. 106.1 y 117.3 C.E., sin más limitación que el objeto del recurso que resuelve responda a los derechos protegidos por la vía de la Ley 62/1978 [F. J.3].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Julio Diego González Campos, don Carles Viver Pi-Sunyer y don Tomás Salvador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 xml:space="preserve">En el recurso de amparo núm. 829/93, interpuesto por el Procurador don Juan Ignacio Ávila del Hierro, en nombre y representación de don Juan Carlos López Carrascosa, quien como Abogado asume su propia defensa, contra la Sentencia de la Sala de lo Contencioso-Administrativo del Tribunal Superior de Justicia de Andalucía, con sede en Málaga, de </w:t>
      </w:r>
      <w:r>
        <w:lastRenderedPageBreak/>
        <w:t>fecha 5 de enero de 1993, por la que se desestima el recurso contencioso-administrativo núm. 1.119/92, interpuesto al amparo de la Ley 62/1978, de 26 de diciembre, de Protección Jurisdiccional de los Derechos Fundamentales de la Persona, contra la Resolución de la Alcaldía del Ayuntamiento de Fuengirola de 26 de mayo de 1992. Ha intervenido el Ministerio Fiscal, siendo Ponente el Magistrado don Fernando García-Mon y González-Regueral,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22 de marzo de 1993, el Procurador don Juan Ignacio Avila del Hierro, obrando en nombre y representación de don Juan Carlos López Carrascosa, interpuso recurso de amparo contra la Sentencia de la que se hace mérito en el encabezamiento.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relevantes para el examen de la pretensión de amparo son, en síntesis, los siguientes: </w:t>
      </w:r>
    </w:p>
    <w:p w:rsidR="006854DA" w:rsidRDefault="006854DA" w:rsidP="006854DA">
      <w:pPr>
        <w:pStyle w:val="TextoNormal"/>
      </w:pPr>
      <w:r>
        <w:t xml:space="preserve">Por Resolución de la Alcaldía de Fuengirola de 26 de mayo de 1992 se consideró al recurrente, funcionario de la Policía Local, responsable de dos faltas graves previstas en el Real Decreto 884/1989, por el que se aprueba el Reglamento del Régimen Disciplinario del Cuerpo Nacional de Policía. La primera, contemplada en el art. 7.5 de esta disposición, consiste en "la dejación de facultades o la infracción de deberes u obligaciones inherentes al cargo o función, cuando se produzcan de forma manifiesta", imponiéndole por ella la sanción de cuatro meses de suspensión de funciones. La segunda falta grave, prevista en el art. 7.12 del mismo Reglamento, consiste en "la emisión de informes sobre asuntos de servicio que, sin faltar abiertamente a la verdad, desnaturalicen la misma, valiéndose de términos ambiguos, confusos o tendenciosos, o la alteren mediante inexactitudes, siempre que el hecho no constituya delito o falta muy grave"; por razón de esta segunda falta, se le impuso al recurrente la sanción de dos meses de suspensión de funciones. </w:t>
      </w:r>
    </w:p>
    <w:p w:rsidR="006854DA" w:rsidRDefault="006854DA" w:rsidP="006854DA">
      <w:pPr>
        <w:pStyle w:val="TextoNormal"/>
      </w:pPr>
      <w:r>
        <w:t>Contra la mencionada Resolución se interpuso recurso contencioso-administrativo por el cauce especial de la Ley 62/1978, alegando la vulneración de los derechos fundamentales reconocidos por los arts. (arts. 14, 24.1 y 2 y 25.1 de la C.E.). El recurso fue desestimado mediante la Sentencia de la Sala correspondiente del Tribunal Superior de Justicia (en adelante, T.S.J.) de Andalucía, de 5 de enero de 1993.</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su escrito de demanda el actor solicita la anulación de la citada Sentencia así como de las sanciones disciplinarias impuestas, imputando a aquélla la vulneración de los derechos fundamentales proclamados en los arts. 14, 24.1 y 2 y 25.1 de la C.E. </w:t>
      </w:r>
    </w:p>
    <w:p w:rsidR="006854DA" w:rsidRDefault="006854DA" w:rsidP="006854DA">
      <w:pPr>
        <w:pStyle w:val="TextoNormal"/>
      </w:pPr>
      <w:r>
        <w:t xml:space="preserve">a) Considera el recurrente que el fallo impugnado lesiona el derecho a la tutela judicial efectiva en relación con el principio de igualdad ante la Ley. Aquel derecho fundamental habría sido vulnerado por cuanto la Sentencia incurrió en incongruencia omisiva, al no pronunciarse sobre la infracción alegada en el recurso del art. 14 de la C.E., más que de una manera incidental. Asimismo se habría lesionado de forma directa el derecho a la igualdad y a la no discriminación, dado que de las diversas pruebas practicadas en la instrucción administrativa y de los preceptos aplicables se deduce que a los demás compañeros no se les imponen las mismas obligaciones que al recurrente y, por tanto, no se les sanciona por su pretendido incumplimiento. </w:t>
      </w:r>
    </w:p>
    <w:p w:rsidR="006854DA" w:rsidRDefault="006854DA" w:rsidP="006854DA">
      <w:pPr>
        <w:pStyle w:val="TextoNormal"/>
      </w:pPr>
      <w:r>
        <w:lastRenderedPageBreak/>
        <w:t xml:space="preserve">b) El segundo motivo de amparo estima lesionados el derecho a la tutela judicial efectiva en relación con los siguientes derechos garantizados en el art. 24.2 de la C.E.: "derecho a la defensa, derecho a la prueba y medios necesarios para articular su defensa, a un proceso justo con todas las garantías constitucionalizadas, a la presunción de inocencia y en general a que no se le cause indefensión". Sobre estas infracciones alega, en síntesis, lo siguiente: </w:t>
      </w:r>
    </w:p>
    <w:p w:rsidR="006854DA" w:rsidRDefault="006854DA" w:rsidP="006854DA">
      <w:pPr>
        <w:pStyle w:val="TextoNormal"/>
      </w:pPr>
      <w:r>
        <w:t xml:space="preserve">Que habiéndo admitido el Tribunal Superior de Justicia la práctica de la prueba consistente en oficiar al Ayuntamiento de Fuengirola para que por el mismo se certificara sobre catorce extremos, la Entidad Local incumplió este requerimiento, lo que fue tolerado por el Tribunal, vulnerando éste el derecho a la defensa y a la prueba e impidiendo la oportuna contradicción. </w:t>
      </w:r>
    </w:p>
    <w:p w:rsidR="006854DA" w:rsidRDefault="006854DA" w:rsidP="006854DA">
      <w:pPr>
        <w:pStyle w:val="TextoNormal"/>
      </w:pPr>
      <w:r>
        <w:t xml:space="preserve">La Sentencia impugnada no ha analizado el fondo de las pretensiones alegadas, dejando fuera de su enjuiciamiento, y como consecuencia del proceso elegido por el recurrente -el previsto en la Ley 62/1978-, todo lo relativo a la adecuación a Derecho o no de la calificación jurídica de los hechos y si estos se reputan probados o no. El Tribunal no ha entrado a conocer de tales extremos para examinar si había existido o no vulneración de los derechos fundamentales invocados en el procedimiento administrativo. Tampoco entró a conocer de las continuas irregularidades formales, materiales y procedimentales que se produjeron en el expediente disciplinario y que fueron denunciadas en el recurso formalizado en virtud de la Ley 62/1978, y muy en particular la arbitraria negativa a obtener vista de lo actuado. </w:t>
      </w:r>
    </w:p>
    <w:p w:rsidR="006854DA" w:rsidRDefault="006854DA" w:rsidP="006854DA">
      <w:pPr>
        <w:pStyle w:val="TextoNormal"/>
      </w:pPr>
      <w:r>
        <w:t xml:space="preserve">La resolución del Tribunal Superior de Justicia infringe la doctrina de este Tribunal (SSTC 18/1981, 48/1984, 70/1984, 96/1985 y 34/1991), conforme a la cual las garantías comprendidas en el art. 24.2 de la C.E. son aplicables, en principio, al procedimiento administrativo sancionador, en cuanto que aquélla expresa literalmente que "la indefensión denunciada junto a la presunción de inocencia se predican, en general, de los procesos judiciales, no de los administrativos". Considera el recurrente que el derecho de defensa no consiste únicamente en efectuar alegaciones, sino además en la posibilidad de proponer y practicar las pruebas pertinentes. </w:t>
      </w:r>
    </w:p>
    <w:p w:rsidR="006854DA" w:rsidRDefault="006854DA" w:rsidP="006854DA">
      <w:pPr>
        <w:pStyle w:val="TextoNormal"/>
      </w:pPr>
      <w:r>
        <w:t xml:space="preserve">Denuncia también el actor que el Tribunal Superior de Justicia ha vulnerado el derecho a la presunción de inocencia, al haber eludido el examen de la valoración de la prueba efectuada por la Administración sancionadora, por entender el Tribunal que "su enjuiciamiento por esta Sala está vedado al amparo del procedimiento escogido", enjuiciamiento que debería ser objeto del recurso ordinario. </w:t>
      </w:r>
    </w:p>
    <w:p w:rsidR="006854DA" w:rsidRDefault="006854DA" w:rsidP="006854DA">
      <w:pPr>
        <w:pStyle w:val="TextoNormal"/>
      </w:pPr>
      <w:r>
        <w:t xml:space="preserve">Finalmente, en el tercer motivo de amparo reprocha al órgano judicial haber transgredido el art. 24.1 (derecho a la tutela judicial efectiva) en relación con el art. 25.1 (principio de legalidad), ambos de la C.E. </w:t>
      </w:r>
    </w:p>
    <w:p w:rsidR="006854DA" w:rsidRDefault="006854DA" w:rsidP="006854DA">
      <w:pPr>
        <w:pStyle w:val="TextoNormal"/>
      </w:pPr>
      <w:r>
        <w:t xml:space="preserve">El Tribunal entiende limitada su capacidad de enjuiciamiento, afirmando que "la Sala no puede enjuiciar la bondad o acierto de la calificación de los hechos, sino si existe tipo sancionador que pueda ser aplicado". En opinión del recurrente este criterio deja vacío de contenido el principio de legalidad en cuanto que ignora que compete a los Tribunales ordinarios preservar las garantías que incluye tal principio, y entre ellas el principio de tipicidad. Mediante este razonamiento el Tribunal Superior de Justicia ha lesionado el principio de tipicidad, pues no ha comprobado la exacta correspondencia entre los hechos imputados y el tipo de las infracciones que se consideran cometidas, incurriendo así en analogía in peius prohibida constitucionalmente. </w:t>
      </w:r>
    </w:p>
    <w:p w:rsidR="006854DA" w:rsidRDefault="006854DA" w:rsidP="006854DA">
      <w:pPr>
        <w:pStyle w:val="TextoNormal"/>
      </w:pPr>
      <w:r>
        <w:t>En definitiva, entiende el recurrente que las autolimitaciones que se ha impuesto la Sala son contrarias a la tutela judicial efectiva que garantizan el art. 24.1 C.E..</w:t>
      </w:r>
    </w:p>
    <w:p w:rsidR="006854DA" w:rsidRDefault="006854DA" w:rsidP="006854DA">
      <w:pPr>
        <w:pStyle w:val="TextoNormal"/>
      </w:pPr>
    </w:p>
    <w:p w:rsidR="006854DA" w:rsidRDefault="006854DA" w:rsidP="006854DA">
      <w:pPr>
        <w:pStyle w:val="TextoNormal"/>
      </w:pPr>
      <w:r w:rsidRPr="006854DA">
        <w:rPr>
          <w:rStyle w:val="NumeroAFNegritaCaracter"/>
        </w:rPr>
        <w:t>4</w:t>
      </w:r>
      <w:r>
        <w:t>. La Sección Cuarta del Tribunal, por providencia de 11 de octubre de 1993, acordó, de conformidad con el art. 50.5 de la LOTC, conceder al recurrente un plazo de diez días para que aportase la Resolución sancionadora del Ayuntamiento de Fuengirola. Por escrito de igual fecha, la representación del recurrente solicitó la suspensión de la ejecución de las sanciones administrativas recurridas. El 18 de noviembre siguiente, la Sección resolvió otorgar al demandante un nuevo plazo de diez días a fin de que aportara copia íntegra de la Resolución administrativa meritada, toda vez que la aportada tras la providencia anterior correspondía únicamente a parte de los "considerandos" de dicha Resolución. El recurrente cumplimentó lo resuelto mediante escrito registrado el 27 de noviembre, al que se adjuntaba la Resolución interesada.</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25 de abril de 1994, acordó la Sección, de conformidad con lo dispuesto en el art. 50.3 de la LOTC, conceder al demandante y al Ministerio Fiscal el plazo común de diez días para que formularan, con las aportaciones documentales que procediesen, las alegaciones que estimaran pertinentes en relación con la carencia manifiesta de contenido constitucional de la demanda (art. 50.1 c] LOTC).</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En su escrito de alegaciones, registrado el 10 de mayo de 1994, el recurrente sintetiza las alegaciones pormenorizadas en su demanda de amparo y estima que la demanda tiene contenido constitucional. </w:t>
      </w:r>
    </w:p>
    <w:p w:rsidR="006854DA" w:rsidRDefault="006854DA" w:rsidP="006854DA">
      <w:pPr>
        <w:pStyle w:val="TextoNormal"/>
      </w:pPr>
      <w:r>
        <w:t xml:space="preserve">Por su parte el Ministerio Fiscal entiende que hay dos alegaciones incluidas en la demanda de las que no puede decirse prima facie, con los documentos aportados, que carezcan manifiestamente de contenido constitucional. Se trata de la supuesta infracción de la tutela judicial efectiva, por incongruencia omisiva, en relación con el principio de igualdad; y de la supuesta vulneración del derecho a la prueba, en tanto en cuanto fue admitida y el demandante la consideró fundamental para la resolución del recurso contencioso-administrativo. Concluye sus alegaciones interesando que, antes de un pronunciamiento sobre la admisión del recurso, se requiera a la Sala de lo Contencioso-Administrativo para que remita el testimonio íntegro de las actuaciones, incluido el expediente administrativo, pues el Fiscal sólo ha tenido acceso a los documentos aportados por el recurrente. </w:t>
      </w:r>
    </w:p>
    <w:p w:rsidR="006854DA" w:rsidRDefault="006854DA" w:rsidP="006854DA">
      <w:pPr>
        <w:pStyle w:val="TextoNormal"/>
      </w:pPr>
      <w:r>
        <w:t xml:space="preserve">En cuanto al primer motivo aducido en la demanda, a juicio del Ministerio Fiscal el recurrente entremezcla dos cuestiones diferentes: por un lado, la incongruencia omisiva respecto a la discriminación previamente alegada, que se imputa a la Sentencia recurrida, y por otro lado, la lesión del art. 14 C.E. y consecuente discriminación, que se atribuyen a las actuaciones administrativas. Pues bien, esta segunda queja no puede prosperar, porque se acude per saltum al recurso de amparo y porque no se aportan elementos que permitan comprobar la existencia de tal vulneración. La demanda se extiende después en las obligaciones que incumben a los miembros de la Policía Local de Fuengirola, lo que constituyen meras discrepancias con la declaración de hechos efectuada en la Resolución administrativa. Sin embargo, la primera cuestión de la incongruencia omisiva ofrece mayores problemas, pues, en efecto, la Sentencia no resuelve expresamente la alegación planteada ni hay datos suficientes para entender que se ha producido una desestimación tácita de la misma. </w:t>
      </w:r>
    </w:p>
    <w:p w:rsidR="006854DA" w:rsidRDefault="006854DA" w:rsidP="006854DA">
      <w:pPr>
        <w:pStyle w:val="TextoNormal"/>
      </w:pPr>
      <w:r>
        <w:t xml:space="preserve">Al abordar el examen del segundo motivo de la demanda, el representante del Ministerio Público da comienzo por el análisis de la queja de lesión del derecho de defensa y a la prueba. En este punto recuerda la doctrina de este Tribunal en el sentido de equiparar la inadmisión de pruebas con la admisión y ausencia de práctica de las mismas, exigiendo en </w:t>
      </w:r>
      <w:r>
        <w:lastRenderedPageBreak/>
        <w:t xml:space="preserve">todo caso (SSTC 30/1986, 147/1987 y 50/1988) que el demandante razone la relevancia que para el fallo tuvo dicha inejecución, pues sólo habrá vulneración en el caso en que el fallo hubiera sido otro si la prueba se hubiere realizado. Aunque la Sala de lo Contencioso-Administrativo se limitó a comprobar si había existido un mínimo de actividad probatoria que sirviera para desvirtuar la presunción de inocencia y no a enjuiciar la valoración de las pruebas hecha por la Administración, lo cierto es -alega el Fiscal- que una lectura del oficio dirigido al Ayuntamiento de Fuengirola muestra que prácticamente todas las diligencias interesadas van dirigidas a demostrar la existencia de un tratamiento discriminatorio contra el demandante de amparo. </w:t>
      </w:r>
    </w:p>
    <w:p w:rsidR="006854DA" w:rsidRDefault="006854DA" w:rsidP="006854DA">
      <w:pPr>
        <w:pStyle w:val="TextoNormal"/>
      </w:pPr>
      <w:r>
        <w:t xml:space="preserve">En relación con las quejas relativas al quebranto de los derechos de defensa y a no sufrir indefensión, a las garantías constitucionalizadas, a un proceso justo y a utilizar los medios de prueba, entiende el Ministerio Público que, de lo alegado en la demanda, no se desprende la vulneración de tales derechos: el demandante de amparo intervino en el expediente administrativo, alegando lo que tuvo por conveniente, además de, ulteriormente, interponer el recurso contencioso-administrativo, en el que propuso y se practicó prueba. </w:t>
      </w:r>
    </w:p>
    <w:p w:rsidR="006854DA" w:rsidRDefault="006854DA" w:rsidP="006854DA">
      <w:pPr>
        <w:pStyle w:val="TextoNormal"/>
      </w:pPr>
      <w:r>
        <w:t>El Ministerio Fiscal termina su escrito solicitando que, antes de decidir sobre la admisión del recurso, se soliciten de la Sala de lo Contencioso-Administrativo testimonio íntegro de las actuaciones, incluido el expediente administrativo, para, a la vista de tales antecedentes, alegar lo procedente en orden a la admisibilidad del recurso.</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providencia de 10 de junio, fue admitida a trámite la demanda y se requirió tanto al Ayuntamiento de Fuengirola como a la Sala del Tribunal Superior de Justicia de Andalucía, con sede en Málaga, la remisión de las correspondientes actuaciones. Asimismo se requirió al Tribunal que emplazara a quienes desearan comparecer en el recurso de amparo y defender sus derechos, a quienes hubieran sido parte en el procedimiento.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Por providencia de la misma fecha la Sección acordó formar la oportuna pieza para la tramitación del incidente sobre suspensión y, de conformidad con el art. 56 LOTC, conceder un plazo común de tres días a la parte recurrente y al Ministerio Fiscal para que alegaran lo que estimasen pertinente sobre dicha suspensión. </w:t>
      </w:r>
    </w:p>
    <w:p w:rsidR="006854DA" w:rsidRDefault="006854DA" w:rsidP="006854DA">
      <w:pPr>
        <w:pStyle w:val="TextoNormal"/>
      </w:pPr>
      <w:r>
        <w:t xml:space="preserve">La representación del demandante, mediante escrito registrado el 16 de junio de 1994, manifestó que la suspensión carecía ya de objeto, toda vez que la Administración había procedido a ejecutar las sanciones impuestas, que se habían cumplido en su integridad. Suplicó, en consecuencia, que se hiciera constar la imposibilidad de suspender cautelarmente dichas sanciones, para que en caso de ser otorgado el amparo solicitado se tuviera en cuenta a efectos del resarcimiento de los daños y perjuicios soportados por el demandante. </w:t>
      </w:r>
    </w:p>
    <w:p w:rsidR="006854DA" w:rsidRDefault="006854DA" w:rsidP="006854DA">
      <w:pPr>
        <w:pStyle w:val="TextoNormal"/>
      </w:pPr>
      <w:r>
        <w:t xml:space="preserve">Por su parte, el Ministerio Fiscal, en escrito registrado el 17 de junio siguiente, entiende que, dado el contenido de la demanda de amparo y el dictamen del Fiscal de 12 de mayo de 1994 interesando su admisión a trámite, y habida cuenta de que los actos administrativos confirmados por la Sentencia recurrida, por su carácter aflictivo (pues no se limitan a consecuencias puramente económicas, al suponer la suspensión de funciones consecuencias claramente personales), harían perder al amparo su finalidad, procede acceder a la suspensión solicitada. </w:t>
      </w:r>
    </w:p>
    <w:p w:rsidR="006854DA" w:rsidRDefault="006854DA" w:rsidP="006854DA">
      <w:pPr>
        <w:pStyle w:val="TextoNormal"/>
      </w:pPr>
      <w:r>
        <w:t xml:space="preserve">La Sala Segunda de este Tribunal, por Auto de 4 de julio de 1994, acordó no haber lugar a decretar la suspensión de la ejecución de la Resolución sancionadora de la Alcaldía de Fuengirola, sobre la base de que tales sanciones habían sido plenamente ejecutadas, tal </w:t>
      </w:r>
      <w:r>
        <w:lastRenderedPageBreak/>
        <w:t>y como puso de manifiesto el propio recurrente en su escrito del pasado 16 de junio de 1994.</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Secretario de la Sala Segunda, a través de diligencia de 15 de enero de 1996, puso de manifiesto que en esa fecha el Ayuntamiento de Fuengirola no había remitido todavía el expediente, a pesar de las numerosas conversaciones telefónicas habidas con la Entidad Local. </w:t>
      </w:r>
    </w:p>
    <w:p w:rsidR="006854DA" w:rsidRDefault="006854DA" w:rsidP="006854DA">
      <w:pPr>
        <w:pStyle w:val="TextoNormal"/>
      </w:pPr>
      <w:r>
        <w:t>El recurrente, mediante escrito de 24 de enero de 1996, formuló una queja por la demora en la tramitación del presente procedimiento, haciendo constar los evidentes perjuicios que se le estaban ocasionando, y, para el caso probable de que dicha demora fuera imputable a la propia Administración sancionadora, solicitaba a este Tribunal que la tuviera decaída en su derecho, exigiendo responsabilidad al funcionario o Autoridad responsable de la demora, y que impulsara de oficio el presente procedimiento.</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Por providencia de 10 de junio de 1996, se requirió por última vez al Ayuntamiento de Fuengirola la remisión del expediente, apercibiendo que, en caso de incumplimiento, se daría traslado del tanto de culpa al Ministerio Fiscal a los efectos de lo previsto en el art. 410 del Código Penal. </w:t>
      </w:r>
    </w:p>
    <w:p w:rsidR="006854DA" w:rsidRDefault="006854DA" w:rsidP="006854DA">
      <w:pPr>
        <w:pStyle w:val="TextoNormal"/>
      </w:pPr>
      <w:r>
        <w:t>Una vez recibido con fecha de 25 de julio de 1996 el expediente remitido por la Alcaldía, se dio vista de las actuaciones a las partes por un plazo común de veinte días para que en su caso formularan las alegaciones pertinentes.</w:t>
      </w:r>
    </w:p>
    <w:p w:rsidR="006854DA" w:rsidRDefault="006854DA" w:rsidP="006854DA">
      <w:pPr>
        <w:pStyle w:val="TextoNormal"/>
      </w:pPr>
    </w:p>
    <w:p w:rsidR="006854DA" w:rsidRDefault="006854DA" w:rsidP="006854DA">
      <w:pPr>
        <w:pStyle w:val="TextoNormal"/>
      </w:pPr>
      <w:r w:rsidRPr="006854DA">
        <w:rPr>
          <w:rStyle w:val="NumeroAFNegritaCaracter"/>
        </w:rPr>
        <w:t>11</w:t>
      </w:r>
      <w:r>
        <w:t>. En cumplimiento de tal trámite, el Sr. López Carrascosa, mediante escrito registrado el 10 de octubre de 1996, solicitó la práctica de la prueba que en su día no fue llevada a cabo ante el Tribunal Superior de Justicia y aportó la STC 120/1996, recaída también en un recurso de amparo promovido por el mismo recurrente.</w:t>
      </w:r>
    </w:p>
    <w:p w:rsidR="006854DA" w:rsidRDefault="006854DA" w:rsidP="006854DA">
      <w:pPr>
        <w:pStyle w:val="TextoNormal"/>
      </w:pPr>
    </w:p>
    <w:p w:rsidR="006854DA" w:rsidRDefault="006854DA" w:rsidP="006854DA">
      <w:pPr>
        <w:pStyle w:val="TextoNormal"/>
      </w:pPr>
      <w:r w:rsidRPr="006854DA">
        <w:rPr>
          <w:rStyle w:val="NumeroAFNegritaCaracter"/>
        </w:rPr>
        <w:t>12</w:t>
      </w:r>
      <w:r>
        <w:t xml:space="preserve">. Por su parte, el Ministerio Fiscal, a través de escrito con fecha de registro de 10 de octubre de 1996, reiteró sus anteriores alegaciones, si bien matizó algunas de ellas. Entiende que el primer motivo de la demanda puede ser obviado por este Tribunal en cuanto a la queja de incongruencia omisiva, dado que el proceso judicial siguió los trámites de la Ley 62/1978, lo que le lleva a considerar que, aunque no se haya resuelto expresamente sobre la cuestión de la discriminación, este Tribunal puede entrar directamente en el fondo de la queja relativa al art. 14 C.E., en cuanto que es el órgano supremo en la interpretación de la Constitución y en la protección de los derechos fundamentales. </w:t>
      </w:r>
    </w:p>
    <w:p w:rsidR="006854DA" w:rsidRDefault="006854DA" w:rsidP="006854DA">
      <w:pPr>
        <w:pStyle w:val="TextoNormal"/>
      </w:pPr>
      <w:r>
        <w:t xml:space="preserve">Propone asimismo desestimar la queja de violación del principio de igualdad, porque el recurrente no aporta ningún término de comparación adecuado que permita comprobar la existencia de la lesión y se limita a realizar alegaciones sobre las obligaciones de los Policías Locales de Fuengirola, que ponen de relieve su discrepancia con la declaración de hechos efectuada en la Resolución administrativa y que carecen de relevancia constitucional. </w:t>
      </w:r>
    </w:p>
    <w:p w:rsidR="006854DA" w:rsidRDefault="006854DA" w:rsidP="006854DA">
      <w:pPr>
        <w:pStyle w:val="TextoNormal"/>
      </w:pPr>
      <w:r>
        <w:t xml:space="preserve">Se manifiesta asimismo el Fiscal favorable a la estimación del motivo que acusa de vulneración del derecho a la prueba, constatando que el Ayuntamiento de Fuengirola ha sido requerido por este Tribunal en varias ocasiones para la remisión del expediente, que, por otra parte, no parece haber cumplimentado correctamente, pues el que ha tenido ocasión de cotejar parece referirse más bien a los hechos que dieron lugar al recurso de amparo núm. 3.205/93, en que se dictó la STC estimatoria 120/1996, y el expediente del que </w:t>
      </w:r>
      <w:r>
        <w:lastRenderedPageBreak/>
        <w:t xml:space="preserve">dimana el presente recurso de amparo (o parte de él) se encuentra entre los testimonios del recurso contencioso-administrativo. </w:t>
      </w:r>
    </w:p>
    <w:p w:rsidR="006854DA" w:rsidRDefault="006854DA" w:rsidP="006854DA">
      <w:pPr>
        <w:pStyle w:val="TextoNormal"/>
      </w:pPr>
      <w:r>
        <w:t xml:space="preserve">En referencia a la queja de haber sido quebrantado el derecho a la presunción de inocencia, razona el Fiscal que las funciones del Tribunal Constitucional cuando examina una alegación de tales características "no es trasladable sin más a la actividad de los órganos de la jurisdicción contencioso-administrativa, tanto en el proceso ordinario como en el de la Ley 62/1978", añadiendo que "los Tribunales no pueden limitarse a un simple control formal de la existencia de una mínima actividad probatoria de cargo por parte de la Administración, sino que han de ejercer sus competencias con plenitud de jurisdicción, lo que supone, por imperativo de los preceptos constitucionales indicados [arts. 106 y 117.3 C.E.], una auténtica valoración propia de la prueba practicada, y no sólo en el expediente, sino en el propio recurso contencioso-administrativo, ya que lo afirmado por la Sala de lo Contencioso-Administrativo supone, a nuestro juicio, una auténtica dejación de funciones que puede incidir, no tanto en el derecho a la presunción de inocencia, como en el más general derecho a la tutela judicial efectiva". </w:t>
      </w:r>
    </w:p>
    <w:p w:rsidR="006854DA" w:rsidRDefault="006854DA" w:rsidP="006854DA">
      <w:pPr>
        <w:pStyle w:val="TextoNormal"/>
      </w:pPr>
      <w:r>
        <w:t>En cuanto al tercer motivo de amparo, entiende el representante del Ministerio Público que las alegaciones del demandante no se refieren tanto a la propia legalidad de la tipificación de las infracciones, como a la aplicación "desviada" de las mismas por parte de la Administración, suscitándose así un problema de presunción de inocencia que, de estimarse el amparo por los motivos ya indicados, deberá ser abordada nuevamente por la Sala de lo Contencioso-Administrativo.</w:t>
      </w:r>
    </w:p>
    <w:p w:rsidR="006854DA" w:rsidRDefault="006854DA" w:rsidP="006854DA">
      <w:pPr>
        <w:pStyle w:val="TextoNormal"/>
      </w:pPr>
    </w:p>
    <w:p w:rsidR="006854DA" w:rsidRDefault="006854DA" w:rsidP="006854DA">
      <w:pPr>
        <w:pStyle w:val="TextoNormal"/>
      </w:pPr>
      <w:r w:rsidRPr="006854DA">
        <w:rPr>
          <w:rStyle w:val="NumeroAFNegritaCaracter"/>
        </w:rPr>
        <w:t>13</w:t>
      </w:r>
      <w:r>
        <w:t>. Tras concederse al Ministerio Fiscal un plazo de cinco días a fin de que alegara lo que estimase pertinente sobre la práctica de la prueba propuesta por la parte demandante, aquél, por escrito de 24 de octubre de 1996, se manifestó contrario a su práctica por haberse ya mostrado partidario de la estimación del amparo por violación del derecho a las pruebas procedentes, que, caso de estimarse por este motivo, daría lugar a su práctica en el proceso judicial.</w:t>
      </w:r>
    </w:p>
    <w:p w:rsidR="006854DA" w:rsidRDefault="006854DA" w:rsidP="006854DA">
      <w:pPr>
        <w:pStyle w:val="TextoNormal"/>
      </w:pPr>
    </w:p>
    <w:p w:rsidR="006854DA" w:rsidRDefault="006854DA" w:rsidP="006854DA">
      <w:pPr>
        <w:pStyle w:val="TextoNormal"/>
      </w:pPr>
      <w:r w:rsidRPr="006854DA">
        <w:rPr>
          <w:rStyle w:val="NumeroAFNegritaCaracter"/>
        </w:rPr>
        <w:t>14</w:t>
      </w:r>
      <w:r>
        <w:t>. Por providencia de 18 de noviembre de 1996, la Sección Tercera acordó no haber lugar a la práctica de la prueba, quedando los autos conclusos para Sentencia.</w:t>
      </w:r>
    </w:p>
    <w:p w:rsidR="006854DA" w:rsidRDefault="006854DA" w:rsidP="006854DA">
      <w:pPr>
        <w:pStyle w:val="TextoNormal"/>
      </w:pPr>
    </w:p>
    <w:p w:rsidR="006854DA" w:rsidRDefault="006854DA" w:rsidP="006854DA">
      <w:pPr>
        <w:pStyle w:val="TextoNormal"/>
      </w:pPr>
      <w:r w:rsidRPr="006854DA">
        <w:rPr>
          <w:rStyle w:val="NumeroAFNegritaCaracter"/>
        </w:rPr>
        <w:t>15</w:t>
      </w:r>
      <w:r>
        <w:t>. Mediante providencia de 14 de mayo de 1997, se señaló para deliberación y votación de la presente Sentencia el día 19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problema que se plantea en este recurso de amparo, en el que, con base en la vulneración de los arts. 14, 24.1 y 2, y 25 de la Constitución, se impugna la Sentencia dictada por la Sala de lo Contencioso-Administrativo del Tribunal Superior de Justicia de Andalucía, de fecha 5 de enero de 1993, dictada en el proceso seguido por la vía de la Ley 62/1978, de Protección Jurisdiccional de los Derechos Fundamentales de la Persona, consiste en determinar si ese procedimiento, por razón de estar legalmente limitado en cuanto a su objeto exclusivamente a la protección de tales derechos, tiene, además, en el plano procesal las limitaciones de defensa y oposición que configuran el recurso de amparo ante este Tribunal -como en lo esencial entiende la Sentencia impugnada-; o si, por el contra</w:t>
      </w:r>
      <w:r>
        <w:lastRenderedPageBreak/>
        <w:t>rio, como se desprende del conjunto de lo argumentado por el recurrente, no está sometido a tales restricciones y la Sala jurisdiccional ejerce esta actividad en plenitud y con las mismas facultades que, en general, tienen los órganos judiciales determinados por las Leyes para adoptar sus resoluciones, como dice el art.  117.3 C.E., "según las normas de competencia y procedimiento que las mismas establezcan".</w:t>
      </w:r>
    </w:p>
    <w:p w:rsidR="006854DA" w:rsidRDefault="006854DA" w:rsidP="006854DA">
      <w:pPr>
        <w:pStyle w:val="TextoNormal"/>
      </w:pPr>
      <w:r>
        <w:t>El recurrente, funcionario de la Policía Local de Fuengirola, fue sancionado por Decreto de la Alcaldía del Ayuntamiento de dicha localidad como autor de dos faltas graves. Recurridas tales sanciones por el cauce de la Ley 62/1978, como queda dicho, se dictó Sentencia que desestimó el recurso y confirmó las sanciones impuestas. Todos y cada uno de los motivos que ahora alega el actor para impugnar aquélla en sede constitucional, consistentes en eventuales vulneraciones de derechos fundamentales, se relacionan con el derecho a la tutela judicial efectiva que entiende vulnerado y que hemos de examinar en primer lugar.</w:t>
      </w:r>
    </w:p>
    <w:p w:rsidR="006854DA" w:rsidRDefault="006854DA" w:rsidP="006854DA">
      <w:pPr>
        <w:pStyle w:val="TextoNormal"/>
      </w:pPr>
    </w:p>
    <w:p w:rsidR="006854DA" w:rsidRDefault="006854DA" w:rsidP="006854DA">
      <w:pPr>
        <w:pStyle w:val="TextoNormal"/>
      </w:pPr>
      <w:r w:rsidRPr="006854DA">
        <w:rPr>
          <w:rStyle w:val="NumeroAFNegritaCaracter"/>
        </w:rPr>
        <w:t>2</w:t>
      </w:r>
      <w:r>
        <w:t>. La Sentencia impugnada entiende autolimitadas sus funciones en cuanto al conocimiento del fondo de las pretensiones del recurrente, por el criterio de identificar en buena medida el recurso seguido por el cauce de la Ley 62/1978, con el recurso de amparo constitucional. El punto de partida de sus razonamientos estriba en que la citada Ley instauró un proceso contencioso de naturaleza especial, sumario y urgente, que debe quedar limitado al examen de posibles lesiones de derechos fundamentales debidas a la actuación administrativa, sin que esté permitido "examinar cualquier infracción del ordenamiento jurídico, ni entrar a conocer la legalidad del acto y su adecuación al ordenamiento general". Sobre la base de esta premisa, la Sentencia impugnada afirma que debe quedar fuera de su enjuiciamiento "todo lo relativo a la adecuación a Derecho o no de la calificación jurídica de los hechos, y si éstos se reputan probados o no, ya que esto sería lo procedente en el recurso ordinario".  Declara que debe circunscribir su análisis a la posible discriminación del recurrente con respecto a otros compañeros en igual situación, pero lo cierto es que tampoco entra a conocer de esta materia.</w:t>
      </w:r>
    </w:p>
    <w:p w:rsidR="006854DA" w:rsidRDefault="006854DA" w:rsidP="006854DA">
      <w:pPr>
        <w:pStyle w:val="TextoNormal"/>
      </w:pPr>
      <w:r>
        <w:t>En cuanto a la denunciada vulneración de la presunción de inocencia, renuncia la Sala de lo Contencioso-Administrativo a enjuiciar la valoración de las pruebas llevada a cabo por la Administración sancionadora, con el argumento de que es de aplicación al respecto la doctrina del Tribunal Constitucional, "habida cuenta la análoga naturaleza sumaria y especial del procedimiento de amparo constitucional y el de amparo ordinario ante Tribunales y regulado por la Ley 62/1978"; la consecuencia es que "lo único que ha podido hacer la Sala en el presente caso es ver si ha habido un mínimo de actividad probatoria que sirva para desvirtuar la presunción de inocencia, nunca valorar la apreciación de pruebas hecha por la Administración, que sería objeto de recurso ordinario".</w:t>
      </w:r>
    </w:p>
    <w:p w:rsidR="006854DA" w:rsidRDefault="006854DA" w:rsidP="006854DA">
      <w:pPr>
        <w:pStyle w:val="TextoNormal"/>
      </w:pPr>
      <w:r>
        <w:t>Por lo que respecta a la denuncia de haber sido transgredido el principio de legalidad de las infracciones administrativas, se insiste en que "la Sala no puede enjuiciar la bondad o acierto de la calificación de los hechos, sino si existe tipo sancionador que pueda ser aplicado", añadiéndose que "la respuesta ha de ser afirmativa al ser subsumible la conducta declarada probada en los tipos aplicados". Por otro lado, se dice que "la indefensión denunciada junto a la presunción de inocencia se predican, en general, de los procesos judiciales, no de los administrativos".</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 solución que necesariamente deriva de este entendimiento de la Sala sobre su función jurisdiccional en esta clase de procesos -y no es otro el problema que hemos de resolver-, ha de ser necesariamente que, en manera alguna, se pueden trasladar al recurso </w:t>
      </w:r>
      <w:r>
        <w:lastRenderedPageBreak/>
        <w:t>contencioso-administrativo de la Ley 62/1978 las limitaciones y restricciones a que está sometido el recurso de amparo por la Ley Orgánica de este Tribunal. Aunque es cierto que uno y otro procedimiento coinciden sustancialmente, ratione materiae, en el examen de las hipotéticas violaciones de los derechos y libertades, de conformidad con lo dispuesto por el art. 53.2 de la C.E. en relación con la Disposición transitoria segunda, 2, de la LOTC (STC 196/1990 y ATC 426/1990). Y también es cierto que en ambos procesos, el de la Ley 62/1978 y el de amparo constitucional, está vedado el conocimiento de los problemas de mera legalidad ordinaria que se planteen, lo que hemos reiterado en varias ocasiones con respecto a aquél (SSTC 37/1982, 24/1983, 84/1987; AATC 773/1987, 224/1991) y en constantes y numerosas ocasiones respecto al recurso de amparo. Pero aquí acaban las similitudes entre uno y otro proceso y comienzan las relevantes diferencias que los separan.</w:t>
      </w:r>
    </w:p>
    <w:p w:rsidR="006854DA" w:rsidRDefault="006854DA" w:rsidP="006854DA">
      <w:pPr>
        <w:pStyle w:val="TextoNormal"/>
      </w:pPr>
      <w:r>
        <w:t>En efecto, de la propia Ley 62/1978, y más concretamente de su art. 7.1, se desprende que el procedimiento contencioso que regula se caracteriza por tener naturaleza preferente, lo que implica que no es preceptivo agotar la vía administrativa previa (STC 11/1982). Por el contrario, el recurso de amparo planteado contra resoluciones judiciales en sede constitucional, tiene naturaleza subsidiaria, según imponen los apartados a) y c) del art. 44.1 de nuestra Ley Orgánica. En materia de derechos fundamentales y libertades públicas, este Tribunal no tiene la primera sino la última palabra: actúa, pues, como ultima ratio. La tutela más inmediata corresponde a los Jueces y Tribunales ordinarios en todo tipo de procesos (art. 7.1 de la L.O.P.J.), y sólo cuando éstos se han pronunciado al respecto, sin resultado satisfactorio para el recurrente, puede éste interponer el oportuno recurso de amparo ante este Tribunal.</w:t>
      </w:r>
    </w:p>
    <w:p w:rsidR="006854DA" w:rsidRDefault="006854DA" w:rsidP="006854DA">
      <w:pPr>
        <w:pStyle w:val="TextoNormal"/>
      </w:pPr>
      <w:r>
        <w:t>La jurisdicción constitucional no puede, pues, suplantar a la ordinaria en su función de juzgar y hacer ejecutar lo juzgado, pues en tal caso infringiría lo dispuesto en el art.  117.3 de la Constitución, ni a la del orden contencioso-administrativo en la tarea de controlar la legalidad de la actuación administrativa, ya que en ese supuesto actuaría en abierta contradicción con lo previsto en el art. 106.1 de la Norma fundamental.</w:t>
      </w:r>
    </w:p>
    <w:p w:rsidR="006854DA" w:rsidRDefault="006854DA" w:rsidP="006854DA">
      <w:pPr>
        <w:pStyle w:val="TextoNormal"/>
      </w:pPr>
      <w:r>
        <w:t>Consecuencia y causa de lo anterior es que este Tribunal no se constituye en una nueva instancia revisora acerca de los hechos (STC 7/1993), pues por imperativo del art. 44.1 b) de la LOTC, le está vedado entrar a conocer de los mismos, cuya determinación corresponde precisamente a los órganos de la jurisdicción ordinaria cuando se solicita su tutela. Sin embargo, de la Ley 62/1978 y de su Disposición supletoria, la Ley de la Jurisdicción Contencioso-Administrativa, resulta que el Tribunal competente debe actuar con plenitud de jurisdicción respecto a las circunstancias fácticas que dieran lugar a la vulneración por el acto administrativo de los derechos fundamentales que se denuncien en la demanda. Si no lo hiciera así, -como ocurre en este caso- estaría dando por buena la fijación de hechos llevada a cabo por la Administración sancionadora, sin realizar la función revisora jurisdiccional que corresponde a los órganos judiciales.</w:t>
      </w:r>
    </w:p>
    <w:p w:rsidR="006854DA" w:rsidRDefault="006854DA" w:rsidP="006854DA">
      <w:pPr>
        <w:pStyle w:val="TextoNormal"/>
      </w:pPr>
      <w:r>
        <w:t xml:space="preserve">De admitirse el criterio de la Sentencia impugnada resultaría superflua la necesidad de agotar la vía judicial [(art. 44.1 a) LOTC] para acceder al amparo constitucional.  Precisamente la razón de ser de las limitaciones a que está sometido dicho recurso radica en su naturaleza subsidiaria que condiciona en diversos aspectos (hechos, preceptos aplicables y su interpretación, pruebas y su apreciación...)  a lo que ya ha sido revisado en el procedimiento judicial previo al recurso de amparo. Las Salas de lo Contencioso-Administrativo que sustancian el procedimiento contemplado en la Ley 62/1978, como ya hemos dicho, sólo pueden relegar los aspectos de legalidad ordinaria, cuando estos aspectos no tengan relación alguna con la tutela de los derechos fundamentales comprendidos en los arts. 14 a </w:t>
      </w:r>
      <w:r>
        <w:lastRenderedPageBreak/>
        <w:t>30 de la Constitución. Pero la Sala no sólo puede sino que debe -y esa es su función-, conocer y pronunciarse acerca de todas las cuestiones que se planteen en la demanda, tanto de hecho como de derecho, relacionadas con el contenido de los derechos fundamentales invocados, para, previo su enjuiciamiento y fundamentación, adoptar la resolución que estime procedente. Debe actuar, pues, con plena jurisdicción, revisando la actuación administrativa en los términos que establecen los arts. 106.1 y 117.3 C.E., sin más limitación que el objeto del recurso que resuelve responda a los derechos protegidos por la vía de la ley 62/1978.</w:t>
      </w:r>
    </w:p>
    <w:p w:rsidR="006854DA" w:rsidRDefault="006854DA" w:rsidP="006854DA">
      <w:pPr>
        <w:pStyle w:val="TextoNormal"/>
      </w:pPr>
    </w:p>
    <w:p w:rsidR="006854DA" w:rsidRDefault="006854DA" w:rsidP="006854DA">
      <w:pPr>
        <w:pStyle w:val="TextoNormal"/>
      </w:pPr>
      <w:r w:rsidRPr="006854DA">
        <w:rPr>
          <w:rStyle w:val="NumeroAFNegritaCaracter"/>
        </w:rPr>
        <w:t>4</w:t>
      </w:r>
      <w:r>
        <w:t>. A la luz de las anteriores consideraciones es obvio que las restricciones que se autoimpuso la Sala de lo Contencioso-Administrativo en el presente caso no encuentran fundamento en la Ley 62/1978 y han supuesto, como con razón sostiene el Ministerio Fiscal, una auténtica dejación de funciones en su tarea de controlar la actuación administrativa. Y con mayor motivo, cuando se estaba ejercitando una primera y única instancia judicial, que por eso mismo debe resolver todas las cuestiones sometidas a su enjuiciamiento. La Sentencia impugnada al no hacerlo así, ha vulnerado el derecho a la tutela judicial efectiva del recurrente, y hasta tanto lo haga, no puede estimarse agotada la vía judicial precedente al recurso de amparo que exigen los arts. 41.1 y 44.1 a) de nuestra Ley Orgánica.</w:t>
      </w:r>
    </w:p>
    <w:p w:rsidR="006854DA" w:rsidRDefault="006854DA" w:rsidP="006854DA">
      <w:pPr>
        <w:pStyle w:val="TextoNormal"/>
      </w:pPr>
    </w:p>
    <w:p w:rsidR="006854DA" w:rsidRDefault="006854DA" w:rsidP="006854DA">
      <w:pPr>
        <w:pStyle w:val="TextoNormal"/>
      </w:pPr>
      <w:r w:rsidRPr="006854DA">
        <w:rPr>
          <w:rStyle w:val="NumeroAFNegritaCaracter"/>
        </w:rPr>
        <w:t>5</w:t>
      </w:r>
      <w:r>
        <w:t>. Conviene, no obstante, que precisemos el alcance de la retroacción de las actuaciones que hemos de acordar. Para ello hemos de ocuparnos de otra alegación formulada por el recurrente. En su demanda de amparo se queja de que el Tribunal, pese a haberla admitido, no llevó a efecto una prueba solicitada por la parte y no cumplimentada por la Administración sancionadora. Sobre ello ha de decidir la Sala con plena jurisdicción y sin estar condicionada por la inactividad de aquélla.</w:t>
      </w:r>
    </w:p>
    <w:p w:rsidR="006854DA" w:rsidRDefault="006854DA" w:rsidP="006854DA">
      <w:pPr>
        <w:pStyle w:val="TextoNormal"/>
      </w:pPr>
      <w:r>
        <w:t>Este Tribunal viene declarando que las garantías procesales establecidas en el art.  24.2 de la C.E. son aplicables no sólo en cualquier proceso judicial, sino también en los procedimientos administrativos sancionadores, con las matizaciones que resulten de su propia naturaleza, en cuanto que en ambos casos se ejerce la potestad punitiva del Estado, lo que ha sido recordado por la STC 120/1996, consecuencia de un recurso planteado por el mismo demandante, y por nuestra reciente STC 39/1997.  Concretamente, en lo que a medios de prueba se refiere, hemos declarado que el derecho del expedientado a utilizar los pertinentes para su defensa tiene relevancia constitucional (SSTC 212/1990 y la ya citada 39/1997).</w:t>
      </w:r>
    </w:p>
    <w:p w:rsidR="006854DA" w:rsidRDefault="006854DA" w:rsidP="006854DA">
      <w:pPr>
        <w:pStyle w:val="TextoNormal"/>
      </w:pPr>
      <w:r>
        <w:t>Por ello, la Sala para resolver el recurso que tiene planteado por la vía de la Ley 62/1978, ha de conocer con toda amplitud y sin restricción alguna, del expediente administrativo en el que se dictó la sanción impugnada y resolver sobre la misma lo que estime procedente sin que, en manera alguna, entienda limitada o condicionada su jurisdicción por la actuación y la decisión de la Administración, cuya revisión es, precisamente, el objeto del proceso.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lastRenderedPageBreak/>
        <w:t>Ha decidido</w:t>
      </w:r>
    </w:p>
    <w:p w:rsidR="006854DA" w:rsidRDefault="006854DA" w:rsidP="006854DA">
      <w:pPr>
        <w:pStyle w:val="TextoNormalCentrado"/>
        <w:keepNext/>
      </w:pPr>
    </w:p>
    <w:p w:rsidR="006854DA" w:rsidRDefault="006854DA" w:rsidP="006854DA">
      <w:pPr>
        <w:pStyle w:val="TextoNormal"/>
      </w:pPr>
      <w:r>
        <w:t>Estimar el recurso de amparo interpuesto por don Juan Carlos López Carrascosa, y en su virtud:</w:t>
      </w:r>
    </w:p>
    <w:p w:rsidR="006854DA" w:rsidRDefault="006854DA" w:rsidP="006854DA">
      <w:pPr>
        <w:pStyle w:val="TextoNormal"/>
      </w:pPr>
      <w:r>
        <w:t>1º. Declarar que se ha vulnerado al recurrente su derecho a la tutela judicial efectiva sin indefensión.</w:t>
      </w:r>
    </w:p>
    <w:p w:rsidR="006854DA" w:rsidRDefault="006854DA" w:rsidP="006854DA">
      <w:pPr>
        <w:pStyle w:val="TextoNormal"/>
      </w:pPr>
      <w:r>
        <w:t>2º. Restablecerle en la integridad de su derecho, para lo cual se anula la Sentencia de la Sala de lo Contencioso-Administrativo del Tribunal Superior de Justicia de Andalucía con sede en Málaga, de 5 de enero de 1993, dictada en el recurso 1.119/92 interpuesto por la vía de la Ley 62/1978, de Protección Jurisdiccional de los Derechos Fundamentales de la Persona.</w:t>
      </w:r>
    </w:p>
    <w:p w:rsidR="006854DA" w:rsidRDefault="006854DA" w:rsidP="006854DA">
      <w:pPr>
        <w:pStyle w:val="TextoNormal"/>
      </w:pPr>
      <w:r>
        <w:t>3º. Retrotraer las actuaciones del mencionado recurso al momento procesal que permita a la Sala practicar la prueba y conocer y resolver todas las cuestiones planteadas en el citado recurso.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diecinueve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2" w:name="SENTENCIA_1997_96"/>
      <w:r>
        <w:lastRenderedPageBreak/>
        <w:t>SENTENCIA 96/1997, de 19 de mayo de 1997</w:t>
      </w:r>
    </w:p>
    <w:bookmarkEnd w:id="12"/>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ECLI:ES:TC:1997:96</w:t>
      </w:r>
    </w:p>
    <w:p w:rsidR="006854DA" w:rsidRDefault="006854DA" w:rsidP="006854DA">
      <w:pPr>
        <w:pStyle w:val="SntesisDescriptiva"/>
      </w:pPr>
    </w:p>
    <w:p w:rsidR="006854DA" w:rsidRDefault="006854DA" w:rsidP="006854DA">
      <w:pPr>
        <w:pStyle w:val="SntesisDescriptiva"/>
      </w:pPr>
      <w:r>
        <w:t>Recurso de amparo 2.099/1994. Contra Sentencia de la Sala de lo Contencioso-Administrativo del T.S.J. de Galicia desestimatoria de reconocimiento de nivel a funcionarios de la Administración autonómica.</w:t>
      </w:r>
    </w:p>
    <w:p w:rsidR="006854DA" w:rsidRDefault="006854DA" w:rsidP="006854DA">
      <w:pPr>
        <w:pStyle w:val="SntesisDescriptiva"/>
      </w:pPr>
    </w:p>
    <w:p w:rsidR="006854DA" w:rsidRDefault="006854DA" w:rsidP="006854DA">
      <w:pPr>
        <w:pStyle w:val="SntesisAnaltica"/>
      </w:pPr>
      <w:r>
        <w:t>Supuesta vulneración del principio de igualdad: exigencia de titulación no lesiva del derecho.</w:t>
      </w:r>
    </w:p>
    <w:p w:rsidR="006854DA" w:rsidRDefault="006854DA" w:rsidP="006854DA">
      <w:pPr>
        <w:pStyle w:val="SntesisAnaltica"/>
      </w:pPr>
    </w:p>
    <w:p w:rsidR="006854DA" w:rsidRDefault="006854DA" w:rsidP="006854DA">
      <w:pPr>
        <w:pStyle w:val="Extracto"/>
      </w:pPr>
      <w:r>
        <w:t>1.</w:t>
      </w:r>
      <w:r>
        <w:tab/>
        <w:t>Desde la STC 23/1984 este Tribunal ha precisado que el núcleo primario del art. 23.2 C.E. viene referido a los cargos electivos y, más específicamente, a los de representación genuinamente política. No obstante, y en virtud del binomio cargos/funciones públicas, ha subsumido igualmente en aquel precepto el acceso a las «funciones públicas» en condiciones de igualdad, de suerte que la protección constitucional (el que constitucionalmente puede caracterizarse como «status» constitucional del cargo funcionarial), se localiza, en esta segunda vertiente, en la identificación de aquellas tareas, cometidos o funciones «realizadas por personal que ostenta la condición de funcionario público y participa en los procesos de formación o manifestación de decisiones imputables a un Ente público» (ATC 154/1987) [F.J. 3].</w:t>
      </w:r>
    </w:p>
    <w:p w:rsidR="006854DA" w:rsidRDefault="006854DA" w:rsidP="006854DA">
      <w:pPr>
        <w:pStyle w:val="Extracto"/>
      </w:pPr>
    </w:p>
    <w:p w:rsidR="006854DA" w:rsidRDefault="006854DA" w:rsidP="006854DA">
      <w:pPr>
        <w:pStyle w:val="Extracto"/>
      </w:pPr>
      <w:r>
        <w:t>2.</w:t>
      </w:r>
      <w:r>
        <w:tab/>
        <w:t>Por otro lado, «desde la STC 7/1984 este Tribunal ha venido sosteniendo que la igualdad o desigualdad entre estructuras, como las situaciones funcionariales, que son -prescindiendo de su sustrato sociológico real- creación del Derecho, es resultado de la definición que éste haga de ellas; esto es, de su configuración jurídica, que puede quedar delimitada por la presencia de muy diversos factores», de suerte que «al amparo del principio de igualdad no es lícito tratar de asimilar situaciones que en origen no han sido equiparadas por las normas jurídicas que las crean», pues «la discriminación, de existir, únicamente derivará de la aplicación por la Administración de criterios de diferenciación no objetivos ni generales» (STC 9/1995) [F.J. 3].</w:t>
      </w:r>
    </w:p>
    <w:p w:rsidR="006854DA" w:rsidRDefault="006854DA" w:rsidP="006854DA">
      <w:pPr>
        <w:pStyle w:val="Extracto"/>
      </w:pPr>
    </w:p>
    <w:p w:rsidR="006854DA" w:rsidRDefault="006854DA" w:rsidP="006854DA">
      <w:pPr>
        <w:pStyle w:val="Extracto"/>
      </w:pPr>
      <w:r>
        <w:t>3.</w:t>
      </w:r>
      <w:r>
        <w:tab/>
        <w:t>La STC 144/1988 ha declarado: «El principio de igualdad que garantiza la Constitución (art. 14) y que está protegido en último término por el recurso constitucional de amparo (art. 53.2 C.E.) opera, como tantas veces hemos dicho, en dos planos distintos. De una parte, frente al legislador, o frente al poder reglamentario, impidiendo que uno u otro puedan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w:t>
      </w:r>
      <w:r>
        <w:lastRenderedPageBreak/>
        <w:t>criminatoria». En cuanto al plano de la aplicación del principio de igualdad «obliga a que (la Ley) sea aplicada efectivamente de modo igual a todos aquellos que se encuentran en la misma situación, sin que el aplicador pueda establecer diferencia alguna en razón de las personas o de circunstancias que no sean precisamente las presentes en las normas» [F.J. 4]. 5. En concreto, por lo que se refiere a la igualdad en la aplicación de la ley, en su faceta judicial, la mencionada Sentencia ha explicado así sus exigencias: «Los órganos del Poder Judicial (...) tanto en la determinación de los hechos como en la interpretación de las normas, son independientes y no están sometidos al control de otro poder del Estado, aunque las decisiones que adoptan pueden ser revisadas, tanto en los hechos como en la interpretación del Derecho, por otros Tribunales a través de los recursos previstos en las leyes procesales», de suerte que «el recurso de amparo ante este Tribunal, que no puede modificar los hechos declarados probados por los Tribunales ordinarios [art. 44.1 b) LOTC], los sujeta también en último término a nuestro control, pero ello sólo para el caso de que hayan aplicado leyes contrarias a la Constitución o hayan interpretado de modo incompatible con ésta las que, en otra interpretación, no lo serían», supuesto fuera del cual «no nos corresponde a nosotros, sino al Tribunal Supremo (art. 123.1 C.E.), determinar cuál es la interpretación correcta de las normas jurídicas» (STC 144/1988). A lo que esta decisión agrega lo siguiente: «Por eso la función de este Tribunal como Tribunal de amparo no es la misma cuando el derecho fundamental cuya lesión se imputa al órgano judicial es alguno de los comprendidos en la sección primera del capítulo segundo del título I de nuestra Constitución, que cuando lo que se supone vulnerado es el principio de igualdad consagrado en su art. 14 y tal vulneración se dice producida por una diferencia en la interpretación. En el primer caso nuestra competencia implica la facultad de determinar si la interpretación judicial de la Ley es conforme o no con la Constitución y nuestra decisión, excluyendo interpretaciones constitucionalmente ilegítimas, es vinculante para todos los Jueces y Tribunales, como expresamente reconoce la Ley Orgánica del Poder Judicial (art. 4.1). En el segundo, y en  cuanto ninguna de las interpretaciones divergentes resulte contraria a la Constitución, el problema que la divergencia plantea sólo puede ser traído ante nosotros cuando quien se siente víctima de una aplicación discriminatoria de la ley pueda ofrecer razones que le autoricen a pensar que la divergencia interpretativa es simplemente la cobertura formal de una decisión, cuyo sentido diverso al de otras decisiones anteriores, y eventualmente posteriores, se debe realmente al hecho de que se han tomado en consideración circunstancias personales o sociales de las partes, incluso simplemente su propia identidad, que no debieron serlo (STC 144/1988) [F.J.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2.099/94, interpuesto por doña María Pilar Castro García, doña Margarita Alonso Santos, don Javier Silva Pando, doña Susana Juana Torres Brabo y don Ignacio Orriols Fernández, representados por el Procurador de los Tribunales don Antonio Francisco García Díaz y bajo la dirección del Letrado don Rafael García Ramos, contra la Sentencia, recaída en el proceso núm. 1.202/91, de la Sección Primera de la Sala de lo Contencioso-Administrativo del Tribunal Superior de Justicia de Galicia, de 30 de abril de 1994. Ha intervenido el Ministerio Fiscal y ha sido parte la Xunta de Galicia, representada por el Procurador don Argimiro Vázquez Guillén y defendida por su Letrada doña Carmen Bouso Montero. Ha sido Ponente el Magistrado don Julio Diego González Campos,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ante este Tribunal el día 15 de junio de 1994, el Procurador de los Tribunales don Antonio Francisco García Díaz, en nombre y representación de los meritados en el encabezamiento, formuló demanda de amparo constitucional contra la Sentencia, resolutoria del recurso núm. 1.202/91, de la Sección Primera de la Sala de lo Contencioso-Administrativo del Tribunal Superior de Justicia (T.S.J.) de Galicia de 30 de abril de 1994, desestimatoria de la pretensión por aquéllos deducida de reconocimiento del nivel 26.</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de que trae causa la demanda de amparo relevantes para la resolución del caso son, en síntesis, los siguientes: </w:t>
      </w:r>
    </w:p>
    <w:p w:rsidR="006854DA" w:rsidRDefault="006854DA" w:rsidP="006854DA">
      <w:pPr>
        <w:pStyle w:val="TextoNormal"/>
      </w:pPr>
      <w:r>
        <w:t xml:space="preserve">a) El Acuerdo del Consejo de la Xunta de Galicia, de 1 de junio de 1989, aprobatorio de la clasificación y valoración de los puestos de trabajo de los funcionarios de la Administración autonómica, atribuyó a las Jefaturas de Servicio C el nivel 26, especificándose, entre los criterios de aplicación, que en aquéllas se incluirían todos los puestos del indicado nivel, aun cuando no tuvieran la consideración de Jefaturas [apartado 2 c)]. Ulteriormente, y por Acuerdo de 14 de septiembre de 1989, se incluyó, a fin de salir al paso de las dificultades surgidas en la interpretación de los consignados criterios de aplicación, en el apartado reseñado la frase "así como los técnicos superiores que realicen funciones facultativas (arquitectos superiores, ingenieros superiores)". </w:t>
      </w:r>
    </w:p>
    <w:p w:rsidR="006854DA" w:rsidRDefault="006854DA" w:rsidP="006854DA">
      <w:pPr>
        <w:pStyle w:val="TextoNormal"/>
      </w:pPr>
      <w:r>
        <w:t>b) Formulada por los interesados, funcionarios, de carrera e interinos, integrados en la Escala de Técnicos Facultativos Superiores, la pertinente solicitud de reconocimiento del nivel 26, la Consellería de Agricultura, Ganadería y Montes de la Xunta denegó, en 4 de junio de 1990, aquélla por entender, de conformidad con el tenor del antes transcrito criterio de aplicación, que el reconocimiento pretendido era improcedente dado que en los peticionarios no concurría la titulación requerida, la de Arquitecto o Ingeniero Superior. De</w:t>
      </w:r>
      <w:r>
        <w:lastRenderedPageBreak/>
        <w:t>negación que, luego de la desestimación de la reposición deducida, fue confirmada por la Sentencia aquí impugnada.</w:t>
      </w:r>
    </w:p>
    <w:p w:rsidR="006854DA" w:rsidRDefault="006854DA" w:rsidP="006854DA">
      <w:pPr>
        <w:pStyle w:val="TextoNormal"/>
      </w:pPr>
    </w:p>
    <w:p w:rsidR="006854DA" w:rsidRDefault="006854DA" w:rsidP="006854DA">
      <w:pPr>
        <w:pStyle w:val="TextoNormal"/>
      </w:pPr>
      <w:r w:rsidRPr="006854DA">
        <w:rPr>
          <w:rStyle w:val="NumeroAFNegritaCaracter"/>
        </w:rPr>
        <w:t>3</w:t>
      </w:r>
      <w:r>
        <w:t>. Los demandantes de amparo cifran la conculcación del art. 14 C.E., precepto a que, en su inteligencia, se contrae la controversia suscitada, en la preterición, a efectos del oportuno reconocimiento del nivel 26, de los funcionarios integrados en Cuerpos o Escalas del grupo A que, aun desempeñando funciones de carácter técnico o facultativo, no poseen la titulación de Arquitecto Superior o de Ingeniero Superior. En esta tesitura, se afirma, la discriminación denunciada trae causa del desconocimiento de la virtualidad de los niveles funcionariales, en cuanto criterios de valoración objetiva de los puestos de trabajo, virtualidad, por ende, a la que es ajena la específica titulación concurrente en el funcionario, de suerte que la reducción a las mencionadas de la aptitud para acceder al nivel pretendido ignora que la integración en Cuerpos o Escalas del grupo A viene dada, además de por las reseñadas de Ingeniero o Arquitecto, por la posesión de los títulos de Doctor o de Licenciado. En suma, y sobre la base de la mera exigencia, según la teleología del Acuerdo rector de la asignación de niveles, del desempeño de funciones de índole facultativa, justamente las desarrolladas, en su condición de "técnicos", por los funcionarios del grupo A (tal y como, por otro lado, se razona en el Voto Particular de la resolución impugnada, así como en la Sentencia, de la misma Sección Primera de la Sala de lo Contencioso-Administrativo del T.S.J. de Galicia, de 7 de septiembre de 1993), impetran la anulación de la Sentencia recurrida y, en su consecuencia, la declaración de procedencia de reconocimiento del controvertido nivel 26.</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la Sección Tercera de 24 de octubre de 1994 se otorgó, de conformidad con el art. 50.3 LOTC, a los demandantes de amparo y al Ministerio Fiscal el plazo común de diez días a fin de que formularan las alegaciones que estimasen pertinentes en relación con la eventual concurrencia del motivo de inadmisión prevenido en el art. 50.1 c) LOTC.</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En el meritado trámite, los recurrentes solicitan, mediante escrito registrado en 30 de noviembre de 1994, la admisión del presente amparo, por entender que una interpretación acorde con las exigencias del art. 14 C.E. impone dotar de prevalencia, a fin de concluir en el reconocimiento del nivel pretendido, al criterio rector que disciplina este reconocimiento, la realización de funciones facultativas por técnicas superiores, criterio que, en su sentir, desplaza la referencia, puramente ejemplificativa, a la específica titulación consignada en el correspondiente Acuerdo, la referida a Arquitectos e Ingenieros. </w:t>
      </w:r>
    </w:p>
    <w:p w:rsidR="006854DA" w:rsidRDefault="006854DA" w:rsidP="006854DA">
      <w:pPr>
        <w:pStyle w:val="TextoNormal"/>
      </w:pPr>
      <w:r>
        <w:t>Por su parte, el Ministerio Fiscal interesa, en virtud de escrito presentado el día 29 de noviembre de 1994, la inadmisión del recurso de amparo, ante la inidoneidad del término de comparación aducido para fundar el juicio de igualdad, que, en su inteligencia, debe versar sobre situaciones idénticas y no meramente análogas (ATC 436/1986), de suerte que la no posesión de la titulación específicamente requerida conduce a la inexistencia de la discriminación postulada (ATC 778/1987), máxime en atención al carácter de estructuras de configuración legal que revisten los cuerpos funcionariales (STC 7/1984, ATC 238/1994).</w:t>
      </w:r>
    </w:p>
    <w:p w:rsidR="006854DA" w:rsidRDefault="006854DA" w:rsidP="006854DA">
      <w:pPr>
        <w:pStyle w:val="TextoNormal"/>
      </w:pPr>
    </w:p>
    <w:p w:rsidR="006854DA" w:rsidRDefault="006854DA" w:rsidP="006854DA">
      <w:pPr>
        <w:pStyle w:val="TextoNormal"/>
      </w:pPr>
      <w:r w:rsidRPr="006854DA">
        <w:rPr>
          <w:rStyle w:val="NumeroAFNegritaCaracter"/>
        </w:rPr>
        <w:t>6</w:t>
      </w:r>
      <w:r>
        <w:t>. Mediante providencia de 24 de enero de 1995, la Sección Tercera acordó admitir a trámite el presente recurso de amparo y, de conformidad con el art. 51 LOTC, dirigir co</w:t>
      </w:r>
      <w:r>
        <w:lastRenderedPageBreak/>
        <w:t>municación a la Consellería de Agricultura, Ganadería y Montes de la Xunta de Galicia a fin de que, en el término de diez días, remitiera certificación o fotocopia adverada de las actuaciones correspondientes al expediente que concluyó en la denegación de reconocimiento a los hoy recurrentes del nivel 26, así como requerir al T.S.J. de Galicia para que, en el expresado plazo, remitiera testimonio de las actuaciones practicadas en el proceso contencioso-administrativo núm. 1.202/91, resuelto por la Sentencia, aquí impugnada, de 30 de abril de 1994, interesando asimismo el emplazamiento de quienes fueron parte en aquél, con excepción de los demandantes de amparo, a fin de que en el término de diez días pudieran comparecer en el proceso constitucional, con traslado a estos efectos de la demanda de amparo.</w:t>
      </w:r>
    </w:p>
    <w:p w:rsidR="006854DA" w:rsidRDefault="006854DA" w:rsidP="006854DA">
      <w:pPr>
        <w:pStyle w:val="TextoNormal"/>
      </w:pPr>
    </w:p>
    <w:p w:rsidR="006854DA" w:rsidRDefault="006854DA" w:rsidP="006854DA">
      <w:pPr>
        <w:pStyle w:val="TextoNormal"/>
      </w:pPr>
      <w:r w:rsidRPr="006854DA">
        <w:rPr>
          <w:rStyle w:val="NumeroAFNegritaCaracter"/>
        </w:rPr>
        <w:t>7</w:t>
      </w:r>
      <w:r>
        <w:t>. Por providencia de la Sección Tercera de 4 de mayo de 1995, se tiene por personado y parte en el procedimiento al Procurador de los Tribunales don Argimiro Vázquez Guillén, en nombre y representación de la Xunta de Galicia, así como por recibidos los testimonios de las actuaciones remitidas por la Consellería de Agricultura, Ganadería y Montes de la Xunta de Galicia y del T.S.J. de Galicia, de las que, a su vez, se dispone dar vista a las partes personadas y al Ministerio Fiscal, a fin de que en el término común de veinte días pudieran, de conformidad con el art. 52 LOTC, presentar las alegaciones que estimasen pertinentes.</w:t>
      </w:r>
    </w:p>
    <w:p w:rsidR="006854DA" w:rsidRDefault="006854DA" w:rsidP="006854DA">
      <w:pPr>
        <w:pStyle w:val="TextoNormal"/>
      </w:pPr>
    </w:p>
    <w:p w:rsidR="006854DA" w:rsidRDefault="006854DA" w:rsidP="006854DA">
      <w:pPr>
        <w:pStyle w:val="TextoNormal"/>
      </w:pPr>
      <w:r w:rsidRPr="006854DA">
        <w:rPr>
          <w:rStyle w:val="NumeroAFNegritaCaracter"/>
        </w:rPr>
        <w:t>8</w:t>
      </w:r>
      <w:r>
        <w:t>. En 25 de mayo de 1995, mediante escrito registrado el siguiente 27, los aquí demandantes formulan sus alegaciones que, en lo sustancial, reproducen las consideraciones expuestas con anterioridad, al contraerse a la denuncia de la interpretación menos favorable a las exigencias de la igualdad cumplida por la Administración autonómica, y no corregida por la resolución judicial impugnada, (SSTC, entre otras, 78/1984, 221/1984, 185/1988), apreciación que, en suma, permite fundar el juicio de discriminación ex art. 14 C.E. (SSTC 109/1988, 253/1988, 103/1990).</w:t>
      </w:r>
    </w:p>
    <w:p w:rsidR="006854DA" w:rsidRDefault="006854DA" w:rsidP="006854DA">
      <w:pPr>
        <w:pStyle w:val="TextoNormal"/>
      </w:pPr>
    </w:p>
    <w:p w:rsidR="006854DA" w:rsidRDefault="006854DA" w:rsidP="006854DA">
      <w:pPr>
        <w:pStyle w:val="TextoNormal"/>
      </w:pPr>
      <w:r w:rsidRPr="006854DA">
        <w:rPr>
          <w:rStyle w:val="NumeroAFNegritaCaracter"/>
        </w:rPr>
        <w:t>9</w:t>
      </w:r>
      <w:r>
        <w:t>. La argumentación desarrollada por la Xunta de Galicia en su escrito de 29 de mayo de 1995, y presentado ante este Tribunal el día 1 de junio, se ciñe, en síntesis, a la elucidación de si, en la caracterización de los recurrentes, la interpretación estricta de los requisitos a que se supedita el reconocimiento del nivel pretendido, aquí cifrada en la exigencia de la posesión del título de Ingeniero o de Arquitecto, ha conculcado el art. 14 C.E. por mor de la diferenciación, discriminatoria, en esta tesitura, llevada a cabo. En este sentido, y luego de recordar las líneas maestras de la jurisprudencia constitucional en este ámbito (SSTC, entre otras, 22/1981, 99/1984), razona acerca de la justificación que ofrece la reducción a las titulaciones meritadas del reconocimiento del nivel considerado, dada la especificidad de las concretas funciones desarrolladas por Arquitectos e Ingenieros, cualitativamente distintas de las desenvueltas por los demás titulados superiores, extremo que, en el seno de la lógica que impone el ejercicio de la potestad de organización de las estructuras que integran el entramado administrativo, legitima, según la doctrina constitucional producida a propósito de las diferenciaciones, retributivas o de otra índole, existentes entre los diversos cuerpos funcionariales (SSTC 7/1984, 236/1994), la aquí cuestionada, que, en consecuencia, no deviene discriminatoria en atención a la diferente entidad de las situaciones de contraste (STC 212/1993). En suma, impetra, por las razones expuestas, la desestimación del amparo solicitado.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10</w:t>
      </w:r>
      <w:r>
        <w:t>. Las alegaciones del Fiscal, registradas en 8 de junio de 1995, se dirigen a la solicitud de desestimación del presente recurso de amparo por entender que no ha sido conculcado el art. 14 C.E. En efecto, argumenta, la no posesión por los recurrentes de la titulación específicamente exigida torna en inidóneo el término de comparación esgrimido (ATC 436/1986), inidoneidad que dimana tanto de la diversidad de las situaciones profesionales contempladas (ATC 778/1987), como del amplio margen de discrecionalidad de que viene investido el legislador al efecto (ATC 238/1994), de suerte que la no constatación en el caso examinado de algún factor de discriminación ex art. 14 C.E. (STC 145/1995) o de la presencia de pretericiones ad personam (ATC 61/1994), determina como ineluctable resultado el carácter no discriminatorio de la consecuencia extraída, la controvertida denegación de reconocimiento de nivel, en atención a la concreta titulación a cuya posesión se supedita aquel reconocimiento (ATC 224/1994).</w:t>
      </w:r>
    </w:p>
    <w:p w:rsidR="006854DA" w:rsidRDefault="006854DA" w:rsidP="006854DA">
      <w:pPr>
        <w:pStyle w:val="TextoNormal"/>
      </w:pPr>
    </w:p>
    <w:p w:rsidR="006854DA" w:rsidRDefault="006854DA" w:rsidP="006854DA">
      <w:pPr>
        <w:pStyle w:val="TextoNormal"/>
      </w:pPr>
      <w:r w:rsidRPr="006854DA">
        <w:rPr>
          <w:rStyle w:val="NumeroAFNegritaCaracter"/>
        </w:rPr>
        <w:t>11</w:t>
      </w:r>
      <w:r>
        <w:t>. Por providencia de 14 de mayo de 1997, se señaló para deliberación y votación de la presente Sentencia, el día 19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queja de los recurrentes se basa en una supuesta lesión del principio de igualdad por el no reconocimiento a los interesados, funcionarios, de carrera e interinos, integrados en la Escala de Técnicos Facultativos Superiores, grupo A, de la Xunta de Galicia, y adscritos a su Consellería de Agricultura, Ganadería y Montes, del nivel 26, que, en su momento, y de conformidad con los Acuerdos del Consejo de la Xunta de 1 de junio y 14 de septiembre de 1989, habían solicitado. Denegación, recordemos, que traía causa de la no posesión por aquéllos de la titulación requerida por el Acuerdo últimamente aludido (esto es, las de Arquitectos Superiores o Ingenieros Superiores) y que es combatida por los demandantes por entender que una recta interpretación de los citados Acuerdos, que habían establecido la clasificación y valoración de los puestos de trabajo de la Administración autonómica, impone alzaprimar el, en su inteligencia, criterio rector de la asignación del controvertido nivel, el ejercicio por técnicos superiores de funciones facultativas; de suerte que la mención (entre paréntesis) a las titulaciones meritadas no reviste sino un mero carácter ejemplificador. Razonamiento que se apoya en la naturaleza de los niveles funcionariales, en tanto que expresión cifrada de la valoración objetiva de los puestos de trabajo, cuya virtualidad no tolera la traducción de la específica posesión de una concreta titulación, cuya trascendencia, por el contrario, se proyecta, con criterios estrictamente clasificatorios, a la pertenencia a un determinado grupo (art. 25 de la Ley 30/1984, de Medidas para la Reforma de la Función Pública).</w:t>
      </w:r>
    </w:p>
    <w:p w:rsidR="006854DA" w:rsidRDefault="006854DA" w:rsidP="006854DA">
      <w:pPr>
        <w:pStyle w:val="TextoNormal"/>
      </w:pPr>
      <w:r>
        <w:t>En suma, viene a argüirse, siendo de los mismos predicable su condición de "técnicos" (caracterización extensible a todos los funcionarios cuyos Cuerpos o Escalas se integran en el grupo A), que, por ende, desempeñan "funciones facultativas", esto es, las anudadas como propias al título que se ostenta, la denegación controvertida incurre en la discriminación proscrita por el art. 14 C.E. Pues margina a funcionarios del grupo A, que poseen, como es el caso, ya el título de Doctor, ya, meramente, el de Licenciado ex art. 25 de la Ley 30/1984, del disfrute del nivel pretendido, en virtud de una diferenciación, la concurrencia de la específica titulación reseñada, carente de base objetiva y razonable, o, al menos, cuya exigencia desconoce los imperativos de la interpretación más favorable a la ex</w:t>
      </w:r>
      <w:r>
        <w:lastRenderedPageBreak/>
        <w:t>tensión de un mismo tratamiento a situaciones que se juzgan investidas de una sustancial identidad.</w:t>
      </w:r>
    </w:p>
    <w:p w:rsidR="006854DA" w:rsidRDefault="006854DA" w:rsidP="006854DA">
      <w:pPr>
        <w:pStyle w:val="TextoNormal"/>
      </w:pPr>
    </w:p>
    <w:p w:rsidR="006854DA" w:rsidRDefault="006854DA" w:rsidP="006854DA">
      <w:pPr>
        <w:pStyle w:val="TextoNormal"/>
      </w:pPr>
      <w:r w:rsidRPr="006854DA">
        <w:rPr>
          <w:rStyle w:val="NumeroAFNegritaCaracter"/>
        </w:rPr>
        <w:t>2</w:t>
      </w:r>
      <w:r>
        <w:t>. Nos hallamos, pues, en el ámbito de la función pública, a cuyo acceso en condiciones de igualdad el art. 23.2 C.E. anuda la consideración de derecho fundamental. Asimismo, y con carácter preliminar, conviene advertir que el presente es un amparo del art. 43 LOTC, dado que la lesión (en la inteligencia de los recurrentes, del art. 14 C.E.)  es imputada a una decisión de la Administración Pública. Quiere significar lo anterior que, aun cuando se aporte, como término de contraste, una resolución del mismo órgano judicial que concita esta litis cuyo pronunciamiento abona, prima facie, las tesis por aquéllos postuladas (tesis que, por otro lado, son las del Voto Particular de la Sentencia aquí impugnada), no deviene, en cambio, suficiente y precisamente articulada la queja sobre la vulneración por el meritado órgano judicial del art.  14 C.E., en atención al apartamiento inmotivado del criterio sentado con anterioridad; queja, dicho sea a mayor abundamiento, que no podría confluir en la oportuna declaración de conculcación de aquel derecho, a la vista de los términos en que se expresa el fallo impugnado (por todas, STC 47/1995, fundamento jurídico 3º).</w:t>
      </w:r>
    </w:p>
    <w:p w:rsidR="006854DA" w:rsidRDefault="006854DA" w:rsidP="006854DA">
      <w:pPr>
        <w:pStyle w:val="TextoNormal"/>
      </w:pPr>
    </w:p>
    <w:p w:rsidR="006854DA" w:rsidRDefault="006854DA" w:rsidP="006854DA">
      <w:pPr>
        <w:pStyle w:val="TextoNormal"/>
      </w:pPr>
      <w:r w:rsidRPr="006854DA">
        <w:rPr>
          <w:rStyle w:val="NumeroAFNegritaCaracter"/>
        </w:rPr>
        <w:t>3</w:t>
      </w:r>
      <w:r>
        <w:t>. Sentado esto, conviene recordar las líneas maestras de la igualdad en el ámbito funcionarial que ha ido perfilando la jurisprudencia constitucional.  Así, puede traerse a colación que desde la STC 23/1984 (pasando por las SSTC 18/1984, 28/1984, 48/1988, 49/1988, 133/1989, 160/1990 y 163/1991), este Tribunal ha precisado que el núcleo primario del art. 23.2 C.E. viene referido a los cargos electivos y, más específicamente, a los de representación genuinamente política. No obstante, y en virtud del binomio cargos/funciones públicas, ha subsumido igualmente en aquel precepto el acceso a las "funciones públicas" en condiciones de igualdad, de suerte que la protección constitucional (el que constitucionalmente puede caracterizarse como status constitucional del cargo funcionarial), se localiza, en esta segunda vertiente, en la identificación de aquellas tareas, cometidos o funciones "realizadas por personal que ostenta la condición de funcionario público y participa en los procesos de formación o manifestación de decisiones imputables a un Ente público" (ATC 154/1987, fundamento jurídico 3º. Línea jurisprudencial que, a partir de la STC 42/1981, dibuja una constante en la jurisprudencia constitucional: últimamente, SSTC 93/1995, 11/1996, 115/1996); aun cuando, en todo caso, y como verdadera pieza de toque de aquel status constitucional, desde la estricta óptica del principio de igualdad (SSTC 5/1983, 10/1983, 50/1986, 193/1987, 10/1989, 24/1989, 67/1989, 79/1989, 24/1990, 27/1991, 185/1994, 93/1995 y 115/1996), en su concreción del art.  23.2 C.E., de preferente aplicación sobre el más genérico del art. 14 C.E.  (SSTC 75/1983, 50/1986, 84/1987, 86/1987, 10/1989, 67/1989, 27/1991, 217/1992, 293/1993, 73/1994 y ATC 858/1988).</w:t>
      </w:r>
    </w:p>
    <w:p w:rsidR="006854DA" w:rsidRDefault="006854DA" w:rsidP="006854DA">
      <w:pPr>
        <w:pStyle w:val="TextoNormal"/>
      </w:pPr>
      <w:r>
        <w:t xml:space="preserve">Asimismo, hemos declarado que la igualdad, en su acepción primaria, proscribe ya la determinación de requisitos que traduzcan desigualdades arbitrarias (SSTC 75/1983, 50/1986, 148/1986, 192/1987, 193/1987, 75/1988 y 67/1989), ya la fijación de reglas y condiciones rectoras del acceso de las que en modo alguno puedan predicarse las notas de generalidad y abstracción, por implicar, en virtud de su individualización y concreción, verdaderas acepciones o, sensu contrario, pretericiones ad personam (SSTC 42/1981, 50/1986, 148/1986, 18/1987, 67/1989, 27/1991, 93/1995 y 11/1996), ya, finalmente, la transgresión de las bases del procedimiento de selección en detrimento de algunos de los en él intervinientes (STC 115/1996). A su vez, y como corolario del sistema, el art. 23.2 </w:t>
      </w:r>
      <w:r>
        <w:lastRenderedPageBreak/>
        <w:t>C.E. despliega su virtualidad, aunque con diferente intensidad, no sólo en el momento de acceso sino, asimismo, en el del desarrollo de la correspondiente función pública, esto es, que el ámbito que diseña aquel precepto se contrae tanto al acceso como a la permanencia en la función pública, según se expone, a modo de síntesis, en las SSTC 293/1993 (fundamento jurídico 4º) y 73/1994 (fundamento jurídico 2º).</w:t>
      </w:r>
    </w:p>
    <w:p w:rsidR="006854DA" w:rsidRDefault="006854DA" w:rsidP="006854DA">
      <w:pPr>
        <w:pStyle w:val="TextoNormal"/>
      </w:pPr>
      <w:r>
        <w:t>Por otro lado, e igualmente a modo de exposición de un criterio reiterado, procede recordar que "desde la STC 7/1984 este Tribunal ha venido sosteniendo que la igualdad o desigualdad entre estructuras, como las situaciones funcionariales, que son - prescindiendo de su sustrato sociológico real- creación del Derecho, es resultado de la definición que éste haga de ellas; esto es, de su configuración jurídica, que puede quedar delimitada por la presencia de muy diversos factores", de suerte que "al amparo del principio de igualdad no es lícito tratar de asimilar situaciones que en origen no han sido equiparadas por las normas jurídicas que las crean", pues "la discriminación, de existir, únicamente derivará de la aplicación por la Administración de criterios de diferenciación no objetivos ni generales (SSTC 68/1989, 77/1990, 48/1992, 293/1993, 82/1994, 236/1994 y 237/1994)" (STC 9/1995, fundamento jurídico 3º).</w:t>
      </w:r>
    </w:p>
    <w:p w:rsidR="006854DA" w:rsidRDefault="006854DA" w:rsidP="006854DA">
      <w:pPr>
        <w:pStyle w:val="TextoNormal"/>
      </w:pPr>
      <w:r>
        <w:t>Más específicamente aún, en relación con las pretensiones de equiparación retributiva, hemos señalado que "la equiparación entre dos Cuerpos o Categorías de Funcionarios, a efectos de lo dispuesto en el art. 14 C.E., no puede fundarse exclusivamente en la identidad de titulación requerida para el ingreso en los mismos, en la similitud de su denominación o de las funciones que corresponda desempeñar a sus integrantes o en circunstancias de hecho semejantes (STC 68/1989, fundamento jurídico 2º)", en la medida en que "la simple constatación de la diferencia retributiva entre dos Cuerpos o Categorías de funcionarios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C.E.  (SSTC 77/1990, fundamento jurídico 3º; 48/1992, fundamento jurídico 2º)" (STC 236/1994, fundamento jurídico 2º).</w:t>
      </w:r>
    </w:p>
    <w:p w:rsidR="006854DA" w:rsidRDefault="006854DA" w:rsidP="006854DA">
      <w:pPr>
        <w:pStyle w:val="TextoNormal"/>
      </w:pPr>
    </w:p>
    <w:p w:rsidR="006854DA" w:rsidRDefault="006854DA" w:rsidP="006854DA">
      <w:pPr>
        <w:pStyle w:val="TextoNormal"/>
      </w:pPr>
      <w:r w:rsidRPr="006854DA">
        <w:rPr>
          <w:rStyle w:val="NumeroAFNegritaCaracter"/>
        </w:rPr>
        <w:t>4</w:t>
      </w:r>
      <w:r>
        <w:t>. Efectuadas las precedentes consideraciones, es llegada la hora de extraer las oportunas consecuencias en el caso que nos ocupa. No obstante, y en la medida en que la denunciada discriminación trae causa de la interpretación realizada por la Administración, y confirmada en la resolución recurrida, acerca de los términos a que el pertinente Acuerdo supeditaba el reconocimiento del controvertido nivel (y cuya no impugnación autónoma no excusaría en este momento el examen de su corrección: SSTC 193/1987, 200/1991, 93/1995), y, en concreto, sobre la exigencia de una específica titulación para acceder al disfrute de aquél, es conveniente recordar, una vez más, el alcance que el binomio igualdad en la ley-igualdad en la aplicación de la ley ofrece en supuestos como el considerado, en particular, por lo que atañe al segundo de los términos implicados.</w:t>
      </w:r>
    </w:p>
    <w:p w:rsidR="006854DA" w:rsidRDefault="006854DA" w:rsidP="006854DA">
      <w:pPr>
        <w:pStyle w:val="TextoNormal"/>
      </w:pPr>
      <w:r>
        <w:t xml:space="preserve">Así, y como precisa formulación de la referida distinción, la STC 144/1988 ha declarado: "El principio de igualdad que garantiza la Constitución (art. 14) y que está protegido en último término por el recurso constitucional de amparo (art. 53.2 C.E.)  opera, como tantas veces hemos dicho, en dos planos distintos. De una parte, frente al legislador, o frente al poder reglamentario, impidiendo que uno u otro puedan configurar los supuestos de hecho de la norma de modo tal que se de trato distinto a personas que, desde todos los puntos de vista legítimamente adoptables, se encuentran en la misma situación o, dicho de otro modo, impidiendo que se otorgue relevancia jurídica a circunstancias que, o bien no </w:t>
      </w:r>
      <w:r>
        <w:lastRenderedPageBreak/>
        <w:t>pueden ser jamás tomadas en consideración por prohibirlo así expresamente la propia Constitución, o bien no guardan relación alguna con el sentido de la regulación que, al incluirlas, incurre en arbitrariedad y es por eso discriminatoria". Frente al indicado, el otro plano, el de la aplicación, del principio de igualdad "obliga a que (la Ley) sea aplicada efectivamente de modo igual a todos aquellos que se encuentran en la misma situación, sin que el aplicador pueda establecer diferencia alguna en razón de las personas o de circunstancias que no sean precisamente las presentes en las normas" (fundamento jurídico 1º).</w:t>
      </w:r>
    </w:p>
    <w:p w:rsidR="006854DA" w:rsidRDefault="006854DA" w:rsidP="006854DA">
      <w:pPr>
        <w:pStyle w:val="TextoNormal"/>
      </w:pPr>
    </w:p>
    <w:p w:rsidR="006854DA" w:rsidRDefault="006854DA" w:rsidP="006854DA">
      <w:pPr>
        <w:pStyle w:val="TextoNormal"/>
      </w:pPr>
      <w:r w:rsidRPr="006854DA">
        <w:rPr>
          <w:rStyle w:val="NumeroAFNegritaCaracter"/>
        </w:rPr>
        <w:t>5</w:t>
      </w:r>
      <w:r>
        <w:t>. En concreto, por lo que a esta segunda dimensión del principio de igualdad se refiere, la igualdad en la aplicación de la ley, en su faceta judicial, el mencionado pronunciamiento ha explicado así sus exigencias: "Los órganos del Poder Judicial (...)  tanto en la determinación de los hechos como en la interpretación de las normas, son independientes y no están sometidos al control de otro poder del Estado, aunque las decisiones que adoptan pueden ser revisadas, tanto en los hechos como en la interpretación del Derecho, por otros Tribunales a través de los recursos previstos en las leyes procesales", de suerte que "el recurso de amparo ante este Tribunal, que no puede modificar los hechos declarados probados por los Tribunales ordinarios [art.  44.1 b) LOTC], los sujeta también en último término a nuestro control, pero ello sólo para el caso de que hayan aplicado leyes contrarias a la Constitución o hayan interpretado de modo incompatible con ésta las que, en otra interpretación, no lo serían", supuesto fuera del cual "no nos corresponde a nosotros, sino al Tribunal Supremo (art. 123.1 C.E.), determinar cuál es la interpretación correcta de las normas jurídicas" (STC 144/1988, fundamento jurídico 1º).</w:t>
      </w:r>
    </w:p>
    <w:p w:rsidR="006854DA" w:rsidRDefault="006854DA" w:rsidP="006854DA">
      <w:pPr>
        <w:pStyle w:val="TextoNormal"/>
      </w:pPr>
      <w:r>
        <w:t>A lo que esta decisión agrega lo siguiente: "Por eso la función de este Tribunal como Tribunal de amparo no es la misma cuando el derecho fundamental cuya lesión se imputa al órgano judicial es alguno de los comprendidos en la Sección Primera del Capítulo Segundo del Título I de nuestra Constitución, que cuando lo que se supone vulnerado es el principio de igualdad consagrado en su art. 14 y tal vulneración se dice producida por una diferencia en la interpretación. En el primer caso nuestra competencia implica la facultad de determinar si la interpretación judicial de la Ley es conforme o no con la Constitución y nuestra decisión, excluyendo interpretaciones constitucionalmente ilegítimas, es vinculante para todos los Jueces y Tribunales, como expresamente reconoce la Ley Orgánica del Poder Judicial (art. 4.1). En el segundo, y en cuanto ninguna de las interpretaciones divergentes resulte contraria a la Constitución, el problema que la divergencia plantea sólo puede ser traído ante nosotros cuando quien se siente víctima de una aplicación discriminatoria de la ley pueda ofrecer razones que le autoricen a pensar que la divergencia interpretativa es simplemente la cobertura formal de una decisión, cuyo sentido diverso al de otras decisiones anteriores, y eventualmente posteriores, se debe realmente al hecho de que se han tomado en consideración circunstancias personales o sociales de las partes, incluso simplemente su propia identidad, que no debieron serlo" (STC 144/1988, fundamento jurídico 3º; en sentido análogo, SSTC 109/1988, fundamento jurídico 2º, 253/1988, en particular, fundamentos jurídicos 3º y 4º, 103/1990, fundamento jurídico 2º, donde se razona acerca de la imbricación en el art. 14 C.E. de la denominada "interpretación integradora"). No ha existido, pues, vulneración de la igualdad en la aplicación de la Ley.</w:t>
      </w:r>
    </w:p>
    <w:p w:rsidR="006854DA" w:rsidRDefault="006854DA" w:rsidP="006854DA">
      <w:pPr>
        <w:pStyle w:val="TextoNormal"/>
      </w:pPr>
    </w:p>
    <w:p w:rsidR="006854DA" w:rsidRDefault="006854DA" w:rsidP="006854DA">
      <w:pPr>
        <w:pStyle w:val="TextoNormal"/>
      </w:pPr>
      <w:r w:rsidRPr="006854DA">
        <w:rPr>
          <w:rStyle w:val="NumeroAFNegritaCaracter"/>
        </w:rPr>
        <w:t>6</w:t>
      </w:r>
      <w:r>
        <w:t>. Pues bien, la elucidación de la cuestión propuesta, que abordamos seguidamente, exige tener en cuenta, a modo de recapitulación, las siguientes premisas: a) aun cuando el principio de igualdad ex art. 23.2 C.E. -precepto que se erige, ante la no constancia de alguno de los factores de discriminación proscritos por el art. 14 C.E., en parámetro deci</w:t>
      </w:r>
      <w:r>
        <w:lastRenderedPageBreak/>
        <w:t>sor de aquélla- opera tanto en el momento del acceso como en el ulterior del desempeño de las funciones públicas, aquél actúa con diferente "rigor e intensidad" en uno y en otro, de suerte que en este segundo tienen cabida otros distintos "en atención a una mayor eficacia del servicio o a la prosecución de otros bienes constitucionalmente protegidos" STC 200/1991, fundamento jurídico 2º, con remisión a la STC 192/1991, fundamento jurídico 4º); b) no nos corresponde verificar la adecuación del criterio que se funda en la titulación para asignar los correspondientes niveles [arts. 16 y 20.1 c) de la Ley 30/1984, a la que se anuda, por otro lado, la percepción del complemento de destino ex art. 23.3 a) de la Ley 30/1984] puesto que dicho criterio, en sí mismo, no resulta manifiestamente impertinente en atención a su finalidad.</w:t>
      </w:r>
    </w:p>
    <w:p w:rsidR="006854DA" w:rsidRDefault="006854DA" w:rsidP="006854DA">
      <w:pPr>
        <w:pStyle w:val="TextoNormal"/>
      </w:pPr>
    </w:p>
    <w:p w:rsidR="006854DA" w:rsidRDefault="006854DA" w:rsidP="006854DA">
      <w:pPr>
        <w:pStyle w:val="TextoNormal"/>
      </w:pPr>
      <w:r w:rsidRPr="006854DA">
        <w:rPr>
          <w:rStyle w:val="NumeroAFNegritaCaracter"/>
        </w:rPr>
        <w:t>7</w:t>
      </w:r>
      <w:r>
        <w:t>. Por lo expuesto, no cabe entender que la reserva en exclusiva (insistimos: abstracción hecha de su corrección en el plano de la convencionalmente denominada legalidad ordinaria) a los funcionarios en que concurra la titulación de Ingenieros o Arquitectos del reconocimiento de determinado nivel, y la interpretación administrativa y judicial producida al efecto, de la que, en modo alguno, cabe predicar la asunción de criterios personales no amparados en la oportuna normativa, con exclusión de los demás cuyos Cuerpos, Escalas, Clases o Categorías se hallen clasificados, igualmente, en el grupo A, contraríen las exigencias del principio de igualdad, al menos en la vertiente que da acceso al recurso de amparo.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diecinueve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3" w:name="SENTENCIA_1997_97"/>
      <w:r>
        <w:lastRenderedPageBreak/>
        <w:t>SENTENCIA 97/1997, de 19 de mayo de 1997</w:t>
      </w:r>
    </w:p>
    <w:bookmarkEnd w:id="13"/>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ECLI:ES:TC:1997:97</w:t>
      </w:r>
    </w:p>
    <w:p w:rsidR="006854DA" w:rsidRDefault="006854DA" w:rsidP="006854DA">
      <w:pPr>
        <w:pStyle w:val="SntesisDescriptiva"/>
      </w:pPr>
    </w:p>
    <w:p w:rsidR="006854DA" w:rsidRDefault="006854DA" w:rsidP="006854DA">
      <w:pPr>
        <w:pStyle w:val="SntesisDescriptiva"/>
      </w:pPr>
      <w:r>
        <w:t>Recurso de amparo 287/1995. Contra Sentencia dictada por la Sala de lo Contencioso-Administrativo del T.S.J. de Andalucía recaída en recurso contencioso sobre declaración de incompatibilidad.</w:t>
      </w:r>
    </w:p>
    <w:p w:rsidR="006854DA" w:rsidRDefault="006854DA" w:rsidP="006854DA">
      <w:pPr>
        <w:pStyle w:val="SntesisDescriptiva"/>
      </w:pPr>
    </w:p>
    <w:p w:rsidR="006854DA" w:rsidRDefault="006854DA" w:rsidP="006854DA">
      <w:pPr>
        <w:pStyle w:val="SntesisAnaltica"/>
      </w:pPr>
      <w:r>
        <w:t>Supuesta vulneración del derecho a la tutela judicial efectiva: conducta no diligente del recurrente.</w:t>
      </w:r>
    </w:p>
    <w:p w:rsidR="006854DA" w:rsidRDefault="006854DA" w:rsidP="006854DA">
      <w:pPr>
        <w:pStyle w:val="SntesisAnaltica"/>
      </w:pPr>
    </w:p>
    <w:p w:rsidR="006854DA" w:rsidRDefault="006854DA" w:rsidP="006854DA">
      <w:pPr>
        <w:pStyle w:val="Extracto"/>
      </w:pPr>
      <w:r>
        <w:t>1.</w:t>
      </w:r>
      <w:r>
        <w:tab/>
        <w:t>Lo decisivo, en relación con el art. 24.1 de la Constitución, es evitar la indefensión que pudiera seguirse de la falta de emplazamiento personal. Por ello, en aquellos casos en que, a pesar de no haber sido emplazados directamente, es evidente que los interesados tuvieron conocimiento del proceso en tiempo hábil para comparecer y ejercer sus derechos de defensa, no puede imputarse al órgano judicial infracción alguna del art. 24.1 de la Constitución ( SSTC 56/1985, 150/1986, 151/1988, 97/1991, 78/1993, 325/1993 y 100/1994). Así, cuando se denuncia esta infracción por ausencia del debido emplazamiento, resulta necesario determinar si, efectivamente, el demandante de amparo debía haber sido emplazado, por encontrarse suficientemente identificado, si el emplazamiento se llevó o no a cabo en forma personal y suficiente y, en todo caso, si el recurrente en amparo tuvo conocimiento suficiente de la existencia del proceso de modo que le permitiese ejercer su derecho de comparecencia y defensa (STC 100/1994) [F.J. 3].</w:t>
      </w:r>
    </w:p>
    <w:p w:rsidR="006854DA" w:rsidRDefault="006854DA" w:rsidP="006854DA">
      <w:pPr>
        <w:pStyle w:val="Extracto"/>
      </w:pPr>
    </w:p>
    <w:p w:rsidR="006854DA" w:rsidRDefault="006854DA" w:rsidP="006854DA">
      <w:pPr>
        <w:pStyle w:val="Extracto"/>
      </w:pPr>
      <w:r>
        <w:t>2.</w:t>
      </w:r>
      <w:r>
        <w:tab/>
        <w:t xml:space="preserve">De los antecedentes relatados se deduce que la Corporación actora pudo conocer tales extremos a través del anuncio de la interposición del recurso que se publicó en el «Boletín Oficial de la Provincia de Málaga», por lo que, si hubiera actuado con la diligencia exigible, hubiera podido instar la personación en el mismo. Asimismo, la actora pudo conocer la Sentencia recaída en el proceso a través de la publicación de su parte dispositiva en el «Boletín Oficial de la Comunidad Autónoma de Andalucía», razones por las que al tratarse de una entidad pública, serían suficientes para entender que la pretensión deducida resulta inviable. Pero es que, además, puede afirmarse que la Diputación tuvo material y efectivo conocimiento de la existencia y tramitación del recurso contencioso-administrativo en dos ocasiones: La primera, cuando recibió el oficio de la Sala en el que constaban los datos del procedimiento y en el que se la requería para que aportara ciertos documentos, oficio que efectivamente cumplimentó, lo que implica que, al menos desde entonces, conoció el proceso en trámite, y la segunda vez, sin ningún género de dudas, con la recepción de la copia del texto íntegro de la Sentencia dictada que le fue remitida por la Administración autonómica. Sin embargo, ante tal comunicación que tuvo lugar en el año 1990 la entidad actora no acudió a este Tribunal alegando la infracción que ahora denuncia, sino que se limitó a dar traslado de la misma a otra Administración y permaneció pasiva </w:t>
      </w:r>
      <w:r>
        <w:lastRenderedPageBreak/>
        <w:t>hasta que transcurridos dos años, y requerida de ejecución por la Sala, interesó la notificación «formal» de la Sentencia, que ya conocía en su integridad al haber recibido copia de la misma. Y, precisamente, tal notificación «formal» se interesó con la finalidad de reabrir artificialmente el plazo para formular un recurso de casación que fue inadmitido por su extemporaneidad por la Sala sentenciadora y posteriormente por el Tribunal Supremo [F.J.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287/95, interpuesto por el Procurador de los Tribunales don Juan Antonio García San-Miguel y Orueta actuando en nombre y representación de la Excma. Diputación Provincial de Málaga, contra la Sentencia dictada por la Sala de lo Contencioso-Administrativo del Tribunal Superior de Justicia de Andalucía de 6 de abril de 1990, recaída en el recurso contencioso núm. 797/88, sobre declaración de incompatibilidad. Han comparecido el Ministerio Fiscal, el interesado en el proceso don Juan Pedro de Luna Ximenez de Enciso, representado por el Procurador de los Tribunales don Federido Pinilla Peco y la Junta de Andalucía, asistida del Letrado don Manuel del Castillo Gutiérrez. Ha sido Ponente el Magistrado don Tomás S. Vives Antón,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presentado en el Registro General de este Tribunal el día 27 de enero de 1995, don Juan Antonio García San-Miguel y Orueta, Procurador de los Tribunales y de la Excma. Diputación Provincial de Málaga, interpuso demanda de amparo constitucional contra la Sentencia de la Sala de lo Contencioso-Administrativo del Tribunal Superior de Justicia de Andalucía, con sede en Granada, de 6 de abril de 1990, recaída en autos núm. 797/88, sobre declaración de incompatibilidad.</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de los que trae causa la demanda de amparo son, en síntesis, los siguientes: </w:t>
      </w:r>
    </w:p>
    <w:p w:rsidR="006854DA" w:rsidRDefault="006854DA" w:rsidP="006854DA">
      <w:pPr>
        <w:pStyle w:val="TextoNormal"/>
      </w:pPr>
      <w:r>
        <w:t xml:space="preserve">a) Por Resolución de la Consejería de Gobernación de la Junta de Andalucía, de 4 de marzo de 1988, se declaró la incompatibilidad de los puestos que venía ocupando don Juan Pedro de Luna Ximénez de Enciso, Jefe de Sala en el Hospital Provincial "San Juan de Dios" -dependiente de la Diputación Provincial hasta el mes de agosto de 1988, en que </w:t>
      </w:r>
      <w:r>
        <w:lastRenderedPageBreak/>
        <w:t xml:space="preserve">fue integrado en el Servicio Andaluz de Salud- y Jefe de Grupo en ambulatorio de la R.A.S.S.A. -actualmente Servicio Andaluz de Salud-. </w:t>
      </w:r>
    </w:p>
    <w:p w:rsidR="006854DA" w:rsidRDefault="006854DA" w:rsidP="006854DA">
      <w:pPr>
        <w:pStyle w:val="TextoNormal"/>
      </w:pPr>
      <w:r>
        <w:t xml:space="preserve">b) Disconforme con tal Resolución, don Juan Pedro de Luna Ximénez de Enciso formuló recurso contencioso-administrativo ante la Sala de este orden del Tribunal Superior de Justicia de Andalucía. </w:t>
      </w:r>
    </w:p>
    <w:p w:rsidR="006854DA" w:rsidRDefault="006854DA" w:rsidP="006854DA">
      <w:pPr>
        <w:pStyle w:val="TextoNormal"/>
      </w:pPr>
      <w:r>
        <w:t xml:space="preserve">Por providencia de la Sala de lo Contencioso-Administrativo de Granada de 18 de mayo de 1988 se acordó admitir a trámite el recurso deducido por el actor, la reclamación del expediente administrativo y, asimismo, se acordó anunciar la interposición en el Boletín Oficial de la Provincia de Málaga. </w:t>
      </w:r>
    </w:p>
    <w:p w:rsidR="006854DA" w:rsidRDefault="006854DA" w:rsidP="006854DA">
      <w:pPr>
        <w:pStyle w:val="TextoNormal"/>
      </w:pPr>
      <w:r>
        <w:t xml:space="preserve">Recibido el expediente administrativo reclamado, se publicó el correspondiente anuncio de la interposición del recurso contencioso-administrativo en el Boletín Oficial de la Provincia de Málaga, de 24 de julio de 1988, en el que se advertía que "la inserción del anuncio sirve de emplazamiento a las personas a cuyo favor deriven derechos del propio acto administrativo y aquellos que tuvieran interés directo en su mantenimiento para que, si lo desean, se personen hasta el momento de ser emplazadas para contestar la demanda, con arreglo al art. 68 L.J.C.A.". </w:t>
      </w:r>
    </w:p>
    <w:p w:rsidR="006854DA" w:rsidRDefault="006854DA" w:rsidP="006854DA">
      <w:pPr>
        <w:pStyle w:val="TextoNormal"/>
      </w:pPr>
      <w:r>
        <w:t xml:space="preserve">c) Formalizada la correspondiente demanda y contestada por la Junta de Andalucía, la Sala de lo Contencioso-Administrativo dictó Auto acordando el recibimiento del pleito a prueba. La representación procesal del recurrente propuso la práctica de prueba documental que fue declarada pertinente por providencia de la Sala de 1 de diciembre de 1988. Entre las pruebas admitidas se encontraban cuatro documentales, consistentes en que la Sala librara oficio a la Diputación Provincial de Málaga a fin de que certificara ciertos extremos relativos al horario y a la jornada laboral del recurrente, Sr. de Luna Ximénez de Enciso, a la recepción de un escrito presentado por éste y a la plantilla del personal sanitario vigente en la fecha de aplicación de la Ley 53/84 de Incompatibilidades. </w:t>
      </w:r>
    </w:p>
    <w:p w:rsidR="006854DA" w:rsidRDefault="006854DA" w:rsidP="006854DA">
      <w:pPr>
        <w:pStyle w:val="TextoNormal"/>
      </w:pPr>
      <w:r>
        <w:t xml:space="preserve">La referida prueba documental fue debidamente cumplimentada por la Diputación Provincial de Málaga, que el día 4 de enero de 1989 expidió un oficio dirigido al Presidente de la Sala de lo Contencioso-Administrativo de Granada en el que se decía "de conformidad con lo interesado en su oficio de 1 de diciembre de 1989, referente al recurso contencioso-administrativo núm. 797 de 1988, instado por don Juan Pedro de Luna Ximénez de Enciso, contra Resolución de la Junta de Andalucía, me complace adjuntarle los documentos solicitados ..." remitiendo con dicho oficio los certificados interesados por la Sala sobre los extremos solicitados. </w:t>
      </w:r>
    </w:p>
    <w:p w:rsidR="006854DA" w:rsidRDefault="006854DA" w:rsidP="006854DA">
      <w:pPr>
        <w:pStyle w:val="TextoNormal"/>
      </w:pPr>
      <w:r>
        <w:t xml:space="preserve">d) Concluida la tramitación, la Sala dictó Sentencia el día 6 de abril de 1990 estimando el recurso deducido y anulando las resoluciones impugnadas, ordenaba "que se reponga al actor como Jefe del Servicio de Cirugía del Hospital civil de Málaga, con abono de las retribuciones dejadas de percibir desde la fecha del cese hasta aquélla en que se lleve a efecto la readmisión, con los intereses legales ...". </w:t>
      </w:r>
    </w:p>
    <w:p w:rsidR="006854DA" w:rsidRDefault="006854DA" w:rsidP="006854DA">
      <w:pPr>
        <w:pStyle w:val="TextoNormal"/>
      </w:pPr>
      <w:r>
        <w:t xml:space="preserve">e) El fallo estimatorio de la Sentencia fue publicado en el Boletín Oficial de la Comunidad Autónoma de Andalucía de 10 de agosto de 1990 (B.O.J.A. núm. 68). </w:t>
      </w:r>
    </w:p>
    <w:p w:rsidR="006854DA" w:rsidRDefault="006854DA" w:rsidP="006854DA">
      <w:pPr>
        <w:pStyle w:val="TextoNormal"/>
      </w:pPr>
      <w:r>
        <w:t xml:space="preserve">Asimismo, la Consejería de Gobernación de la Junta de Andalucía remitió sendos oficios el 26 de junio de 1990 a la Consejería de la Salud y a la Diputación Provincial de Málaga remitiéndoles copia del texto íntegro de la Sentencia para su conocimiento. </w:t>
      </w:r>
    </w:p>
    <w:p w:rsidR="006854DA" w:rsidRDefault="006854DA" w:rsidP="006854DA">
      <w:pPr>
        <w:pStyle w:val="TextoNormal"/>
      </w:pPr>
      <w:r>
        <w:t xml:space="preserve">f) El 8 de octubre de 1991 tuvo entrada en la Sala de lo Contencioso- Administrativo el escrito del recurrente don Juan Pedro de Luna Ximénez de Enciso interesando que se llevara a efecto la Sentencia recurrida, a lo que accedió la Sala, que dictó providencia el 15 de octubre de 1991 acordando que se requiriera al Gerente General del Servicio Andaluz </w:t>
      </w:r>
      <w:r>
        <w:lastRenderedPageBreak/>
        <w:t xml:space="preserve">de Salud (S.A.S.) y al Presidente de la Diputación de Málaga para que dieran cumplimiento al fallo recaído en la Sentencia. </w:t>
      </w:r>
    </w:p>
    <w:p w:rsidR="006854DA" w:rsidRDefault="006854DA" w:rsidP="006854DA">
      <w:pPr>
        <w:pStyle w:val="TextoNormal"/>
      </w:pPr>
      <w:r>
        <w:t xml:space="preserve">g) Por oficio de 17 de junio de 1992 la referida Diputación, hoy demandante de amparo, se dirigió a la Sala de lo Contencioso manifestando que la Sentencia recaída no había sido notificada, solicitando la realización de dicho trámite. </w:t>
      </w:r>
    </w:p>
    <w:p w:rsidR="006854DA" w:rsidRDefault="006854DA" w:rsidP="006854DA">
      <w:pPr>
        <w:pStyle w:val="TextoNormal"/>
      </w:pPr>
      <w:r>
        <w:t xml:space="preserve">A la vista de tal manifestación, por diligencia de ordenación, se acordó notificar la Sentencia a la Diputación de Málaga, diligencia que se llevó a cabo el día 10 de septiembre de 1992. </w:t>
      </w:r>
    </w:p>
    <w:p w:rsidR="006854DA" w:rsidRDefault="006854DA" w:rsidP="006854DA">
      <w:pPr>
        <w:pStyle w:val="TextoNormal"/>
      </w:pPr>
      <w:r>
        <w:t xml:space="preserve">h) Con fecha 21 de septiembre de 1992, la Diputación demandante solicita que se tenga por preparado recurso de casación contra la Sentencia y por providencia de 7 de octubre de 1992 se acuerda no haber lugar a lo solicitado, por no ser parte en el proceso la Diputación Provincial de Málaga. </w:t>
      </w:r>
    </w:p>
    <w:p w:rsidR="006854DA" w:rsidRDefault="006854DA" w:rsidP="006854DA">
      <w:pPr>
        <w:pStyle w:val="TextoNormal"/>
      </w:pPr>
      <w:r>
        <w:t xml:space="preserve">Por escrito de 10 de noviembre de 1992, la entidad demandante se personó en el recurso y reiteró su solicitud de que se tuviese por preparado el recurso. Por Auto de la Sala de lo Contencioso-Administrativo, de 13 de enero de 1993, la Sala acordó tener como coadyuvante de la demandada a la Diputación recurrente y conforme el art. 97 L.J.C.A., no tener por preparado el recurso de casación interpuesto, por formularse fuera de plazo. </w:t>
      </w:r>
    </w:p>
    <w:p w:rsidR="006854DA" w:rsidRDefault="006854DA" w:rsidP="006854DA">
      <w:pPr>
        <w:pStyle w:val="TextoNormal"/>
      </w:pPr>
      <w:r>
        <w:t>Formulado recurso de queja por la actora, la Sala de lo Contencioso- Administrativo del Tribunal Supremo dictó Auto el día 9 de diciembre de 1994 desestimando el recurso formulado.</w:t>
      </w:r>
    </w:p>
    <w:p w:rsidR="006854DA" w:rsidRDefault="006854DA" w:rsidP="006854DA">
      <w:pPr>
        <w:pStyle w:val="TextoNormal"/>
      </w:pPr>
    </w:p>
    <w:p w:rsidR="006854DA" w:rsidRDefault="006854DA" w:rsidP="006854DA">
      <w:pPr>
        <w:pStyle w:val="TextoNormal"/>
      </w:pPr>
      <w:r w:rsidRPr="006854DA">
        <w:rPr>
          <w:rStyle w:val="NumeroAFNegritaCaracter"/>
        </w:rPr>
        <w:t>3</w:t>
      </w:r>
      <w:r>
        <w:t>. En la demanda de amparo se denuncia la vulneración del derecho fundamental a la tutela judicial efectiva sin indefensión reconocido en el art. 24.1 C.E., infracción constitucional que se habría originado por la falta de emplazamiento personal de la entidad recurrente en amparo, que se ve obligada a ejecutar una Sentencia condenatoria sin haber sido parte en el proceso contencioso-administrativo.</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fecha 22 de septiembre de 1995, la Sección Cuarta acordó admitir a trámite la demanda de amparo, y en aplicación de lo dispuesto en el art. 51 de la LOTC, dirigir atenta comunicación a la Sala de lo Contencioso-Administrativo del Tribunal Supremo, y a la del Tribunal Superior de Justicia de Andalucía, con sede en Granada, para que en plazo no superior a diez días, remitiesen certificación o fotocopia de las actuaciones correspondientes al recurso correspondiente, debiendo previamente, por este último órgano, emplazarse para comparecer en el recurso de amparo, a fin de defender sus derechos, a quienes hubieran sido parte en el procedimiento, excepto al recurrente en amparo, haciendo constar en dicho emplazamiento la exclusión de quienes quisieran coadyuvar con el recurrente o formular cualquier impugnación, y les hubiera ya transcurrido el plazo que la Ley Orgánica de este Tribunal establece para recurrir.</w:t>
      </w:r>
    </w:p>
    <w:p w:rsidR="006854DA" w:rsidRDefault="006854DA" w:rsidP="006854DA">
      <w:pPr>
        <w:pStyle w:val="TextoNormal"/>
      </w:pPr>
    </w:p>
    <w:p w:rsidR="006854DA" w:rsidRDefault="006854DA" w:rsidP="006854DA">
      <w:pPr>
        <w:pStyle w:val="TextoNormal"/>
      </w:pPr>
      <w:r w:rsidRPr="006854DA">
        <w:rPr>
          <w:rStyle w:val="NumeroAFNegritaCaracter"/>
        </w:rPr>
        <w:t>5</w:t>
      </w:r>
      <w:r>
        <w:t>. En virtud de sendos escritos que tuvieron su entrada en este Tribunal los días 20 y 23 de octubre de 1995, el Procurador de los Tribunales, don Federico Pinilla Peco, en nombre de don Juan Pedro de Luna Ximénez de Enciso, y el Letrado de la Junta de Andalucía solicitaron que se les tuvieran por personados en las actuaciones, a lo que se accedió por medio de providencia de 6 de noviembre de 1995, concediéndoles, conforme determina el art. 52 LOTC, un plazo de veinte días para formular alegaciones.</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6</w:t>
      </w:r>
      <w:r>
        <w:t>. El día 4 de diciembre de 1995 tuvo entrada en el Registro de este Tribunal el escrito de alegaciones de la Diputación Provincial de Málaga, en el que básicamente se reiteraban los argumentos de la demanda de amparo y afirma que concurren los presupuestos exigidos conforme la doctrina de este Tribunal para el otorgamiento del amparo.</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La representación procesal de don Juan Pedro de Luna Ximénez de Enciso presentó su escrito de alegaciones en el Registro de este Tribunal el día 4 de diciembre de 1995. En primer término alega esta parte la inadmisibilidad del recurso de amparo, por no haberse seguido el procedimiento establecido en la Ley de Procedimiento para agotar la vía ordinaria y ello por cuanto la Diputación Provincial actora interpuso un recurso de casación contra la Sentencia que era improcedente, pues tal resolución, por versar sobre materia de personal era firme y contra la misma no cabía recurso alguno. Además, la demanda de amparo incurre en extemporaneidad. La entidad actora conoce la Sentencia desde el 21 de noviembre de 1990, fecha en la que se reunió la Comisión de Gobierno para estudiar un informe sobre la misma y el requerimiento para su cumplimiento, y en la que se acordó su remisión a la Gerencia del Servicio Andaluz de Salud. </w:t>
      </w:r>
    </w:p>
    <w:p w:rsidR="006854DA" w:rsidRDefault="006854DA" w:rsidP="006854DA">
      <w:pPr>
        <w:pStyle w:val="TextoNormal"/>
      </w:pPr>
      <w:r>
        <w:t>En cuanto al fondo, alega esta representación que a la vista de lo establecido en el art. 93.2 a) de la L.J.C.A., el Auto recurrido en amparo es correcto, además, el Tribunal Superior de Justicia de Andalucía actuó correctamente al ajustarse a lo establecido en el art. 64 L.J.C.A., requirió el expediente administrativo, ordenó el emplazamiento de las partes y se publicó en el Boletín con el correspondiente anuncio de interposición del recurso, con lo que se cumplió el procedimiento establecido.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Ministerio Público presentó su escrito de alegaciones el día 24 de noviembre de 1995, en el que solicitaba la desestimación del amparo. Tras resumir los antecedentes, comienza el Fiscal delimitando el objeto del recurso de amparo y afirma que de la demanda se desprende que se dirige exclusivamente contra la Sentencia de la Sala de lo Contencioso-Administrativo del Tribunal Superior de Justicia de Andalucía de 6 de abril de 1990, y no contra los Autos que denegaron la preparación del recurso de casación ni el de desestimación de la queja, y lo hace exclusivamente por violación del derecho a la tutela judicial efectiva, sólo en lo que se refiere a la falta de emplazamiento de la Diputación Provincial de Málaga que se considera legitimada en calidad de demandada. </w:t>
      </w:r>
    </w:p>
    <w:p w:rsidR="006854DA" w:rsidRDefault="006854DA" w:rsidP="006854DA">
      <w:pPr>
        <w:pStyle w:val="TextoNormal"/>
      </w:pPr>
      <w:r>
        <w:t xml:space="preserve">Hecha esta precisión sobre el objeto del proceso, el Ministerio Fiscal analiza la posible concurrencia de la causa de inadmisión de extemporaneidad de la demanda, por alargamiento artificial del plazo para la interposición de un recurso manifiestamente improcedente como es el de casación en materia de personal o, incluso, por la de falta de agotamiento de la vía judicial precedente, circunstancias que determinarían la inadmisibilidad del recurso con fundamento en el art. 50.1 a) LOTC. </w:t>
      </w:r>
    </w:p>
    <w:p w:rsidR="006854DA" w:rsidRDefault="006854DA" w:rsidP="006854DA">
      <w:pPr>
        <w:pStyle w:val="TextoNormal"/>
      </w:pPr>
      <w:r>
        <w:t>Sobre la primera de estas causas de inadmisión, señala esta representación que la Sala de lo Contencioso denegó la preparación del recurso de casación no sólo porque la Sentencia recurrida era firme sino, fundamentalmente, por haberse preparado fuera de plazo, por cuanto tal Sentencia había sido comunicada a través de la Consejería de Gobernación a la Diputación Provincial de Málaga el 26 de junio de 1990 y la Sentencia fue publicada en el Boletín Oficial de la Junta de Andalucía el 10 de agosto de 1990 y, por otra parte, el Auto de inadmisión se basa en la excepción al recurso de casación que se establece en los procesos en materia de personal en el art. 93.2 L.J.C.A. Desde cualquiera de estas dos fundamentaciones, establecidas por los órganos jurisdiccionales para denegar la prepara</w:t>
      </w:r>
      <w:r>
        <w:lastRenderedPageBreak/>
        <w:t xml:space="preserve">ción del recurso o para desestimar la queja, el mismo aparece como manifiestamente improcedente. </w:t>
      </w:r>
    </w:p>
    <w:p w:rsidR="006854DA" w:rsidRDefault="006854DA" w:rsidP="006854DA">
      <w:pPr>
        <w:pStyle w:val="TextoNormal"/>
      </w:pPr>
      <w:r>
        <w:t xml:space="preserve">A continuación refiere que la Diputación Provincial de Málaga tuvo conocimiento de la Sentencia en dos ocasiones: la primera, el 6 de julio de 1990 y la segunda el 23 de enero de 1991, aunque se justifica su inactividad en relación a la primera, en que únicamente recibió copia de la Sentencia, que trasladó al Servicio Andaluz de Salud, por considerar que no se derivaba responsabilidad para la actora, y en cuanto a la segunda, en que requería al Consejero de Gobernación para que les comunicara las diligencias practicadas. </w:t>
      </w:r>
    </w:p>
    <w:p w:rsidR="006854DA" w:rsidRDefault="006854DA" w:rsidP="006854DA">
      <w:pPr>
        <w:pStyle w:val="TextoNormal"/>
      </w:pPr>
      <w:r>
        <w:t xml:space="preserve">Existe, además, una tercera fecha trascendente a juicio del Ministerio Público para determinar la extemporaneidad y que la propia demandante de amparo manifiesta, de 17 de enero de 1992, en que se recibe oficio en el que se le requiere para el cumplimiento de la Sentencia, lo que da lugar a una petición formal de notificación de la misma, que tiene lugar el 10 de septiembre de 1992. </w:t>
      </w:r>
    </w:p>
    <w:p w:rsidR="006854DA" w:rsidRDefault="006854DA" w:rsidP="006854DA">
      <w:pPr>
        <w:pStyle w:val="TextoNormal"/>
      </w:pPr>
      <w:r>
        <w:t xml:space="preserve">Todas estas fechas referidas determinan, a juicio del Ministerio Fiscal, que la demanda sea inadmisible; bien por extemporaneidad, bien por falta de agotamiento de los recursos utilizables. La extemporaneidad porque, conforme reiterada doctrina de este Tribunal, la fecha para la interposición de la demanda de amparo ha de contarse desde la fecha de "conocimiento extraprocesal de la Sentencia" que determina el comienzo del plazo, de modo que atendiendo a la posición más favorable para la demandante de amparo, la fecha de requerimiento de ejecución (12 de enero de 1992), resulta con creces excedido el plazo de veinte días para que el recurso de amparo dispone el art. 44.2 LOTC. </w:t>
      </w:r>
    </w:p>
    <w:p w:rsidR="006854DA" w:rsidRDefault="006854DA" w:rsidP="006854DA">
      <w:pPr>
        <w:pStyle w:val="TextoNormal"/>
      </w:pPr>
      <w:r>
        <w:t xml:space="preserve">Este mismo cómputo de plazos puede considerarse desde la perspectiva de la falta de agotamiento de los recursos utilizables en la vía judicial, la Sala de lo Contencioso denegó la preparación del recurso por haberse presentado fuera del plazo que prevé el art. 96 L.J.C.A., plazo que no podía alegarse mediante la solicitud de notificación formal de la Sentencia que la ahora demandante ya conocía en su integridad. </w:t>
      </w:r>
    </w:p>
    <w:p w:rsidR="006854DA" w:rsidRDefault="006854DA" w:rsidP="006854DA">
      <w:pPr>
        <w:pStyle w:val="TextoNormal"/>
      </w:pPr>
      <w:r>
        <w:t xml:space="preserve">A lo que añade que si se estimara que la lesión se consuma con la ejecución de la Sentencia, la recurrente debía haber recurrido precisamente dicho Acuerdo de ejecución -bien a través del recurso de súplica o el incidente de ejecución o nulidad de actuaciones- y una vez resuelto dicho incidente de ejecución, si le hubiera sido contrario, interponer recurso de amparo, no contra la Sentencia, sino contra el Auto dictado por la Sala de lo Contencioso-Administrativo del Tribunal Superior de Justicia de Andalucía. </w:t>
      </w:r>
    </w:p>
    <w:p w:rsidR="006854DA" w:rsidRDefault="006854DA" w:rsidP="006854DA">
      <w:pPr>
        <w:pStyle w:val="TextoNormal"/>
      </w:pPr>
      <w:r>
        <w:t>Partiendo de la base de que ni la falta de emplazamiento ni la Sentencia han originado en sí misma una indefensión, que de producirse tendría su origen en el requerimiento de ejecución, que la Diputación reacciona frente a la Sentencia, pero no frente al acto indicado e incumpliendo plazos y respecto a una Sentencia contra la que no cabe recurso y finalmente, que se acude en amparo contra la Sentencia y no contra los Autos, y sin que conste que la actora haya reaccionado frente al requerimiento utilizando los medios procesales a su alcance, el Fiscal interesa que se dicte Sentencia que desestime el recurso de amparo por concurrir la causa de inadmisibilidad de falta de cumplimiento de los requisitos contenidos en el art. 50.1 a), bien por falta de agotamiento de los recursos legalmente previstos [art. 44.1 a) LOTC], bien por extemporaneidad (art. 44.2 LOTC).</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14 de mayo de 1997 se señaló para deliberación y fallo de la presente Sentencia el día 19 siguiente.</w:t>
      </w:r>
    </w:p>
    <w:p w:rsidR="006854DA" w:rsidRDefault="006854DA" w:rsidP="006854DA">
      <w:pPr>
        <w:pStyle w:val="TextoNormal"/>
      </w:pPr>
    </w:p>
    <w:p w:rsidR="006854DA" w:rsidRDefault="006854DA" w:rsidP="006854DA">
      <w:pPr>
        <w:pStyle w:val="TextoNormalNegritaCentrado"/>
        <w:keepNext/>
      </w:pPr>
      <w:r>
        <w:lastRenderedPageBreak/>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cuestión planteada en el presente recurso de amparo consiste en determinar si, como se afirma en la demanda, la Diputación Provincial de Málaga se ha visto colocada en una situación de indefensión, lesiva del derecho reconocido en el art.  24.1 C.E., por no haber sido debidamente emplazada en el recurso seguido ante la Sala de lo Contencioso Administrativo del Tribunal Superior de Justicia de Andalucía en el que se dictó la Sentencia que está obligada a cumplir. Sostiene la entidad demandante de amparo que en virtud del requerimiento de ese órgano judicial se le impone la ejecución de su pronunciamiento sin haber tenido ocasión, sin embargo, de formular alegaciones en defensa de sus intereses, lo que le habría causado una evidente y palmaria indefensión.</w:t>
      </w:r>
    </w:p>
    <w:p w:rsidR="006854DA" w:rsidRDefault="006854DA" w:rsidP="006854DA">
      <w:pPr>
        <w:pStyle w:val="TextoNormal"/>
      </w:pPr>
    </w:p>
    <w:p w:rsidR="006854DA" w:rsidRDefault="006854DA" w:rsidP="006854DA">
      <w:pPr>
        <w:pStyle w:val="TextoNormal"/>
      </w:pPr>
      <w:r w:rsidRPr="006854DA">
        <w:rPr>
          <w:rStyle w:val="NumeroAFNegritaCaracter"/>
        </w:rPr>
        <w:t>2</w:t>
      </w:r>
      <w:r>
        <w:t>. El Ministerio Fiscal y la representación procesal del Sr. de Luna Ximénez de Enciso alegan la concurrencia dos causas de inadmisibilidad de la demanda, consistentes en la extemporaneidad y en la falta de agotamiento de los recursos procedentes. La extemporaneidad vendría determinada, según afirman ambas representaciones, porque la entidad recurrente tuvo conocimiento extraprocesal del litigio en cuestión mucho antes de la fecha que se toma en consideración en la demanda -la de la notificación "formal" de la Sentencia y la inadmisión definitiva del recurso de casación-, razón por la cual consideran que el presente recurso se ha presentado una vez transcurrido el plazo previsto en el art. 44.2 LOTC, y además, sin haber agotado correctamente los recursos legalmente previstos.</w:t>
      </w:r>
    </w:p>
    <w:p w:rsidR="006854DA" w:rsidRDefault="006854DA" w:rsidP="006854DA">
      <w:pPr>
        <w:pStyle w:val="TextoNormal"/>
      </w:pPr>
      <w:r>
        <w:t>Antes de continuar nuestro análisis, debemos precisar que el conocimiento previo de la existencia del proceso o de la decisión judicial que ahora se impugna supondría no sólo la extemporaneidad de la demanda de amparo, en el caso de que entre el momento del conocimiento y la presentación del recurso hubiera transcurrido el plazo del art. 44.2 de la LOTC, y la eventual falta de agotamiento de los recursos, sino también, implicaría la desestimación del recurso, por faltar el presupuesto fáctico en que se fundamenta la pretensión de amparo. Así pues, en el presente supuesto, para apreciar la concurrencia de los referidos motivos de inadmisibilidad resulta necesario, hacer un pronunciamiento sobre la existencia de tal conocimiento previo y, por ello, entrar a analizar el propio fondo del asunto. En consecuencia, en el presente recurso la posible extemporaneidad de la demanda, así como la hipotética falta de agotamiento de los recursos, se resuelven conjuntamente con la cuestión de fondo que consiste en comprobar si la entidad actora se vio colocada en una situación de indefensión al no haber tenido la posibilidad de intervenir en el proceso en el que recayó la resolución que ahora se impugna, y que a pesar de ello, debe llevar a efecto.</w:t>
      </w:r>
    </w:p>
    <w:p w:rsidR="006854DA" w:rsidRDefault="006854DA" w:rsidP="006854DA">
      <w:pPr>
        <w:pStyle w:val="TextoNormal"/>
      </w:pPr>
    </w:p>
    <w:p w:rsidR="006854DA" w:rsidRDefault="006854DA" w:rsidP="006854DA">
      <w:pPr>
        <w:pStyle w:val="TextoNormal"/>
      </w:pPr>
      <w:r w:rsidRPr="006854DA">
        <w:rPr>
          <w:rStyle w:val="NumeroAFNegritaCaracter"/>
        </w:rPr>
        <w:t>3</w:t>
      </w:r>
      <w:r>
        <w:t>. Este Tribunal, desde su STC 9/1981 ha declarado que el art. 24.1 de la Constitución contiene un mandato implícito al legislador -y al intérprete- para promover la defensa procesal mediante la correspondiente contradicción, lo cual lleva a exigir en lo posible el emplazamiento personal de los demandados e incluso los coadyuvantes. Así, hemos afirmado que en el recurso contencioso-administrativo el emplazamiento por edictos en el "Boletín Oficial" no garantiza en medida suficiente la defensa de quienes están legitimados para comparecer como demandados, en procesos que inciden directamente en sus derechos e intereses. Y hemos declarado que es exigible el emplazamiento personal cuando fueran conocidos e identificables a partir de los datos que figuren en el escrito de interposición, en el expediente administrativo o en la demanda; y que, en estos supuestos, la falta de di</w:t>
      </w:r>
      <w:r>
        <w:lastRenderedPageBreak/>
        <w:t>cho emplazamiento supone una vulneración del art. 24.1 de la Constitución (entre otras muchas, SSTC 63/1982, 228/1988, 129/1991, 170/1992, 78/1993).</w:t>
      </w:r>
    </w:p>
    <w:p w:rsidR="006854DA" w:rsidRDefault="006854DA" w:rsidP="006854DA">
      <w:pPr>
        <w:pStyle w:val="TextoNormal"/>
      </w:pPr>
      <w:r>
        <w:t>Esta doctrina general se ha visto modulada en el sentido de que lo decisivo, en relación con el art. 24.1 de la Constitución, es evitar la indefensión que pudiera seguirse de la falta de emplazamiento personal. Por ello, en aquellos casos en que, a pesar de no haber sido emplazados directamente, es evidente que los interesados tuvieron conocimiento del proceso en tiempo hábil para comparecer y ejercer sus derechos de defensa, no puede imputarse al órgano judicial infracción alguna del art. 24.1 de la Constitución (SSTC 56/1985, 150/1986, 151/1988, 97/1991, 78/1993, 325/1993, 100/1994). Así, cuando se denuncia esta infracción por ausencia del debido emplazamiento, resulta necesario determinar si, efectivamente, el demandante de amparo debía haber sido emplazado, por encontrarse suficientemente identificado, si el emplazamiento se llevó o no a cabo en forma personal y suficiente y, en todo caso, si el recurrente en amparo tuvo conocimiento suficiente de la existencia del proceso de modo que le permitiese ejercer su derecho de comparecencia y defensa (STC 100/1994).</w:t>
      </w:r>
    </w:p>
    <w:p w:rsidR="006854DA" w:rsidRDefault="006854DA" w:rsidP="006854DA">
      <w:pPr>
        <w:pStyle w:val="TextoNormal"/>
      </w:pPr>
      <w:r>
        <w:t>Por último, cabe recordar que también hemos declarado que es excesivo generalizar a las Administraciones Públicas la idea de que el conocimiento de los emplazamientos edictales, publicados en los periódicos oficiales, constituye una carga desproporcionada, al mismo nivel predicable de los ciudadanos, pues no son, obviamente, supuestos iguales, ni pueden reclamar necesariamente la misma solución (SSTC 525/1984, 51/1985, 81/1985, 150/1986, 46/1987, 34/1988, 246/1988 y 100/1994), o, dicho en otras palabras, los organismos oficiales deben prestar más atención que los particulares a las notificaciones edictales de la existencia de los procesos contenciosos- administrativos (SSTC 81/1985, 150/1986, 46/1987, 34/1988, 246/1988).</w:t>
      </w:r>
    </w:p>
    <w:p w:rsidR="006854DA" w:rsidRDefault="006854DA" w:rsidP="006854DA">
      <w:pPr>
        <w:pStyle w:val="TextoNormal"/>
      </w:pPr>
    </w:p>
    <w:p w:rsidR="006854DA" w:rsidRDefault="006854DA" w:rsidP="006854DA">
      <w:pPr>
        <w:pStyle w:val="TextoNormal"/>
      </w:pPr>
      <w:r w:rsidRPr="006854DA">
        <w:rPr>
          <w:rStyle w:val="NumeroAFNegritaCaracter"/>
        </w:rPr>
        <w:t>4</w:t>
      </w:r>
      <w:r>
        <w:t>. A partir de la anterior doctrina, debemos comprobar lo ocurrido en el proceso y la conducta mantenida por la actora a fin de determinar si la presente demanda de amparo tiene fundamento.</w:t>
      </w:r>
    </w:p>
    <w:p w:rsidR="006854DA" w:rsidRDefault="006854DA" w:rsidP="006854DA">
      <w:pPr>
        <w:pStyle w:val="TextoNormal"/>
      </w:pPr>
      <w:r>
        <w:t>Como se deduce de las actuaciones remitidas, con la admisión a trámite del recurso contencioso-administrativo, la Sala acordó publicar su interposición en el Boletín Oficial de la Provincial de Málaga, anunciándose efectivamente en tal periódico oficial en el que se indicaba que el mismo "servía de emplazamiento a quienes fueran interesados o coadyuvantes en el proceso".  Recibido el pleito a prueba, la Sala acordó la práctica de una prueba documental, y remitió un oficio a la Diputación Provincial actora a fin de que certificara determinados extremos sobre el entonces recurrente. La referida entidad, ante el requerimiento de la Sala, remitió las certificaciones interesadas, aludiendo textualmente " al recurso contencioso -administrativo 797 de 1988, instado por don Pedro de Luna Ximenez de Enciso.."</w:t>
      </w:r>
    </w:p>
    <w:p w:rsidR="006854DA" w:rsidRDefault="006854DA" w:rsidP="006854DA">
      <w:pPr>
        <w:pStyle w:val="TextoNormal"/>
      </w:pPr>
      <w:r>
        <w:t xml:space="preserve">Concluida la tramitación, el órgano judicial dicta la Sentencia ahora recurrida en amparo estimando las pretensiones deducidas y, en la parte dispositiva, además de anular la resolución administrativa que declaraba la incompatibilidad de los puestos de trabajo, la Sala ordena que "se reponga al actor como Jefe del Servicio de Cirugía en el Hospital Civil de Málaga, con abono de las retribuciones dejadas de percibir desde la fecha del cese hasta aquélla en que se lleve a efecto la readmisión".  Notificada la Sentencia a las partes, a instancia de la Consejería de Gobernación de la Comunidad Autónoma de Andalucía, se publica el fallo estimatorio de la Sentencia en el Boletín Oficial de la Comunidad Autónoma. Y, asimismo, la Consejería de Gobernación acuerda comunicar la Sentencia a la Diputación Provincial actora, remitiéndole copia del texto íntegro de la misma, que, según </w:t>
      </w:r>
      <w:r>
        <w:lastRenderedPageBreak/>
        <w:t>se admite en la demanda, es recibida por la solicitante de amparo, que mediante Acuerdo de 22 de noviembre de 1990, se limita a dar traslado de tal resolución a la Gerencia del Servicio Andaluz de Salud.</w:t>
      </w:r>
    </w:p>
    <w:p w:rsidR="006854DA" w:rsidRDefault="006854DA" w:rsidP="006854DA">
      <w:pPr>
        <w:pStyle w:val="TextoNormal"/>
      </w:pPr>
      <w:r>
        <w:t>Ante el requerimiento de la Sala de lo Contencioso-Administrativo de que diera cumplimiento a lo fallado, la Corporación actora solicitó que se le notificara "formalmente" la Sentencia a lo que se accedió por diligencia de ordenación, procediéndose a una nueva notificación de la Sentencia recurrida. Y una vez realizada la notificación, la demandante solicitó que se tuviera por preparado recurso de casación, solicitud que fue rechazada por la Sala, primero por su falta de personación y, una vez personada en forma, por su interposición extemporánea; Recurrida en queja, la inadmisión fue confirmada por el Tribunal Supremo en el Auto que, según la demanda, pone fin a la vía judicial previa, y abre el plazo para recurrir en amparo.</w:t>
      </w:r>
    </w:p>
    <w:p w:rsidR="006854DA" w:rsidRDefault="006854DA" w:rsidP="006854DA">
      <w:pPr>
        <w:pStyle w:val="TextoNormal"/>
      </w:pPr>
    </w:p>
    <w:p w:rsidR="006854DA" w:rsidRDefault="006854DA" w:rsidP="006854DA">
      <w:pPr>
        <w:pStyle w:val="TextoNormal"/>
      </w:pPr>
      <w:r w:rsidRPr="006854DA">
        <w:rPr>
          <w:rStyle w:val="NumeroAFNegritaCaracter"/>
        </w:rPr>
        <w:t>5</w:t>
      </w:r>
      <w:r>
        <w:t>. Del examen de las actuaciones, cabe concluir que el aserto en que descansa la demanda, esto es, de que nunca se participó a la Diputación la existencia del proceso, no se ajusta a la realidad.</w:t>
      </w:r>
    </w:p>
    <w:p w:rsidR="006854DA" w:rsidRDefault="006854DA" w:rsidP="006854DA">
      <w:pPr>
        <w:pStyle w:val="TextoNormal"/>
      </w:pPr>
      <w:r>
        <w:t>En efecto, con independencia de la cuestión de fondo acerca de si la Corporación actora debió ser llamada al proceso en calidad de coadyuvante de la demandada -por tener un hipotético interés en el mantenimiento del acto recurrido-, lo cierto es que de las actuaciones se desprende que la entidad demandante tuvo conocimiento previo tanto de la existencia del procedimiento, como de la resolución que ahora impugna en amparo, si bien, a pesar de ello, no intentó ejercitar los derechos que pudieran asistirle.</w:t>
      </w:r>
    </w:p>
    <w:p w:rsidR="006854DA" w:rsidRDefault="006854DA" w:rsidP="006854DA">
      <w:pPr>
        <w:pStyle w:val="TextoNormal"/>
      </w:pPr>
      <w:r>
        <w:t>Así se deduce del conjunto de las circunstancias fácticas concurrentes, que ponen de manifiesto que la recurrente no sólo tuvo oportunidad de conocer la existencia del proceso, y de la Sentencia recaída, sino que realmente tuvo fehaciente constancia de la tramitación del proceso y de la resolución que anuló el acuerdo administrativo que ahora impugna.</w:t>
      </w:r>
    </w:p>
    <w:p w:rsidR="006854DA" w:rsidRDefault="006854DA" w:rsidP="006854DA">
      <w:pPr>
        <w:pStyle w:val="TextoNormal"/>
      </w:pPr>
      <w:r>
        <w:t>De los antecedentes relatados se deduce que la Corporación actora pudo conocer tales extremos a través del anuncio de la interposición del recurso que se publicó en el Boletín Oficial de la Provincia de Málaga, por lo que, si hubiera actuado con la diligencia exigible hubiera posido instar la personación en el mismo. Asimismo, la actora pudo conocer la Sentencia recaída en el proceso a través de la publicación de su parte dispositiva en el Boletín Oficial de la Comunidad Autónoma de Andalucía, razones por las que al tratarse de una entidad publica, y conforme la doctrina anteriormente citada, serían suficientes para entender que la pretensión deducida resulta inviable.</w:t>
      </w:r>
    </w:p>
    <w:p w:rsidR="006854DA" w:rsidRDefault="006854DA" w:rsidP="006854DA">
      <w:pPr>
        <w:pStyle w:val="TextoNormal"/>
      </w:pPr>
      <w:r>
        <w:t>Pero es que, además, puede afirmarse que la Diputación tuvo material y efectivo conocimiento de la existencia y tramitación del recurso contencioso-administrativo en dos ocasiones; la primera, cuando recibió el oficio de la Sala en el que constaban los datos del procedimiento y en el que se la requería para que aportara ciertos documentos, oficio que efectivamente cumplimentó, lo que implica que, al menos desde entonces, conoció el proceso en trámite. Y la segunda vez, sin ningún género de dudas, con la recepción de la copia del texto íntegro de la Sentencia dictada que le fue remitida por la Administración Autonómica. Sin embargo, ante tal comunicación que tuvo lugar en el año 1990 la entidad actora no acudió a este Tribunal alegando la infracción que ahora denuncia, sino que se limitó a dar traslado de la misma a otra administración y permaneció pasiva hasta que transcurridos dos años, y requerida de ejecución por la Sala, interesó la notificación "formal" de la Sentencia, que ya conocía en su integridad al haber recibido copia de la misma. Y, precisamente, tal notificación "formal" se interesó con la finalidad de reabrir artificial</w:t>
      </w:r>
      <w:r>
        <w:lastRenderedPageBreak/>
        <w:t>mente el plazo para formular un recurso de casación que, fue inadmitido por su extemporaneidad por la Sala sentenciadora y posteriormente por el Tribunal Supremo.</w:t>
      </w:r>
    </w:p>
    <w:p w:rsidR="006854DA" w:rsidRDefault="006854DA" w:rsidP="006854DA">
      <w:pPr>
        <w:pStyle w:val="TextoNormal"/>
      </w:pPr>
    </w:p>
    <w:p w:rsidR="006854DA" w:rsidRDefault="006854DA" w:rsidP="006854DA">
      <w:pPr>
        <w:pStyle w:val="TextoNormal"/>
      </w:pPr>
      <w:r w:rsidRPr="006854DA">
        <w:rPr>
          <w:rStyle w:val="NumeroAFNegritaCaracter"/>
        </w:rPr>
        <w:t>6</w:t>
      </w:r>
      <w:r>
        <w:t>. En definitiva, la queja formulada por la Diputación Provincial de Málaga resulta infundada, pues con independencia del alegado desconocimiento del anuncio de interposición del recurso y del fallo de la Sentencia recurrida publicados respectivamente en el Boletín Oficial de la Provincia y de la Comunidad Autónoma, lo cierto es que a la actora le constaba indudablemente la existencia del proceso en las dos ocasiones referidas, y no puede aducir la creencia de que tal resolución no le afectaba, toda vez que en la misma se expresaba claramente la obligación de readmitir al demandante en el Hospital en el que trabajaba con el abono de las correspondientes remuneraciones. Y, en el caso de que fuera esta la tesis de la entidad actora, no debía haber articulado su demanda contra la Sentencia aduciendo su falta de emplazamiento, sino, coherentemente, frente al requerimiento de ejecución de la Sala, o frente al Auto resolutorio de un incidente de ejecución, esto es, una vez planteados ante el órgano judicial los razonamientos en virtud de los cuales consideraba que no estaba obligada a ejecutar el pronunciamiento.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diecinueve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4" w:name="SENTENCIA_1997_98"/>
      <w:r>
        <w:lastRenderedPageBreak/>
        <w:t>SENTENCIA 98/1997, de 20 de mayo de 1997</w:t>
      </w:r>
    </w:p>
    <w:bookmarkEnd w:id="14"/>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ECLI:ES:TC:1997:98</w:t>
      </w:r>
    </w:p>
    <w:p w:rsidR="006854DA" w:rsidRDefault="006854DA" w:rsidP="006854DA">
      <w:pPr>
        <w:pStyle w:val="SntesisDescriptiva"/>
      </w:pPr>
    </w:p>
    <w:p w:rsidR="006854DA" w:rsidRDefault="006854DA" w:rsidP="006854DA">
      <w:pPr>
        <w:pStyle w:val="SntesisDescriptiva"/>
      </w:pPr>
      <w:r>
        <w:t>Recurso de amparo 4.204/1994. Contra Auto de la Audiencia Provincial de Barcelona, desestimatorio del recurso de queja interpuesto contra otro anterior del Juzgado de Instrucción núm. 1 de la misma ciudad que decretó la prisión provisional.</w:t>
      </w:r>
    </w:p>
    <w:p w:rsidR="006854DA" w:rsidRDefault="006854DA" w:rsidP="006854DA">
      <w:pPr>
        <w:pStyle w:val="SntesisDescriptiva"/>
      </w:pPr>
    </w:p>
    <w:p w:rsidR="006854DA" w:rsidRDefault="006854DA" w:rsidP="006854DA">
      <w:pPr>
        <w:pStyle w:val="SntesisAnaltica"/>
      </w:pPr>
      <w:r>
        <w:t>Supuesta vulneración de los derechos a la libertad personal y a un proceso con todas las garantías: Auto de prisión provisional no lesivo de los derechos invocados. Voto particular.</w:t>
      </w:r>
    </w:p>
    <w:p w:rsidR="006854DA" w:rsidRDefault="006854DA" w:rsidP="006854DA">
      <w:pPr>
        <w:pStyle w:val="SntesisAnaltica"/>
      </w:pPr>
    </w:p>
    <w:p w:rsidR="006854DA" w:rsidRDefault="006854DA" w:rsidP="006854DA">
      <w:pPr>
        <w:pStyle w:val="Extracto"/>
      </w:pPr>
      <w:r>
        <w:t>1.</w:t>
      </w:r>
      <w:r>
        <w:tab/>
        <w:t>Las cuestiones que este recurso de amparo plantea son la de si, como pretende el recurrente, la garantía de imparcialidad objetiva es constitucionalmente exigible en el trámite relativo a la situación personal del imputado, es decir la de si, como consecuencia de ello, rige en el mismo la interdicción reseñada relativa a la acumulación de instrucción y decisión: Si al Juez Instructor le está vedado «ex» arts. 17.1 y 24.2 C.E. la decisión sobre la prisión provisional del imputado. Por lo que hace a lo primero, es claro que sólo desde la imparcialidad cabe adoptar una resolución judicial como la que nos ocupa. El derecho a un Juez objetivamente imparcial debe, por tanto, regir en el trámite sobre la situación personal del imputado. Ahora bien, debe añadirse, por lo que hace ya a lo segundo, que lo anterior no comporta la estricta exigencia constitucional de traslado «in toto» a dicho trámite de la prohibición de acumulación en un mismo órgano judicial de la decisión y de ciertas actividades de instrucción. A ello se opone tanto la configuración general de dicha concreción del derecho a un Juez imparcial en nuestra doctrina jurisprudencial, como la reflexión que depara su concreta confrontación con la naturaleza y los objetivos del trámite sobre la libertad del imputado [F.J. 3].</w:t>
      </w:r>
    </w:p>
    <w:p w:rsidR="006854DA" w:rsidRDefault="006854DA" w:rsidP="006854DA">
      <w:pPr>
        <w:pStyle w:val="Extracto"/>
      </w:pPr>
    </w:p>
    <w:p w:rsidR="006854DA" w:rsidRDefault="006854DA" w:rsidP="006854DA">
      <w:pPr>
        <w:pStyle w:val="Extracto"/>
      </w:pPr>
      <w:r>
        <w:t>2.</w:t>
      </w:r>
      <w:r>
        <w:tab/>
        <w:t>La específica garantía que ahora exige el demandante de amparo como componente inexcusable de la imparcialidad objetiva, es decir, la sustitución del Juez instructor en la decisión relativa a la prisión provisional, si bien puede ciertamente contribuir a reforzar dicha imparcialidad, no alcanza a erigirse en garantía única e imprescindible de la incolumidad del derecho fundamental. Sin necesidad, en efecto, de recordar la proyección que en esta garantía ocupa su propio carácter judicial, la imparcialidad objetiva de quien viene instruyendo y decide, además, la privación preventiva de libertad puede venir suficientemente avalada por exigencias tales como la postulación de esta medida por parte de la acusación, la celebración de un debate contradictorio previo, así como la existencia de un recurso inmediato ante un órgano judicial ajeno a la instrución y con arreglo a una tramitación necesariamente acelerada [ F.J. 4].</w:t>
      </w:r>
    </w:p>
    <w:p w:rsidR="006854DA" w:rsidRDefault="006854DA" w:rsidP="006854DA">
      <w:pPr>
        <w:pStyle w:val="Extracto"/>
      </w:pPr>
    </w:p>
    <w:p w:rsidR="006854DA" w:rsidRDefault="006854DA" w:rsidP="006854DA">
      <w:pPr>
        <w:pStyle w:val="Extracto"/>
      </w:pPr>
      <w:r>
        <w:t>3.</w:t>
      </w:r>
      <w:r>
        <w:tab/>
        <w:t xml:space="preserve">Cabe apreciar en este caso la concurrencia de la garantía esencial de imparcialidad objetiva: La decisión fue adoptada por un Juez, tras comparecencia previa </w:t>
      </w:r>
      <w:r>
        <w:lastRenderedPageBreak/>
        <w:t>contradictoria y tras petición de la acusación, al igual que revisada por un órgano judicial distinto y superior, totalmente ajeno a la instrucción; no consta, finalmente, que quien adoptó la decisión inicial, que aparece como Juez instructor, haya desarrollado una función inquisitiva potencialmente generadora de prejuicios respecto a la adopción de la medida de prisión [F.J. 5].</w:t>
      </w:r>
    </w:p>
    <w:p w:rsidR="006854DA" w:rsidRDefault="006854DA" w:rsidP="006854DA">
      <w:pPr>
        <w:pStyle w:val="Extracto"/>
      </w:pPr>
    </w:p>
    <w:p w:rsidR="006854DA" w:rsidRDefault="006854DA" w:rsidP="006854DA">
      <w:pPr>
        <w:pStyle w:val="Extracto"/>
      </w:pPr>
      <w:r>
        <w:t>4.</w:t>
      </w:r>
      <w:r>
        <w:tab/>
        <w:t>Como señalábamos en la STC 66/1997, la invocación de la alarma social que generan los hechos imputados, con ese contenido y con esa formulación, no contiene un fin constitucionalmente legítimo y congruente con la naturaleza de la prisión provisional: «Con independencia del correspondiente juicio que pueda merecer la finalidad de mitigación de otras alarmas sociales que posean otros contenidos -la alarma social que se concreta en disturbios sociales, por ejemplo- y otros orígenes -la fuga del imputado o su libertad provisional-, juicio en el que ahora no es pertinente entrar,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 Ahora bien, la doctrina anterior no conduce al acogimiento de esta alegación, pues la impugnada medida cautelar privativa de libertad no se adoptó exclusivamente para la mitigación de la alarma social que habrían ocasionado los hechos investigados. Como expresa con claridad el fundamento décimo del Auto de la Audiencia Provincial, la medida «se acordó por razones imperiosas de un mayor éxito de la investigación judicial emprendida, máxime en materia de delitos económicos... existiendo el fundado temor de que, al inicio de la instrucción sumarial, la libertad del inculpado podría dificultar o desnaturalizar el normal desarrollo de la misma». Se constata así la presencia de otros motivos, distintos al basado en la alarma social, en orden a la adopción de la medida de prisión provisional, cual es singularmente el de evitar el riesgo de obstrucción de la instrucción penal (SSTC 128/1995, 44/1997, 66/1997 y 67/1997). Como, además, la concurrencia del riesgo indicado vino suficiente y razonablemente apoyada en la propia disposición del secreto de las actuaciones, así como en datos fácticos relativos a la índole del ilícito investigado, a la complejidad de la instrucción y a la aparición de un documento aparentemente fraudulento, debemos concluir que tampoco en lo relativo a la fundamentación de la finalidad de la prisión provisional observamos, en este caso, tacha alguna desde la perspectiva de la incolumidad del derecho a la libertad [F.J. 9].</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Álvaro Rodríguez Bereijo, Presidente,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4.204/94, promovido por don Arturo Piñana Bo, representado por el Procurador de los Tribunales don José de Murga Rodríguez y asistido por el Abogado don Manuel Serra Domínguez, contra el Auto de la Sección Segunda de la Audiencia Provincial de Barcelona 163/94, de 21 de diciembre, desestimatorio del recurso de queja contra el del Juzgado de Instrucción núm. 1 de la misma ciudad de 29 de octubre, confirmatorio en reforma del de 25 de octubre, que decretó la prisión provisional. Han comparecido don Juan Cruells Mercadé, representado por el Procurador don Antonio F. García Díaz, y defendido por el Letrado don Juan Córdoba Roda, y don Francisco J. de la Rosa Martí, representado por la Procuradora doña María Jesús González Díez y defendido por el Letrado don Miquel Capuz Soler. Ha intervenido el Ministerio Fiscal. Ha sido Ponente el Magistrado don Pedro Cruz Villalón,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día 29 de diciembre de 1994 don José de Murga Rodríguez, Procurador de los Tribunales, interpone recurso de amparo en nombre de don Arturo Piñana Bo contra la resolución de la que se hace mérito en el encabezamiento. En la demanda se solicita la suspensión de la ejecución de la prisión provisional dictada contra el recurrente.</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relevantes para el examen de la pretensión de amparo son, en síntesis, los siguientes: </w:t>
      </w:r>
    </w:p>
    <w:p w:rsidR="006854DA" w:rsidRDefault="006854DA" w:rsidP="006854DA">
      <w:pPr>
        <w:pStyle w:val="TextoNormal"/>
      </w:pPr>
      <w:r>
        <w:t xml:space="preserve">A) El Auto del Juzgado de Instrucción núm. 1 de Barcelona de 25 de octubre de 1994 decretó la prisión provisional, comunicada y sin fianza, del recurrente "como responsable de un delito de estafa y apropiación indebida". La resolución se dicta en las diligencias previas 2.300/94, seguidas contra don Javier de la Rosa Martí, y considera, en resumen, que don Arturo Piñana Bo participó necesariamente en algunos de los negocios jurídicos presuntamente fraudulentos de aquél. La medida cautelar se dispone en atención a la pena de prisión mayor prevista para las conductas imputadas (arts. 528, 529.7º y 8º, y 535 del Código Penal de 1973) y en la alarma social que las mismas han producido (arts. 503 y 504.2º L.E.Crim.). </w:t>
      </w:r>
    </w:p>
    <w:p w:rsidR="006854DA" w:rsidRDefault="006854DA" w:rsidP="006854DA">
      <w:pPr>
        <w:pStyle w:val="TextoNormal"/>
      </w:pPr>
      <w:r>
        <w:t xml:space="preserve">B) El Auto del Juzgado de Instrucción núm. 1 de Barcelona de 29 de octubre desestimó el recurso de reforma interpuesto contra la anterior resolución. Los razonamientos del Auto se extienden en nuevas consideraciones sobre los indicios que sostienen la imputación y acerca de la corrección de la subsunción jurídica provisional de la misma. </w:t>
      </w:r>
    </w:p>
    <w:p w:rsidR="006854DA" w:rsidRDefault="006854DA" w:rsidP="006854DA">
      <w:pPr>
        <w:pStyle w:val="TextoNormal"/>
      </w:pPr>
      <w:r>
        <w:t>C) Recurrido el Auto anterior en queja, la Sección Segunda de la Audiencia Provincial de Barcelona resuelve su desestimación mediante Auto 163/94, de 21 de diciembre. Considera el Tribunal que, aunque "no puede afirmarse con la rotundidad que lo hace el Juez Instructor (...) la existencia de múltiples perjudicados" y, por lo tanto, que el delito imputado comporte la pena de prisión mayor, y aunque "no se aprecian especiales circunstancias que autoricen a pensar fundadamente que el Sr. Piñana no se pusiese a disposición de los Tribunales", la medida cautelar estuvo jurídicamente fundada en la alarma social y en el "mayor éxito de la investigación judicial emprendida", puesto que "la libertad del incul</w:t>
      </w:r>
      <w:r>
        <w:lastRenderedPageBreak/>
        <w:t>pado podría dificultar o desnaturalizar el normal desarrollo" de la instrucción sumarial, extremo que "encaja perfectamente dentro del concepto 'circunstancias del hecho' al que alude el art. 503 de la Ley de Enjuiciamiento Criminal, como habilitador de la adopción de la medida de privación de libertad".</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su extensa demanda el recurrente desarrolla su argumentación en torno a cuatro alegaciones. </w:t>
      </w:r>
    </w:p>
    <w:p w:rsidR="006854DA" w:rsidRDefault="006854DA" w:rsidP="006854DA">
      <w:pPr>
        <w:pStyle w:val="TextoNormal"/>
      </w:pPr>
      <w:r>
        <w:t xml:space="preserve">A) La primera pretensión tiene por contenido la vulneración del derecho a un Juez imparcial (art. 24.2 C.E.) y a la libertad (art. 17), y por sustento la falta de competencia del Juez Instructor para decretar una medida de tanta trascendencia como la prisión provisional, puesto que "el Juez Instructor puede hallarse contaminado por los prejuicios derivados de la instrucción" y puesto que su posible parcialidad se agravaría por el carácter secreto y falto de contradicción de la misma. Esta pretensión comporta la de la inconstitucionalidad de los arts. 502 y 785.8 L.E.Crim. </w:t>
      </w:r>
    </w:p>
    <w:p w:rsidR="006854DA" w:rsidRDefault="006854DA" w:rsidP="006854DA">
      <w:pPr>
        <w:pStyle w:val="TextoNormal"/>
      </w:pPr>
      <w:r>
        <w:t xml:space="preserve">B) La segunda pretensión del recurrente consiste en que se habría vulnerado su derecho fundamental a la libertad, al fundarse su prisión provisional "casi exclusivamente" en el "inadmisible criterio de la alarma social". Se decreta así la privación de libertad, "no como medida cautelar, para garantizar la adscripción del imputado al proceso penal, ni tan siquiera para sancionar anticipadamente la conducta del imputado, lo que tampoco sería admisible, sino cediendo exclusivamente a los deseos vindicativos de la colectividad desconocedora o mal informada de las circunstancias concretas en que los hechos puedan producirse". Esta pretensión comporta la de la inconstitucionalidad del art. 503 L.E.Crim. </w:t>
      </w:r>
    </w:p>
    <w:p w:rsidR="006854DA" w:rsidRDefault="006854DA" w:rsidP="006854DA">
      <w:pPr>
        <w:pStyle w:val="TextoNormal"/>
      </w:pPr>
      <w:r>
        <w:t xml:space="preserve">C) La tercera alegación del recurrente incide de nuevo en la vulneración de su derecho a la libertad. Considera fundamento de la misma el que se haya decretado una medida cautelar excepcional contra una persona que, como reconoce la Audiencia, no va a eludir la acción de la Justicia, y en relación con unas conductas que no serían delictivas pues su intervención en los hechos habría sido meramente instrumental- y que, en todo caso, de serlo, sólo comportarían la pena de arresto mayor. </w:t>
      </w:r>
    </w:p>
    <w:p w:rsidR="006854DA" w:rsidRDefault="006854DA" w:rsidP="006854DA">
      <w:pPr>
        <w:pStyle w:val="TextoNormal"/>
      </w:pPr>
      <w:r>
        <w:t>D) Considera finalmente el recurrente que se ha infringido el art. 24.2 C.E. en lo relativo al derecho fundamental de defensa, pues el Auto de desestimación del recurso de queja fundamentaría la prisión provisional en operaciones diferentes a las que habrían sido objeto de interrogatorio, imputación y defensa.</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27 de febrero de 1995, la Sección Segunda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6854DA" w:rsidRDefault="006854DA" w:rsidP="006854DA">
      <w:pPr>
        <w:pStyle w:val="TextoNormal"/>
      </w:pPr>
    </w:p>
    <w:p w:rsidR="006854DA" w:rsidRDefault="006854DA" w:rsidP="006854DA">
      <w:pPr>
        <w:pStyle w:val="TextoNormal"/>
      </w:pPr>
      <w:r w:rsidRPr="006854DA">
        <w:rPr>
          <w:rStyle w:val="NumeroAFNegritaCaracter"/>
        </w:rPr>
        <w:t>5</w:t>
      </w:r>
      <w:r>
        <w:t>. En su escrito de alegaciones, registrado en este Tribunal el día 9 de marzo, la representación del recurrente considera, en primer lugar, que "la determinación de la compa-tibilidad entre las funciones de instrucción y de enjuiciamiento en torno a la prisión provisional tiene un manifiesto contenido constitucional" en relación con los derechos fundamentales a la libertad personal y a la tutela judicial efectiva, derivado de "la contaminación del Instructor, naturalmente inclinado a privar a una persona de sus derechos para garantizar el éxito de la instrucción". Este hecho tiene incidencia añadida en otros derechos constitucionales: el otorgamiento de un poder tal al Juez de Instrucción y la consi</w:t>
      </w:r>
      <w:r>
        <w:lastRenderedPageBreak/>
        <w:t>guiente amenaza de prisión coarta el ejercicio del derecho del imputado a no declarar contra sí mismo y a no confesarse culpable. Insiste asimismo el recurrente en que se ha vulnerado su derecho a la libertad, alegación que en sí misma supone su contenido constitucional: se habría decretado la prisión provisional contra un "modesto empleado de don Javier de la Rosa", el principal imputado; se habría decretado "en aplicación de un concepto jurídico indeterminado", como el de alarma social, generada además por la "desproporcionada información periodística en torno a unos hechos de naturaleza totalmente mercantil"; se habría decretado con vulneración del principio de proporcionalidad: simplemente para evitar "la creación de documentos o la alteración de elementos de prueba". La tercera y última alegación del escrito reitera la infracción del derecho de defensa que supone la desestimación del recurso de queja por imputaciones distintas a las que determinaron la prisión. Para reafirmar su pretensión aporta copia de la declaración del recurrente en el Juzgado de Instrucción y copia del Auto de la Audiencia Provincial de Barcelona en la que se decreta la libertad de otro imputado en las mismas diligencias, don Narciso de Mir, "sin atender a las nuevas imputaciones del Juez Instructor".</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Considera el Ministerio Fiscal, en su escrito de 17 de marzo, que, en relación con la primera pretensión, ha de concluirse "que no existe inconveniente constitucional para que la prisión provisional pueda y deba ser acordada por el Juez de Instrucción". Tomando en consideración la instrumentalidad de la prisión provisional, que es una medida cautelar que persigue la eficacia del proceso penal, de inevitable duración, debe deducirse, por una parte, que su problemática se reduciría con la mayor celeridad del proceso y, por otra, que "tiene que ponerse -en su iniciativa- en manos de quien actúa en cada momento del proceso: esto es, del Instructor, hasta la conclusión de la Instrucción, o del Juez o Tribunal, hasta la firmeza de la Sentencia (...). Ello, estimamos, no sólo no es inconstitucional, sino que es adecuado a la propia naturaleza de la medida, a su finalidad y a su incardinación en un momento procesal determinado". Argumenta además el Fiscal, con citas jurisprudenciales de este Tribunal y del Europeo de Derechos Humanos, que la actividad cuestionada "no se encuentra entre las propias del enjuiciamiento y, por lo tanto, no afecta a la garantía de imparcialidad". Se ha de hacer constar, además, que en el presente caso el recurrente hizo uso del rápido recurso disponible frente a órgano distinto y superior. </w:t>
      </w:r>
    </w:p>
    <w:p w:rsidR="006854DA" w:rsidRDefault="006854DA" w:rsidP="006854DA">
      <w:pPr>
        <w:pStyle w:val="TextoNormal"/>
      </w:pPr>
      <w:r>
        <w:t>Aunque reconoce el Fiscal que "los criterios de alarma y frecuencia que la reforma del art. 504 citado (año 1984) introduce para que sean tenidos en cuenta por el juez, no se compadecen bien -por sí solos- con la verdadera naturaleza de esta medida sino que hacen más relación a la prevención general propia de los fines de las penas y por ello no parecen constitucionalmente admisibles", estima que en el caso presente no se tuvo únicamente en cuenta la alarma social para decretar la medida, sino que se "atendió también a los inconvenientes que para la instrucción podría tener la libertad del recurrente". Como son inadmisibles, por lo demás, los dos motivos restantes, puesto que los Autos recurridos contienen suficientes razonamientos para justificar materialmente la medida y puesto que el actor tuvo participación y audiencia en relación con los hechos medulares de la instrucción, el Ministerio Fiscal concluye su informe proponiendo la inadmisión del recurso.</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providencia de 23 de mayo de 1995, la Sección Segunda acuerda admitir a trámite la demanda de amparo y dirigir sendas comunicaciones a la Audiencia Provincial de Barcelona y al Juzgado de Instrucción núm. 1 de la misma ciudad a fin de que remitan testimonio de las actuaciones correspondientes al procedimiento del que trae causa el pre</w:t>
      </w:r>
      <w:r>
        <w:lastRenderedPageBreak/>
        <w:t>sente recurso y se emplace a quienes hubieran sido parte en el mismo para su posible comparecencia en este proceso de amparo.</w:t>
      </w:r>
    </w:p>
    <w:p w:rsidR="006854DA" w:rsidRDefault="006854DA" w:rsidP="006854DA">
      <w:pPr>
        <w:pStyle w:val="TextoNormal"/>
      </w:pPr>
    </w:p>
    <w:p w:rsidR="006854DA" w:rsidRDefault="006854DA" w:rsidP="006854DA">
      <w:pPr>
        <w:pStyle w:val="TextoNormal"/>
      </w:pPr>
      <w:r w:rsidRPr="006854DA">
        <w:rPr>
          <w:rStyle w:val="NumeroAFNegritaCaracter"/>
        </w:rPr>
        <w:t>8</w:t>
      </w:r>
      <w:r>
        <w:t>. Mediante nueva providencia de 23 de mayo de 1995, la Sección acuerda la apertura de pieza separada de suspensión y, conforme determina el art. 56 LOTC, concede un plazo común de tres días a la parte demandante y al Ministerio Fiscal para que aleguen lo que estimen pertinente sobre la misma. Se recibe al respecto únicamente escrito del Ministerio Fiscal en postulación de la denegación de la suspensión. El Auto de la Sala Primera de 3 de julio de 1995, a la vista del Auto del Juzgado de Instrucción núm. 1 de Barcelona de 13 de febrero de 1995, que decreta la libertad provisional del recurrente condicionada a la prestación de una fianza, acuerda la terminación del incidente de suspensión por satisfacción de la pretensión del recurrente en vía judicial.</w:t>
      </w:r>
    </w:p>
    <w:p w:rsidR="006854DA" w:rsidRDefault="006854DA" w:rsidP="006854DA">
      <w:pPr>
        <w:pStyle w:val="TextoNormal"/>
      </w:pPr>
    </w:p>
    <w:p w:rsidR="006854DA" w:rsidRDefault="006854DA" w:rsidP="006854DA">
      <w:pPr>
        <w:pStyle w:val="TextoNormal"/>
      </w:pPr>
      <w:r w:rsidRPr="006854DA">
        <w:rPr>
          <w:rStyle w:val="NumeroAFNegritaCaracter"/>
        </w:rPr>
        <w:t>9</w:t>
      </w:r>
      <w:r>
        <w:t>. Recibidas las actuaciones, la Sección Primera acuerda dar vista de las mismas a las partes, con concesión de un plazo común de veinte días para la presentación de las alegaciones previstas en el art. 52.1 LOTC. En la misma providencia, de 11 de septiembre de 1995, se acuerda tener por personado y parte en el procedimiento a los Procuradores Sres. García Díaz y González Díez, en nombre y representación, respectivamente, de don Juan Cruells Mercadé y de don Francisco J. de la Rosa Martí.</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En su escrito de 3 de octubre la representación del recurrente se reafirma en todas sus alegaciones previas y añade otras nuevas al hilo de los nuevos avatares del procedimiento (Autos de mantenimiento de la prisión y de libertad bajo fianza, Autos relativos al secreto del sumario). Las nuevas resoluciones pondrían de relieve que el recurrente "ha permanecido cuatro meses y medio privado de su libertad personal, no para asegurar su persona a los efectos del proceso, sino simplemente para poder efectuar diligencias de prueba sin su intervención y sin que pudiera ejercitar su derecho de defensa". Amén del secreto del sumario, simultáneo a su privación de libertad, acentúa el escrito el hecho de que la prisión se acordara tras deliberación a puerta cerrada del Juez y de los Fiscales, y, por lo tanto, sin la presencia del imputado y de su Abogado. </w:t>
      </w:r>
    </w:p>
    <w:p w:rsidR="006854DA" w:rsidRDefault="006854DA" w:rsidP="006854DA">
      <w:pPr>
        <w:pStyle w:val="TextoNormal"/>
      </w:pPr>
      <w:r>
        <w:t xml:space="preserve">Al hilo del Auto que decretó la libertad de otro imputado, don Narciso de Mir Faura, se indica en el escrito, por una parte, que la Audiencia estimó que la queja no admitía datos nuevos, so pena de generar indefensión, cuando precisamente la misma Audiencia sustentó el mantenimiento en prisión del hoy recurrente con base en hechos distintos a los que fundaron dicha medida. Por otra parte, a pesar de que en el Auto indicado se afirmaba la naturaleza puramente mercantil de la operación relativa a la clínica New Teknon, lo que comportaba el carácter no delictivo de los hechos imputados al hoy recurrente, éste continuó su estancia en prisión. </w:t>
      </w:r>
    </w:p>
    <w:p w:rsidR="006854DA" w:rsidRDefault="006854DA" w:rsidP="006854DA">
      <w:pPr>
        <w:pStyle w:val="TextoNormal"/>
      </w:pPr>
      <w:r>
        <w:t>El escrito finaliza con una serie de consideraciones relativas a que el amparo no pierde su finalidad por la puesta en libertad del recurrente, dada su posible incidencia sobre supuestos similares y sobre el propio ordenamiento jurídico (art. 503 L.E.Crim.), y dada la cuantiosa fianza que hubo de abonarse para dicha puesta en libertad. Por otra parte, el decaimiento del objeto en este tipo de supuestos y el retraso con el que se resuelven los procesos de amparo provocarían el que "nunca pudiera solicitarse amparo eficaz contra un auto de prisión provisional".</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11</w:t>
      </w:r>
      <w:r>
        <w:t>. En su informe de 11 de octubre de 1995 el Ministerio Fiscal concluye interesando la denegación del amparo por las mismas razones que ya expresaba en su escrito sobre la admisión de la demanda, ya sintetizado en el Antecedente núm. 6.</w:t>
      </w:r>
    </w:p>
    <w:p w:rsidR="006854DA" w:rsidRDefault="006854DA" w:rsidP="006854DA">
      <w:pPr>
        <w:pStyle w:val="TextoNormal"/>
      </w:pPr>
    </w:p>
    <w:p w:rsidR="006854DA" w:rsidRDefault="006854DA" w:rsidP="006854DA">
      <w:pPr>
        <w:pStyle w:val="TextoNormal"/>
      </w:pPr>
      <w:r w:rsidRPr="006854DA">
        <w:rPr>
          <w:rStyle w:val="NumeroAFNegritaCaracter"/>
        </w:rPr>
        <w:t>12</w:t>
      </w:r>
      <w:r>
        <w:t>. Mediante providencia de 19 de mayo corriente, se señala para la deliberación y la votación de la presente Sentencia el día 20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Alega el demandante de amparo que el Auto 163/94 dictado por la Sección Segunda de la Audiencia Provincial de Barcelona, y por el que se confirmó su situación de prisión provisional, ha vulnerado sus derechos fundamentales a la libertad personal (art.  17.1 C.E.), a la defensa y a un proceso con todas las garantías (art. 24.2 C.E.). El demandante de amparo, en efecto, fue privado provisionalmente de libertad el día 25 de octubre de 1994, la decisión del Juez Instructor fue confirmada por éste el día 29 de octubre y por la Audiencia el día 21 de diciembre. Es de tener en cuenta que, tras la interposición del presente recurso de amparo (29 de diciembre), obtuvo la libertad provisional (13 de febrero de 1995), sólo efectiva con el pago de la fianza de 40.000.000 de pesetas que la condicionaba.</w:t>
      </w:r>
    </w:p>
    <w:p w:rsidR="006854DA" w:rsidRDefault="006854DA" w:rsidP="006854DA">
      <w:pPr>
        <w:pStyle w:val="TextoNormal"/>
      </w:pPr>
      <w:r>
        <w:t>Mas concretamente, entiende el demandante de amparo que el incidente que determinó la privación de libertad del recurrente no estuvo regido por las garantías procesales que impone la Constitución, considerando insuficiente e inadecuado el sustrato material de la medida. En el primer apartado se ubican los motivos atinentes a la parcialidad objetiva del Juez que decretó la prisión, que se derivaría de su propia condición de instructor, y a la indefensión que habría ocasionado la variación en fase de queja ante la Audiencia de la imputación que sostenía la decisión. Reproches de tenor sustantivo son la falta de solidez o de gravedad de dicha imputación y la orientación de la medida en consideración a la alarma social.</w:t>
      </w:r>
    </w:p>
    <w:p w:rsidR="006854DA" w:rsidRDefault="006854DA" w:rsidP="006854DA">
      <w:pPr>
        <w:pStyle w:val="TextoNormal"/>
      </w:pPr>
    </w:p>
    <w:p w:rsidR="006854DA" w:rsidRDefault="006854DA" w:rsidP="006854DA">
      <w:pPr>
        <w:pStyle w:val="TextoNormal"/>
      </w:pPr>
      <w:r w:rsidRPr="006854DA">
        <w:rPr>
          <w:rStyle w:val="NumeroAFNegritaCaracter"/>
        </w:rPr>
        <w:t>2</w:t>
      </w:r>
      <w:r>
        <w:t>. Respecto de la alegada vulneración del derecho a un juez imparcial, considera la representación del recurrente, en esencia, que la decisión relativa a la prisión provisional, al afectar directamente al derecho a la libertad personal, debe ser adoptada por un Juez plenamente imparcial, sin que el de Instrucción pueda serlo por la propia contaminación que supone la dirección de la investigación en la que se enmarca la medida cautelar. Tal alegato, de ser acogido, y como subraya el propio demandante de amparo, acarrearía la correspondiente inconstitucionalidad de los artículos 502 y 785.8 de la L.E.Crim.</w:t>
      </w:r>
    </w:p>
    <w:p w:rsidR="006854DA" w:rsidRDefault="006854DA" w:rsidP="006854DA">
      <w:pPr>
        <w:pStyle w:val="TextoNormal"/>
      </w:pPr>
      <w:r>
        <w:t>Ciertamente, "entre las garantías que incluye el art. 24.2 C.E. se encuentra, aunque no se cite en forma expresa, el derecho a un Juez imparcial, que constituye sin duda una garantía fundamental de la Administración de Justicia en un Estado de Derecho, como lo es el nuestro de acuerdo con el art. 1.1 de la Constitución" (STC 145/1988, fundamento jurídico 2º). Forma parte del contenido del derecho fundamental, en la vertiente objetiva a la que se acoge la demanda, la proscripción de la acumulación en un mismo órgano judicial de funciones propiamente instructoras y decisorias. Esta concreción de la imparcialidad objetiva "se asienta sobre dos ideas esenciales: de un lado, que el hecho de haber estado en contacto con el material de hecho necesario para que se celebre el juicio puede hacer nacer en el ánimo del Juez o Tribunal sentenciador prejuicio y prevenciones respecto de la cul</w:t>
      </w:r>
      <w:r>
        <w:lastRenderedPageBreak/>
        <w:t>pabilidad del imputado, quebrándose así la imparcialidad objetiva que intenta asegurar la separación entre la función instructora y la juzgadora (por todas, STC 145/1988, antes citada); de otro, será en cada caso concreto donde habrá que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(STC 136/1992, fundamento jurídico 2º).</w:t>
      </w:r>
    </w:p>
    <w:p w:rsidR="006854DA" w:rsidRDefault="006854DA" w:rsidP="006854DA">
      <w:pPr>
        <w:pStyle w:val="TextoNormal"/>
      </w:pPr>
    </w:p>
    <w:p w:rsidR="006854DA" w:rsidRDefault="006854DA" w:rsidP="006854DA">
      <w:pPr>
        <w:pStyle w:val="TextoNormal"/>
      </w:pPr>
      <w:r w:rsidRPr="006854DA">
        <w:rPr>
          <w:rStyle w:val="NumeroAFNegritaCaracter"/>
        </w:rPr>
        <w:t>3</w:t>
      </w:r>
      <w:r>
        <w:t>. Afirmado esto, las cuestiones que este recurso de amparo plantea son la de si, como pretende el recurrente, la garantía de imparcialidad objetiva es constitucionalmente exigible en el trámite relativo a la situación personal del imputado y la de si, como consecuencia de ello, rige en el mismo la interdicción reseñada relativa a la acumulación de instrucción y decisión: si al Juez Instructor le está vedado ex arts. 17.1 y 24.2 C.E. la decisión sobre la prisión provisional del imputado.</w:t>
      </w:r>
    </w:p>
    <w:p w:rsidR="006854DA" w:rsidRDefault="006854DA" w:rsidP="006854DA">
      <w:pPr>
        <w:pStyle w:val="TextoNormal"/>
      </w:pPr>
      <w:r>
        <w:t>Por lo que hace a lo primero, es claro que sólo desde la imparcialidad cabe adoptar una resolución judicial como la que nos ocupa. El derecho a un Juez objetivamente imparcial debe, por tanto, regir en el trámite sobre la situación personal del imputado.  Ahora bien, debe añadirse, por lo que hace ya a lo segundo, que lo anterior no comporta la estricta exigencia constitucional de traslado in toto a dicho trámite de la prohibición de acumulación en un mismo órgano judicial de la decisión y de ciertas actividades de instrucción.  A ello se opone tanto la configuración general de dicha concreción del derecho a un Juez imparcial en nuestra doctrina jurisprudencial, como la reflexión que depara su concreta confrontación con la naturaleza y los objetivos del trámite sobre la libertad del imputado.</w:t>
      </w:r>
    </w:p>
    <w:p w:rsidR="006854DA" w:rsidRDefault="006854DA" w:rsidP="006854DA">
      <w:pPr>
        <w:pStyle w:val="TextoNormal"/>
      </w:pPr>
      <w:r>
        <w:t>En efecto, respecto de lo primero, la STC 32/1994 ceñía la referida consecuencia de la garantía de imparcialidad objetiva a la actividad de enjuiciamiento: "Desde la perspectiva constitucional, el derecho a un Juez imparcial en su vertiente objetiva se afirma únicamente respecto del acusado (STC 136/1992) por lo que el mismo no es alegable en la fase de instrucción del sumario o de las diligencias previas ya que, en esta sede constitucional, la lesión del derecho a la imparcialidad sólo se consuma tras el fallo de la causa por el titular del órgano judicial en primera instancia (SSTC 136/1989 y 170/1993), es decir, cuando se constata efectivamente que el Juez o Magistrado que ha realizado auténticas actividades de instrucción, ha intervenido también en el enjuiciamiento del acusado" (fundamento jurídico 2º).</w:t>
      </w:r>
    </w:p>
    <w:p w:rsidR="006854DA" w:rsidRDefault="006854DA" w:rsidP="006854DA">
      <w:pPr>
        <w:pStyle w:val="TextoNormal"/>
      </w:pPr>
      <w:r>
        <w:t>En consonancia con el Ministerio Fiscal, aludíamos también a que la naturaleza de la prisión provisional se opone a una negación radical ex Constitutione de la posibilidad de que el Juez que ha instruido pueda decretarla. La prisión provisional constituye una medida cautelar de la jurisdicción penal cuyas peculiaridades principales residen en la gravedad de su incidencia sobre su destinatario, que queda privado de libertad. Cabe afirmar así que la prisión provisional es una medida excepcional que se justifica como la respuesta más razonable a una situación en la que se impone la necesidad de optar entre el derecho a la libertad de una persona que no ha sido declarada culpable, de una parte, y el aseguramiento, de otra, de la administración de justicia penal. La correcta adopción de la decisión sobre la situación personal del imputado y su efectividad requieren, respectivamente, el conocimiento por parte del órgano decisor de toda la información relevante procesalmente disponible y, normalmente, la sujeción personal del imputado, lo que agrava cualquier demora en la resolución.</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4</w:t>
      </w:r>
      <w:r>
        <w:t>. A la vista de todas estas circunstancias, la específica garantía que ahora exige el demandante de amparo como componente inexcusable de la imparcialidad objetiva, es decir, la sustitución del Juez instructor en la decisión relativa a la prisión provisional, si bien puede ciertamente contribuir a reforzar dicha imparcialidad, no alcanza a erigirse en garantía única e imprescindible de la incolumidad del derecho fundamental. Sin necesidad, en efecto, de recordar la proyección que en esta garantía ocupa su propio carácter judicial, la imparcialidad objetiva de quien viene instruyendo y decide, además, la privación preventiva de libertad puede venir suficientemente avalada por exigencias tales como la postulación de esta medida por parte de la acusación, la celebración de un debate contradictorio previo, así como la existencia de un recurso inmediato ante un órgano judicial ajeno a la instrución y con arreglo a una tramitación necesariamente acelerada.</w:t>
      </w:r>
    </w:p>
    <w:p w:rsidR="006854DA" w:rsidRDefault="006854DA" w:rsidP="006854DA">
      <w:pPr>
        <w:pStyle w:val="TextoNormal"/>
      </w:pPr>
    </w:p>
    <w:p w:rsidR="006854DA" w:rsidRDefault="006854DA" w:rsidP="006854DA">
      <w:pPr>
        <w:pStyle w:val="TextoNormal"/>
      </w:pPr>
      <w:r w:rsidRPr="006854DA">
        <w:rPr>
          <w:rStyle w:val="NumeroAFNegritaCaracter"/>
        </w:rPr>
        <w:t>5</w:t>
      </w:r>
      <w:r>
        <w:t>. A partir del planteamiento anterior no cabe constatar lesión del derecho del recurrente a un Juez objetivamente imparcial en relación con el incidente que desembocó en su prisión provisional. Para arribar a esta conclusión resulta relevante, en primer lugar, el hecho de que la demanda no concrete qué acto o actos auténticamente instructores generaron la contaminación objetiva del Juez que decidió la prisión. Debe consignarse, además, que la decisión del Juez se adoptó con la petición del Ministerio Fiscal y tras la previa comparecencia del imputado con asistencia letrada. Destaca, finalmente, el que el Auto de prisión fuera recurrido ante un órgano judicial distinto y superior, que ratificó la medida, siquiera con la intermediación de un recurso de reforma y tras un lapso de tiempo cercano a los dos meses.</w:t>
      </w:r>
    </w:p>
    <w:p w:rsidR="006854DA" w:rsidRDefault="006854DA" w:rsidP="006854DA">
      <w:pPr>
        <w:pStyle w:val="TextoNormal"/>
      </w:pPr>
      <w:r>
        <w:t>En suma, cabe apreciar en este caso la concurrencia de la garantía esencial de imparcialidad objetiva: la decisión fue adoptada por un Juez, tras comparecencia previa contradictoria y tras petición de la acusación, al igual que revisada por un órgano judicial distinto y superior, totalmente ajeno a la instrucción; no consta, finalmente, que quien adoptó la decisión inicial, que aparece como Juez instructor, haya desarrollado una función inquisitiva potencialmente generadora de prejuicios respecto a la adopción de la medida de prisión.</w:t>
      </w:r>
    </w:p>
    <w:p w:rsidR="006854DA" w:rsidRDefault="006854DA" w:rsidP="006854DA">
      <w:pPr>
        <w:pStyle w:val="TextoNormal"/>
      </w:pPr>
    </w:p>
    <w:p w:rsidR="006854DA" w:rsidRDefault="006854DA" w:rsidP="006854DA">
      <w:pPr>
        <w:pStyle w:val="TextoNormal"/>
      </w:pPr>
      <w:r w:rsidRPr="006854DA">
        <w:rPr>
          <w:rStyle w:val="NumeroAFNegritaCaracter"/>
        </w:rPr>
        <w:t>6</w:t>
      </w:r>
      <w:r>
        <w:t>. El segundo motivo de la demanda de contenido procesal se refiere a la vulneración del derecho constitucional de defensa generada por la ampliación de la imputación por parte de la Audiencia en fase de recurso de queja. Para que pueda prosperar no es lo primordial la constatación de que se ha producido dicha ampliación, sino la de que la misma ha dotado a una imputación previa insuficiente de la solidez que necesitaba para el sustento de la medida cautelar de prisión.  Dicho en otros términos: sólo se dará una violación del derecho de defensa en este contexto cuando la resolución de prisión provisional haya encontrado parte de su fundamento esencial en una imputación hurtada al conocimiento o a la contradicción del imputado.</w:t>
      </w:r>
    </w:p>
    <w:p w:rsidR="006854DA" w:rsidRDefault="006854DA" w:rsidP="006854DA">
      <w:pPr>
        <w:pStyle w:val="TextoNormal"/>
      </w:pPr>
      <w:r>
        <w:t>Nada de ello se constata en el presente supuesto. No es cierto que la imputación inicial lo fuera por una sola operación de compraventa, como pretende el demandante, pues los dos Autos del Juzgado, directamente y por remisión a un tercero relativo a la prisión de otro imputado, se referían a toda una serie de negocios posiblemente delictivos en los que habría participado el hoy recurrente. Tampoco cabe aseverar que la Audiencia sustentara la prisión exclusivamente en dos nuevos hechos, pues ni niega aspecto alguno de la imputación inicial ni tales hechos, no citados como únicos, sino como indiscutidos, son nuevos, al menos el principal de ellos, relativo a un cuantioso préstamo que habría concedido Gran Tibidabo, S.A., a Quail España, S.A.  No ha habido pues, en conclusión, una transforma</w:t>
      </w:r>
      <w:r>
        <w:lastRenderedPageBreak/>
        <w:t>ción de la imputación en condiciones de indefensión, sino, a lo sumo, una ampliación no sustancial de la misma que aleja el debate constitucional en torno a las resoluciones impugnadas del ámbito del derecho de defensa y lo centra en otro de los motivos de la demanda: el referente a la fundamentación de la medida.</w:t>
      </w:r>
    </w:p>
    <w:p w:rsidR="006854DA" w:rsidRDefault="006854DA" w:rsidP="006854DA">
      <w:pPr>
        <w:pStyle w:val="TextoNormal"/>
      </w:pPr>
    </w:p>
    <w:p w:rsidR="006854DA" w:rsidRDefault="006854DA" w:rsidP="006854DA">
      <w:pPr>
        <w:pStyle w:val="TextoNormal"/>
      </w:pPr>
      <w:r w:rsidRPr="006854DA">
        <w:rPr>
          <w:rStyle w:val="NumeroAFNegritaCaracter"/>
        </w:rPr>
        <w:t>7</w:t>
      </w:r>
      <w:r>
        <w:t>. Los dos motivos restantes de la demanda, segundo y tercero en los ordinales de la misma, se refieren a los dos aspectos cruciales de la fundamentación material de la prisión provisional: a que carece de justificación o de gravedad la imputación que debería constituir su presupuesto, y a que en las finalidades de la medida figura de modo preponderante una que ostentaría carácter espurio, cual es la mitigación de la alarma social. A su análisis diferenciado dedicaremos los dos próximos fundamentos.  Previamente, hemos de recordar nuestra doctrina al respecto.</w:t>
      </w:r>
    </w:p>
    <w:p w:rsidR="006854DA" w:rsidRDefault="006854DA" w:rsidP="006854DA">
      <w:pPr>
        <w:pStyle w:val="TextoNormal"/>
      </w:pPr>
      <w:r>
        <w:t>A) En relación con el fundamento de la adopción de la medida de prisión provisional destacábamos en la STC 128/1995 (fundamento jurídico 3º) que, además de su legalidad (arts. 17.1 y 17.4 C.E.),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(también, STC 62/1996, fundamento jurídico 5º). El propio fundamento jurídico de dicha STC 128/1995 concretaba como constitutiva de estos fines la conjura de ciertos riesgos relevantes para el desarrollo normal del proceso ó para la ejecución del fallo.</w:t>
      </w:r>
    </w:p>
    <w:p w:rsidR="006854DA" w:rsidRDefault="006854DA" w:rsidP="006854DA">
      <w:pPr>
        <w:pStyle w:val="TextoNormal"/>
      </w:pPr>
      <w:r>
        <w:t>B) Las decisiones relativas a la adopción y al mantenimiento de la prisión provisional deben expresarse en una resolución judicial motivada (SSTC 41/1982, 56/1987, 3/1992, 128/1995).  Esta motivación ha de ser suficiente y razonable,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[(STC 128/1995, fundamento jurídico 4º b)]. La suficiencia y la razonabilidad serán, en definitiva,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de las reglas del razonamiento lógico y del entendimiento de la prisión provisional como "una medida de aplicación excepcional, subsidiaria, provisional y proporcionada a la consecución de los fines" referidos en el párrafo anterior (STC 128/1995, fundamento jurídico 3º).</w:t>
      </w:r>
    </w:p>
    <w:p w:rsidR="006854DA" w:rsidRDefault="006854DA" w:rsidP="006854DA">
      <w:pPr>
        <w:pStyle w:val="TextoNormal"/>
      </w:pPr>
      <w:r>
        <w:t>C) Dos últimos extremos merecen ser mencionados. El primero consiste en que la falta de una motivación suficiente y razonable de la decisión de prisión provisional no supondrá sólo un problema de falta de tutela, propio del ámbito del art. 24.1 C.E., sino prioritariamente un problema de lesión del derecho a la libertad, por su privación sin la concurrencia de un presupuesto habilitante para la misma [(SSTC 128/1995, fundamento jurídico 4º a); 37/1996, fundamento jurídico 5º; 62/1996, fundamento jurídico 2º; 158/1996, fundamento jurídico 3º)]. El segundo afecta al problema de la competencia del Tribunal Constitucional en esta materia, que no es la de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fundamento jurídico 4º b)].</w:t>
      </w:r>
    </w:p>
    <w:p w:rsidR="006854DA" w:rsidRDefault="006854DA" w:rsidP="006854DA">
      <w:pPr>
        <w:pStyle w:val="TextoNormal"/>
      </w:pPr>
    </w:p>
    <w:p w:rsidR="006854DA" w:rsidRDefault="006854DA" w:rsidP="006854DA">
      <w:pPr>
        <w:pStyle w:val="TextoNormal"/>
      </w:pPr>
      <w:r w:rsidRPr="006854DA">
        <w:rPr>
          <w:rStyle w:val="NumeroAFNegritaCaracter"/>
        </w:rPr>
        <w:t>8</w:t>
      </w:r>
      <w:r>
        <w:t>. Ningún reproche constitucional desde la perspectiva del derecho a la libertad cabe oponer a la constatación judicial de "motivos bastantes para creer responsable criminalmente del delito" (art. 503.3ª L.E.Crim.)  al recurrente. Los Autos combatidos narran con cierta minuciosidad los hechos provisoriamente constatados, siquiera parcialmente por remisión a otra resolución previa, y consignan las fuentes testificales y documentales que han conducido a tal relato. El contraste de aquella narración y de estas fuentes no revela en absoluto que la inferencia de indicios de culpabilidad del recurrente sea ilógica o argumentalmente insuficiente, sin que, por lo demás, ningún otro juicio al respecto competa a este Tribunal. Este juicio de racionalidad no queda afectado, como pretende el recurrente, por el hecho concreto de que otro de los imputados, don Narciso de Mir Faura, fuera puesto provisionalmente en libertad por la propia Sección Segunda de la Audiencia Provincial de Barcelona: en primer lugar, porque el Auto correspondiente, de 6 de febrero de 1995, no afirma que la operación que analizaba no fuera delictiva, sino que, sin excluirlo, estima que no es subsumible en la calificación jurídica que contenía la imputación del Juez Instructor; en segundo lugar, porque, como ya afirmábamos en el tercer fundamento, la operación de compraventa de las acciones de la sociedad anónima New Teknon no es sino uno de los varios negocios que se atribuyen al hoy recurrente a título de partícipe necesario, sin que quepa sostener que su ausencia de la imputación deje ésta sin fundamento suficiente.</w:t>
      </w:r>
    </w:p>
    <w:p w:rsidR="006854DA" w:rsidRDefault="006854DA" w:rsidP="006854DA">
      <w:pPr>
        <w:pStyle w:val="TextoNormal"/>
      </w:pPr>
    </w:p>
    <w:p w:rsidR="006854DA" w:rsidRDefault="006854DA" w:rsidP="006854DA">
      <w:pPr>
        <w:pStyle w:val="TextoNormal"/>
      </w:pPr>
      <w:r w:rsidRPr="006854DA">
        <w:rPr>
          <w:rStyle w:val="NumeroAFNegritaCaracter"/>
        </w:rPr>
        <w:t>9</w:t>
      </w:r>
      <w:r>
        <w:t>. Finalmente, tampoco ha sido vulnerado el derecho fundamental a la libertad personal del recurrente desde la perspectiva de las razones que explicitó el Juez en la adopción de la medida cautelar, concretamente, como consecuencia de la orientación de la prisión provisional a la finalidad de contrarrestar la alarma social que habrían generado los hechos imputados.</w:t>
      </w:r>
    </w:p>
    <w:p w:rsidR="006854DA" w:rsidRDefault="006854DA" w:rsidP="006854DA">
      <w:pPr>
        <w:pStyle w:val="TextoNormal"/>
      </w:pPr>
      <w:r>
        <w:t>En principio debe admitirse parte de razón en la argumentación del recurrente.  Como señalábamos recientemente (STC 66/1997), la invocación de la alarma social que generan los hechos imputados, con ese contenido y con esa formulación, no contiene un fin constitucionalmente legítimo y congruente con la naturaleza de la prisión provisional: "Con independencia del correspondiente juicio que pueda merecer la finalidad de mitigación de otras alarmas sociales que posean otros contenidos -la alarma social que se concreta en disturbios sociales, por ejemplo- y otros orígenes -la fuga del imputado o su libertad provisional-, juicio en el que ahora no es pertinente entrar,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 (fundamento jurídico 6º).</w:t>
      </w:r>
    </w:p>
    <w:p w:rsidR="006854DA" w:rsidRDefault="006854DA" w:rsidP="006854DA">
      <w:pPr>
        <w:pStyle w:val="TextoNormal"/>
      </w:pPr>
      <w:r>
        <w:t xml:space="preserve">Ahora bien, la doctrina anterior no conduce al acogimiento de esta alegación, pues la impugnada medida cautelar privativa de libertad no se adoptó exclusivamente para la mitigación de la alarma social que habrían ocasionado los hechos investigados.  Como expresa con claridad el fundamento décimo del Auto de la Audiencia Provincial, la medida "se acordó por razones imperiosas de un mayor éxito de la investigación judicial emprendida, máxime en materia de delitos económicos... existiendo el fundado temor de que, al inicio de la instrucción sumarial, la libertad del inculpado podría dificultar o desnaturalizar el normal desarrollo de la misma".  Se constata así la presencia de otros motivos, distintos </w:t>
      </w:r>
      <w:r>
        <w:lastRenderedPageBreak/>
        <w:t>al basado en la alarma social, en orden a la adopción de la medida de prisión provisional, cual es singularmente el de evitar el riesgo de obstrucción de la instrucción penal (SSTC 128/1995, fundamento jurídico 3º; 44/1997, fundamento jurídico 5º; 66/1997, fundamento jurídico 4º; 67/1997, fundamento jurídico 2º). Como, además, la concurrencia del riesgo indicado vino suficiente y razonablemente apoyada en la propia disposición del secreto de las actuaciones, así como en datos fácticos relativos a la índole del ilícito investigado, a la complejidad de la instrucción y a la aparición de un documento aparentemente fraudulento, debemos concluir que tampoco en lo relativo a la fundamentación de la finalidad de la prisión provisional observamos, en este caso, tacha alguna desde la perspectiva de la incolumidad del derecho a la libertad.</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presente recurso de amparo.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veinte de mayo de mil novecientos noventa y siete.</w:t>
      </w:r>
    </w:p>
    <w:p w:rsidR="006854DA" w:rsidRDefault="006854DA" w:rsidP="006854DA">
      <w:pPr>
        <w:pStyle w:val="ParrafoNormal"/>
      </w:pPr>
    </w:p>
    <w:p w:rsidR="006854DA" w:rsidRDefault="006854DA" w:rsidP="006854DA">
      <w:pPr>
        <w:pStyle w:val="TextoNormalNegritaCentrado"/>
        <w:keepNext/>
      </w:pPr>
      <w:r>
        <w:t>Voto particular que formula el Magistrado don Manuel Jiménez de Parga y Cabrera a la Sentencia recaída en el recurso de amparo núm. 4.204/94.</w:t>
      </w:r>
    </w:p>
    <w:p w:rsidR="006854DA" w:rsidRDefault="006854DA" w:rsidP="006854DA">
      <w:pPr>
        <w:pStyle w:val="TextoNormalNegritaCentrado"/>
        <w:keepNext/>
      </w:pPr>
    </w:p>
    <w:p w:rsidR="006854DA" w:rsidRDefault="006854DA" w:rsidP="006854DA">
      <w:pPr>
        <w:pStyle w:val="TextoNormal"/>
      </w:pPr>
      <w:r>
        <w:t>Mi discrepancia principal con esta Sentencia se centra en el modo de considerar la "alarma social" como motivo, causa o razón, para decretar la prisión provisional. Creo que es un asunto importante, que nuestro Tribunal debe afrontar y resolver; la frecuencia con que los Jueces y los Tribunales fundamentan sus Autos de prisión en la "alarma social", generada por un hecho supuestamente delictivo, añade al interés teórico de la cuestión unas notables consecuencias prácticas.</w:t>
      </w:r>
    </w:p>
    <w:p w:rsidR="006854DA" w:rsidRDefault="006854DA" w:rsidP="006854DA">
      <w:pPr>
        <w:pStyle w:val="TextoNormal"/>
      </w:pPr>
      <w:r>
        <w:t>1. Nada tendría que objetar a la Sentencia de la mayoría -que siempre me merece respeto grande- si en ella se hubiese seguido detenidamente el razonamiento que se anuncia en el fundamento jurídico 7º. Es de lamentar, sin embargo, que el prometido tratamiento de la "alarma social" no se lleve a cabo de una forma más completa y satisfactoria.</w:t>
      </w:r>
    </w:p>
    <w:p w:rsidR="006854DA" w:rsidRDefault="006854DA" w:rsidP="006854DA">
      <w:pPr>
        <w:pStyle w:val="TextoNormal"/>
      </w:pPr>
      <w:r>
        <w:t>Se afirma en el fundamento jurídico 7º: "Los dos motivos restantes de la demanda, segundo y tercero en los ordinales de la misma, se refieren a dos aspectos cruciales de la fundamentación material de la prisión provisional; a que carece de justificación o de gravedad la imputación que debería constituir su presupuesto, y a que en las finalidades de la medida figura de modo preponderante una que ostentaría carácter espúrio, cual es la mitigación de la alarma social. A su análisis diferenciado dedicaremos los dos próximos fundamentos..."</w:t>
      </w:r>
    </w:p>
    <w:p w:rsidR="006854DA" w:rsidRDefault="006854DA" w:rsidP="006854DA">
      <w:pPr>
        <w:pStyle w:val="TextoNormal"/>
      </w:pPr>
      <w:r>
        <w:t xml:space="preserve">Efectivamente la "alarma social" aparece en los Autos del Juzgado y de la Audiencia de Barcelona como una razón suficiente para decretar la prisión provisional. No me convence la respuesta que se da en el fundamento jurídico 9º, consistente en decir que existieron otros motivos distintos que justificaron la medida. Yo creo, por el contrario, después de </w:t>
      </w:r>
      <w:r>
        <w:lastRenderedPageBreak/>
        <w:t>leer con atención los dos Autos contra los que se recurre en amparo, que fue la "alarma social" el motivo prevalente (sin negar que pudieran concurrir en el caso otras razones, que es lo que generalmente ocurre) y que, como tal ratio decidendi debía ser considerada y valorada en nuestra Sentencia, la cual, de forma expresa -según consta en el prárrafo transcrito-, estima que es uno de los "aspectos cruciales de la fundamentación material de la prisión provisional".</w:t>
      </w:r>
    </w:p>
    <w:p w:rsidR="006854DA" w:rsidRDefault="006854DA" w:rsidP="006854DA">
      <w:pPr>
        <w:pStyle w:val="TextoNormal"/>
      </w:pPr>
      <w:r>
        <w:t>2. Ahora bien, cualquier enjuiciamiento de la "alarma social" como motivo suficiente para decretar la prisión provisional exige emplear numerosas cautelas y muchas reservas, ya que se trata de un concepto indeterminado (estándar jurídico, dicen otros), que sólo excepcionalmente, en una versión muy precisa, puede ser utilizado en el ordenamiento constitucional. La mayoría de las invocaciones de la "alarma social", a fin de justificar la prisión provisional de alguien, son inconstitucionales. Solo la auténtica "alarma social" acaso tiene encaje en la Ley de Enjuiciamiento Criminal, pero advirtiendo que esta circunstancia de inquietud profunda y generalizada rarísima vez se genera con la comisión de un hecho delictivo.</w:t>
      </w:r>
    </w:p>
    <w:p w:rsidR="006854DA" w:rsidRDefault="006854DA" w:rsidP="006854DA">
      <w:pPr>
        <w:pStyle w:val="TextoNormal"/>
      </w:pPr>
      <w:r>
        <w:t>3. Pero, ¿qué es "alarma social"? ¿Cuándo la sociedad sufre esa inquietud, susto o sobresalto ante un mal que repentinamente la amenaza?.</w:t>
      </w:r>
    </w:p>
    <w:p w:rsidR="006854DA" w:rsidRDefault="006854DA" w:rsidP="006854DA">
      <w:pPr>
        <w:pStyle w:val="TextoNormal"/>
      </w:pPr>
      <w:r>
        <w:t>En el régimen nacional-socialista se incluyó la Erregung in der Öffentlichkeit como motivo suficiente para acordar la prisión provisional. Alemania atravesaba entonces, año 1935, el período más negro de su historia moderna, con la negación sistemática de los derechos fundamentales y de las libertades públicas. Cualquier "irritación social", arbitrariamente apreciada por los déspotas del momento, bastaba para privar de libertad a una persona. La reforma procesal de 1950, en los inicios de la República federal, suprimió el motivo legal con el que tantos atropellos se habían cometido.</w:t>
      </w:r>
    </w:p>
    <w:p w:rsidR="006854DA" w:rsidRDefault="006854DA" w:rsidP="006854DA">
      <w:pPr>
        <w:pStyle w:val="TextoNormal"/>
      </w:pPr>
      <w:r>
        <w:t>En la historia española, y superados los veinte años de Guerra Civil y posguerra de las represiones políticas, cuando parecía que la Administración de Justicia entraba en mejor senda, un giro de consecuencias incalculables, todas ellas malas, produce el Decreto-ley de 22 de marzo de 1957, con la adición de un párrafo, el cuarto, al art. 503 de la vieja Ley procesal de 1882. En las normas decimonónicas se contemplaba la "alarma" entre los motivos excepcionales para no acordar la libertad del procesado.  El buen sentido de los Jueces, respetuosos generalmente con las reglas de la higiene judicial, limitó su utilización para casos extremos. Sin embargo, a partir de 1957 y de forma acentuada con la creación del Tribunal de Orden Público, el tristemente famoso T.O.P. de la Ley de 2 de diciembre de 1963, los Jueces podían decretar la prisión de un inculpado durante todo el tiempo en que la situación alterada por el hecho presuntamente delictivo (por ejemplo, una movilización estudiantil en favor de la democracia) no se hubiera normalizado completamente.</w:t>
      </w:r>
    </w:p>
    <w:p w:rsidR="006854DA" w:rsidRDefault="006854DA" w:rsidP="006854DA">
      <w:pPr>
        <w:pStyle w:val="TextoNormal"/>
      </w:pPr>
      <w:r>
        <w:t>La Ley 10/1978, de 20 de febrero, aprobada por las Cortes Constituyentes, suprimió el párrafo cuarto del art. 503 L.E.Crim. Se abrigó la esperanza de que el riesgo legal para la libertad personal había sido erradicado definitivamente de nuestro ordenamiento jurídico.  Sin embargo, la Ley 16/1980, de 22 de abril, con la nueva redacción del art. 504.2 L.E.Crim., reintrodujo la "alarma", con una aplicación ahora a la delincuencia menor, según fue precisado en la Circular 2/1980, de la Fiscalía del Tribunal Supremo.</w:t>
      </w:r>
    </w:p>
    <w:p w:rsidR="006854DA" w:rsidRDefault="006854DA" w:rsidP="006854DA">
      <w:pPr>
        <w:pStyle w:val="TextoNormal"/>
      </w:pPr>
      <w:r>
        <w:t>El legislador de 1983 (L.O. 7/1983, de 23 de abril) suprimió el segundo párrafo del art.  504.2 de la Ley de 1980. Pero la reforma de 1984 (L.O.  10/1984, de 26 de diciembre) nos dejó la "alarma social" en la forma y con el alcance actuales.</w:t>
      </w:r>
    </w:p>
    <w:p w:rsidR="006854DA" w:rsidRDefault="006854DA" w:rsidP="006854DA">
      <w:pPr>
        <w:pStyle w:val="TextoNormal"/>
      </w:pPr>
      <w:r>
        <w:t xml:space="preserve">4. Las vicisitudes de la Ley procesal, bajo el imperio de la Constitución de 1978, con sucesión de modificaciones favorables y adversas a la libertad personal de los inculpados, obliga a acudir a la "alarma social", en cuanto justificante de la prisión provisional, con </w:t>
      </w:r>
      <w:r>
        <w:lastRenderedPageBreak/>
        <w:t>muchas reservas y en casos especialísimos. Vuelvo a las preguntas antes planteadas: ¿Qué es "alarma social"? ¿Cuándo puede asegurarse que se ha producido?.</w:t>
      </w:r>
    </w:p>
    <w:p w:rsidR="006854DA" w:rsidRDefault="006854DA" w:rsidP="006854DA">
      <w:pPr>
        <w:pStyle w:val="TextoNormal"/>
      </w:pPr>
      <w:r>
        <w:t>La "alarma social" no hay que identificarla, desde luego, con la alteración que puede experimentarse en un Juzgado por la presencia en el mismo, en concepto de imputado, de un personaje conocido por el gran público. Esto quizás sea "alarma judicial".  Tampoco crea necesariamente "alarma social" la difusión periodística de la detención de personas habitualmente presentes en la escena pública. En una sociedad configurada por los medios de comunicación, como es la sociedad en la que somos y convivimos, con la televización de lo público como nota definitoria de ella, la "alarma social" auténtica puede confundirse con la mera inquietud, susto o sobresalto, que crea el alarmismo, en cuanto tendencia a propagar rumores sobre peligros imaginarios o a exagerar los peligros reales.</w:t>
      </w:r>
    </w:p>
    <w:p w:rsidR="006854DA" w:rsidRDefault="006854DA" w:rsidP="006854DA">
      <w:pPr>
        <w:pStyle w:val="TextoNormal"/>
      </w:pPr>
      <w:r>
        <w:t>La "alarma social", en definitiva, para que tenga sitio en el ordenamiento constitucional, tiene que ser entendida de forma sumamente restrictiva. No basta con que el Juez o el Tribunal afirme, por sí y ante sí, que el hecho presuntamente delictivo ha producido "alarma social". Las garantías constitucionales exigen una ponderación de los datos de la situación, con los elementos objetivos (no las simples apreciaciones subjetivas) que la configuran. Y tal ponderación, con su resultado, debe constar en el correspondiente Auto de prisión.</w:t>
      </w:r>
    </w:p>
    <w:p w:rsidR="006854DA" w:rsidRDefault="006854DA" w:rsidP="006854DA">
      <w:pPr>
        <w:pStyle w:val="TextoNormal"/>
      </w:pPr>
      <w:r>
        <w:t>5. Debe tenerse en cuenta, además, que incluso una "alarma social", detectada judicialmente sólo en supuestos excepcionales, según acaba de exponerse, difícilmente justifica la prisión provional. Va ganando terreno la tesis según la cual la prisión provisional por "alarma social" se convierte en una medida de seguridad oculta o encubierta, desfigurándose la medida cautelar con una finalidad propia de las penas.  Estas últimas deben imponerse siempre en un proceso con todas las garantías, donde se respeten los derechos fundamentales reconocidos y protegidos por el art. 24 C.E. No son admisibles en nuestra Constitución las penas anticipadas, por lo que la prisión provisional basada en la "alarma social" podría pasar al Museo Arqueológico, junto al hacha de piedra.</w:t>
      </w:r>
    </w:p>
    <w:p w:rsidR="006854DA" w:rsidRDefault="006854DA" w:rsidP="006854DA">
      <w:pPr>
        <w:pStyle w:val="TextoNormal"/>
      </w:pPr>
      <w:r>
        <w:t>El Tribunal Europeo de Derechos Humanos, si bien no ha declarado contraria al art. 5 del Convenio de Roma (1950) esta especie de prisión provisional (con particular referencia a le trouble apporté à l'ordre public, del sistema francés), llama la atención a Jueces y Tribunales para que extremen su celo a la hora de revisar de oficio la duración de la medida, de modo que decreten la libertad tan pronto como haya desaparecido la "alarma social" (Sentencias del T.E.D.H. Letellier, de 26 de junio de 1991; Kemmache, de 27 de noviembre de 1991; Tomasi, de 27 de agosto de 1992). En esta última se reitera: "La detención sólo es legítima mientras el orden público se halla efectivamente amenazado; su prolongación no puede servir para anticipar una pena privativa de la libertad".</w:t>
      </w:r>
    </w:p>
    <w:p w:rsidR="006854DA" w:rsidRDefault="006854DA" w:rsidP="006854DA">
      <w:pPr>
        <w:pStyle w:val="TextoNormal"/>
      </w:pPr>
      <w:r>
        <w:t>6. En el caso del recurrente en amparo me resulta difícil, por no decir imposible, apreciar una "alarma social" que diera fundamento a los Autos del Juzgado y de la Audiencia de Barcelona. A mi entender, sin embargo, y discrepando de la Sentencia de la mayoría, fue esa errónea valoración de una supuesta "alarma social" lo que determinó la adopción de los acuerdos de prisión provisional. Razón prevalente, al menos, que no es suficientemente tratada en el fundamento jurídico 9º.</w:t>
      </w:r>
    </w:p>
    <w:p w:rsidR="006854DA" w:rsidRDefault="006854DA" w:rsidP="006854DA">
      <w:pPr>
        <w:pStyle w:val="TextoNormal"/>
      </w:pPr>
      <w:r>
        <w:t>Procedió, en suma, otorgar el amparo, ya que la prisión provisional fue decidida, en esta ocasión, con el apoyo de una interpretación equivocada de lo que en un Estado de Derecho debe entenderse por "alarma social".</w:t>
      </w:r>
    </w:p>
    <w:p w:rsidR="006854DA" w:rsidRDefault="006854DA" w:rsidP="006854DA">
      <w:pPr>
        <w:pStyle w:val="TextoNormal"/>
      </w:pPr>
      <w:r>
        <w:t>Han de extremarse las cautelas en la consideración de esta circunstancia, debiendo los Jueces y Tribunales aportar datos objetivos de la situación desencadenada por el hecho presuntamente delictivo, haciendo explícita en los Autos de prisión provisional la ponde</w:t>
      </w:r>
      <w:r>
        <w:lastRenderedPageBreak/>
        <w:t>ración efectuada de los elementos y factores en juego, sin olvidar que la "alarma social" es un concepto aciago para la libertad personal, como quedó patente en la época más tenebrosa de varias naciones europeas.</w:t>
      </w:r>
    </w:p>
    <w:p w:rsidR="006854DA" w:rsidRDefault="006854DA" w:rsidP="006854DA">
      <w:pPr>
        <w:pStyle w:val="TextoNormal"/>
      </w:pPr>
      <w:r>
        <w:t>Firmo este Voto Particular, discrepante de la mayoría de la Sala pero respetuoso con tan autorizado parecer, en Madrid, a veinte de mayo de mil novecientos noventa y siete.</w:t>
      </w:r>
    </w:p>
    <w:p w:rsidR="006854DA" w:rsidRDefault="006854DA" w:rsidP="006854DA">
      <w:pPr>
        <w:pStyle w:val="TextoNormal"/>
      </w:pPr>
      <w:r>
        <w:t>Publíquese en el "Boletín Oficial del Estado".</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5" w:name="SENTENCIA_1997_99"/>
      <w:r>
        <w:lastRenderedPageBreak/>
        <w:t>SENTENCIA 99/1997, de 20 de mayo de 1997</w:t>
      </w:r>
    </w:p>
    <w:bookmarkEnd w:id="15"/>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ECLI:ES:TC:1997:99</w:t>
      </w:r>
    </w:p>
    <w:p w:rsidR="006854DA" w:rsidRDefault="006854DA" w:rsidP="006854DA">
      <w:pPr>
        <w:pStyle w:val="SntesisDescriptiva"/>
      </w:pPr>
    </w:p>
    <w:p w:rsidR="006854DA" w:rsidRDefault="006854DA" w:rsidP="006854DA">
      <w:pPr>
        <w:pStyle w:val="SntesisDescriptiva"/>
      </w:pPr>
      <w:r>
        <w:t>Recurso de amparo 346/1995. Contra Auto de la Audiencia Provincial de Barcelona que confirma en apelación el dictado por el Juzgado de Primera Instancia núm. 12 de la misma capital por el que se declara no haber lugar a la solicitud de nulidad de actuaciones en autos de juicio ejecutivo.</w:t>
      </w:r>
    </w:p>
    <w:p w:rsidR="006854DA" w:rsidRDefault="006854DA" w:rsidP="006854DA">
      <w:pPr>
        <w:pStyle w:val="SntesisDescriptiva"/>
      </w:pPr>
    </w:p>
    <w:p w:rsidR="006854DA" w:rsidRDefault="006854DA" w:rsidP="006854DA">
      <w:pPr>
        <w:pStyle w:val="SntesisAnaltica"/>
      </w:pPr>
      <w:r>
        <w:t>Supuesta vulneración del derecho a la tutela judicial efectiva: conducta no diligente del recurrente.</w:t>
      </w:r>
    </w:p>
    <w:p w:rsidR="006854DA" w:rsidRDefault="006854DA" w:rsidP="006854DA">
      <w:pPr>
        <w:pStyle w:val="SntesisAnaltica"/>
      </w:pPr>
    </w:p>
    <w:p w:rsidR="006854DA" w:rsidRDefault="006854DA" w:rsidP="006854DA">
      <w:pPr>
        <w:pStyle w:val="Extracto"/>
      </w:pPr>
      <w:r>
        <w:t>1.</w:t>
      </w:r>
      <w:r>
        <w:tab/>
        <w:t>Ya dijimos en la STC 242/1991 que «el art. 44.1a) se refiere taxativamente al agotamiento de los "recursos utilizables en la vía judicial" y la expresión recursos debe interpretarse aquí en principio en sentido técnico procesal y no con referencia a otro proceso posible respecto de cuestiones decididas en un juicio sumario, porque la carencia de efectos de cosa juzgada ( art. 1.479 L.E.C.) de la Sentencia recaída en estos juicios, que deja a salvo el derecho de promover el proceso ordinario sobre la misma cuestión, debe entenderse referida únicamente a la cuestión de fondo (existencia y exigibilidad de la obligación), pero no a las excepciones que, oponibles en el juicio ejecutivo, constituyen materia propia del mismo y son juzgadas en su Sentencia; sólo a ello cabe referir la exigencia de este juicio plenario como previo al amparo, y no, por consiguiente, cuando, como ocurre en este caso, la indefensión venga producida por una de las causas de nulidad alegables en el propio juicio ejecutivo» [F.J. 2].</w:t>
      </w:r>
    </w:p>
    <w:p w:rsidR="006854DA" w:rsidRDefault="006854DA" w:rsidP="006854DA">
      <w:pPr>
        <w:pStyle w:val="Extracto"/>
      </w:pPr>
    </w:p>
    <w:p w:rsidR="006854DA" w:rsidRDefault="006854DA" w:rsidP="006854DA">
      <w:pPr>
        <w:pStyle w:val="Extracto"/>
      </w:pPr>
      <w:r>
        <w:t>2.</w:t>
      </w:r>
      <w:r>
        <w:tab/>
        <w:t>La vía judicial previa, en suma, debe reputarse agotada con la resolución judicial denegatoria de la pretendida nulidad de actuaciones, ya que tal petición de nulidad fue la única intervención posible del solicitante de amparo en el juicio ejecutivo que se impugna; solicitud que no puede considerarse como un mero artificio dilatorio (también en este sentido, STC 242/1991), sino sólo como una tentativa de personación de urgencia en un proceso ya fenecido sin la intervención del ejecutado y en el cual la ley no le permitía recurrir a la audiencia del condenado en rebeldía (art. 789 L.E.C.) [F.J. 2].</w:t>
      </w:r>
    </w:p>
    <w:p w:rsidR="006854DA" w:rsidRDefault="006854DA" w:rsidP="006854DA">
      <w:pPr>
        <w:pStyle w:val="Extracto"/>
      </w:pPr>
    </w:p>
    <w:p w:rsidR="006854DA" w:rsidRDefault="006854DA" w:rsidP="006854DA">
      <w:pPr>
        <w:pStyle w:val="Extracto"/>
      </w:pPr>
      <w:r>
        <w:t>3.</w:t>
      </w:r>
      <w:r>
        <w:tab/>
        <w:t xml:space="preserve">La indefensión que proscribe el art. 24.1 C.E. es la que resulta imputable al Tribunal que debe prestar tutela a los derechos e intereses en litigio, pero no la que nace de la propia conducta de la persona afectada (SSTC 109/1985, 64/1986, 102/1987, 205/1988, 48/1990 y 153/1993). En concreto, y en supuestos de procesos seguidos «inaudita parte», se ha precisado que las resoluciones judiciales recaídas en los mismos no implican vulneración del derecho a la tutela judicial efectiva sin que se produzca indefensión, cuando el afectado no ha puesto la debida diligencia en la defensa de sus derechos -diligencia que ha de graduarse ponderando las circunstancias que concurren en los respectivos sujetos y supuestos de Derecho-, bien colocándose al margen del proceso mediante una actitud pasiva con </w:t>
      </w:r>
      <w:r>
        <w:lastRenderedPageBreak/>
        <w:t>el fin de obtener una ventaja en esa marginación, bien cuando pueda deducirse que poseía un conocimiento extraprocesal de la existencia del litigio en el que no fue personalmente emplazado (SSTC 56/1985, 150/1986, 141/1987, 182/1987, 34/1988, 163/1988, 8/1991, 118/1993 y 153/1993, entre otras) [F.J. 4].</w:t>
      </w:r>
    </w:p>
    <w:p w:rsidR="006854DA" w:rsidRDefault="006854DA" w:rsidP="006854DA">
      <w:pPr>
        <w:pStyle w:val="Extracto"/>
      </w:pPr>
    </w:p>
    <w:p w:rsidR="006854DA" w:rsidRDefault="006854DA" w:rsidP="006854DA">
      <w:pPr>
        <w:pStyle w:val="Extracto"/>
      </w:pPr>
      <w:r>
        <w:t>4.</w:t>
      </w:r>
      <w:r>
        <w:tab/>
        <w:t>De lo relatado podría resultar (y siempre que prescindiéramos de la confusión sobre cuál era realmente el domicilio del recurrente) que aun habiéndose aplicado las normas procesales sobre actos de comunicación en la fase inicial y fundamental del pleito, pues se actuó con el único domicilio obrante en autos, sin embargo, en una fase posterior fuera exigible una mayor diligencia al órgano judicial para hacer llegar los actos de comunicación procesal al demandado, en tanto que en la certificación registral de la finca embargada constaba un nuevo domicilio de éste. Pero la tesis anterior sólo podría admitirse, según la jurisprudencia constitucional reseñada, en el supuesto de que no fuera el quejoso el que, con su propia conducta, hubiera generado, desde el inicio del procedimiento, la indefensión ahora alegada. Y ello es lo que realmente ha sucedido en el presente caso [FF.JJ. 5 y 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346/95, promovido por don Luis García Alvear, representado por el Procurador de los Tribunales don Enrique Monterroso Rodríguez y asistido por el Letrado don Oscar Lugo Monforte, contra el Auto de la Sección Decimosexta de la Audiencia Provincial de Barcelona, de 21 de diciembre de 1994, que confirma en apelación el dictado por el Juzgado de Primera Instancia núm. 12 de la misma capital, de 29 de abril de 1993, por el que se declara no haber lugar a la solicitud de nulidad de actuaciones en autos de juicio ejecutivo núm. 619/86. Han sido partes don José María Vicente-Arche de Quixano, representado por el Procurador don Carmelo Olmos Gómez, bajo la dirección del Abogado don José Manuel Guiral Barado, y el Banco Exterior de España, S.A., cuya representación la ha ostentado el Procurador don Javier Domínguez López y la asistencia letrada el Abogado don Angel Gascón López. Ha intervenido el Ministerio Fiscal y ha sido Ponente el Magistrado don Manuel Jiménez de Parga y Cabrera, quien expresa el parecer de la Sala.</w:t>
      </w:r>
    </w:p>
    <w:p w:rsidR="006854DA" w:rsidRDefault="006854DA" w:rsidP="006854DA">
      <w:pPr>
        <w:pStyle w:val="TextoNormal"/>
      </w:pPr>
    </w:p>
    <w:p w:rsidR="006854DA" w:rsidRDefault="006854DA" w:rsidP="006854DA">
      <w:pPr>
        <w:pStyle w:val="TextoNormalNegritaCentrado"/>
        <w:keepNext/>
      </w:pPr>
      <w:r>
        <w:lastRenderedPageBreak/>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3 de febrero de 1995, el Procurador de los Tribunales don Enrique Monterroso Rodríguez, en nombre y representación de don Luis García Alvear, interpone recurso de amparo contra el Auto de la Sección Decimosexta de la Audiencia Provincial de Barcelona, de 21 de diciembre de 1994, que confirma en apelación el dictado por el Juzgado de Primera Instancia núm. 12 de la misma capital, de 29 de abril de 1993, por el que se declara no haber lugar a la solicitud de nulidad de actuaciones en autos de juicio ejecutivo núm. 619/86.</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en los que se fundamenta la demanda son, sucintamente expuestos, los siguientes: </w:t>
      </w:r>
    </w:p>
    <w:p w:rsidR="006854DA" w:rsidRDefault="006854DA" w:rsidP="006854DA">
      <w:pPr>
        <w:pStyle w:val="TextoNormal"/>
      </w:pPr>
      <w:r>
        <w:t xml:space="preserve">a) El Banco Exterior de España presentó, el 27 de mayo de 1986, demanda de juicio ejecutivo, tramitada con el núm. 619/86 ante el Juzgado de Primera Instancia núm. 12 de Barcelona, contra el hoy recurrente en amparo y otras dos personas -don José María Araujo Mouteira y don Agustín Sánchez Caballero-, por la cantidad de 5.256.744 pts. El título ejecutivo se basaba en una póliza de afianzamiento de operaciones mercantiles por la que los tres demandados avalaban a la empresa NOVO-LAS, S.A. (que no fue demandada). </w:t>
      </w:r>
    </w:p>
    <w:p w:rsidR="006854DA" w:rsidRDefault="006854DA" w:rsidP="006854DA">
      <w:pPr>
        <w:pStyle w:val="TextoNormal"/>
      </w:pPr>
      <w:r>
        <w:t xml:space="preserve">En el mencionado título no se señalaba ningún domicilio de los fiadores, aunque sí su número de D.N.I. (en el caso del quejoso, el núm. 12.789.143). No obstante, y ya en la demanda, el Banco Exterior indicó como domicilio del recurrente el domicilio social de la empresa avalada (c/Sicilia, núm. 253, 6º, 1ª de Barcelona), mientras que para los otros dos codemandados reseñó sus domicilios personales respectivos. También fue en ese domicilio social donde se entregó el telegrama del Banco dirigido al recurrente (6 de junio de 1986) por el que se le hacía la notificación previa del saldo deudor. </w:t>
      </w:r>
    </w:p>
    <w:p w:rsidR="006854DA" w:rsidRDefault="006854DA" w:rsidP="006854DA">
      <w:pPr>
        <w:pStyle w:val="TextoNormal"/>
      </w:pPr>
      <w:r>
        <w:t xml:space="preserve">b) Iniciado el ejecutivo, se decretó despacho de ejecución en fecha 17 de junio de 1986. La primera diligencia de busca del hoy recurrente (19 de junio de 1986), practicada en el domicilio de la empresa NOVO-LAS, resultó negativa, al hallarse el local cerrado. Un día más tarde, en dicho domicilio, el Oficial del Juzgado entregó a la recepcionista de la empresa (que no facilitó su nombre) la correspondiente cédula de citación de remate y la diligencia de requerimiento de pago y embargo, indicándose que los bienes embargados eran los derechos de cualquier índole que ostentara el hoy recurrente sobre la finca registrada con el núm. 2.361 en el Registro de la Propiedad de Vilanova i la Geltrú. No consta en las actuaciones que estas comunicaciones fueran devueltas al Juzgado. </w:t>
      </w:r>
    </w:p>
    <w:p w:rsidR="006854DA" w:rsidRDefault="006854DA" w:rsidP="006854DA">
      <w:pPr>
        <w:pStyle w:val="TextoNormal"/>
      </w:pPr>
      <w:r>
        <w:t xml:space="preserve">c) Tras los trámites correspondientes, y previa declaración de rebeldía de los demandados, el 4 de julio de 1986 el Juzgado de Primera Instancia núm. 12 de Barcelona dictó Sentencia de remate, por la que se mandaba seguir adelante con la ejecución para el pago al ejecutante del principal más intereses pactados y costas. </w:t>
      </w:r>
    </w:p>
    <w:p w:rsidR="006854DA" w:rsidRDefault="006854DA" w:rsidP="006854DA">
      <w:pPr>
        <w:pStyle w:val="TextoNormal"/>
      </w:pPr>
      <w:r>
        <w:t xml:space="preserve">Se intentó notificar la Sentencia al ahora quejoso en el domicilio de la compañía; esta vez en la persona de un empleado, don José Medina, quien manifestó que aquél se había marchado de la empresa, "estando actualmente en Sitges". Posteriormente, la Sentencia fue notificada, a solicitud del Banco, por edictos, publicados en el Boletín Oficial de la Provincia de Barcelona el día 1 de mayo de 1987. </w:t>
      </w:r>
    </w:p>
    <w:p w:rsidR="006854DA" w:rsidRDefault="006854DA" w:rsidP="006854DA">
      <w:pPr>
        <w:pStyle w:val="TextoNormal"/>
      </w:pPr>
      <w:r>
        <w:t xml:space="preserve">d) En cumplimiento del art. 1.489 L.E.C., y antes de proceder al avalúo de la fincas embargadas, por providencia de 19 de enero de 1989, el Juzgado acordó requerir al hoy recurrente y a los otros codemandados (al primero en el domicilio de la Compañía), para que aportaran los títulos de propiedad de dichas fincas. </w:t>
      </w:r>
    </w:p>
    <w:p w:rsidR="006854DA" w:rsidRDefault="006854DA" w:rsidP="006854DA">
      <w:pPr>
        <w:pStyle w:val="TextoNormal"/>
      </w:pPr>
      <w:r>
        <w:lastRenderedPageBreak/>
        <w:t xml:space="preserve">Posteriormente el Juzgado acordó, mediante providencia de 27 de junio de 1989, librar mandamiento al Registro de la Propiedad para que expidiera certificación de titularidad y cargas de la finca embargada. </w:t>
      </w:r>
    </w:p>
    <w:p w:rsidR="006854DA" w:rsidRDefault="006854DA" w:rsidP="006854DA">
      <w:pPr>
        <w:pStyle w:val="TextoNormal"/>
      </w:pPr>
      <w:r>
        <w:t xml:space="preserve">El 4 de octubre de 1989, el Banco ejecutante presentó un escrito acompañando la certificación registral de la finca embargada. En la inscripción 9ª de dicha finca figura como adquirente el quejoso, don Luis García Alvear, "mayor de edad, casado bajo régimen económico de separación de bienes, de nacionalidad norteamericana, y vecino de Nueva York, con domicilio en la Quinta Avenida núm. 577, provisto de Documento Nacional de Identidad Norteamericano (sic) núm. A.12.789.143" </w:t>
      </w:r>
    </w:p>
    <w:p w:rsidR="006854DA" w:rsidRDefault="006854DA" w:rsidP="006854DA">
      <w:pPr>
        <w:pStyle w:val="TextoNormal"/>
      </w:pPr>
      <w:r>
        <w:t xml:space="preserve">e) Por providencia de 9 de noviembre de 1989, se tuvo por hecha la aceptación y juramento de la perito tasadora, doña Carmen Puiggalí Fábregas, ordenando se diera vista a los demandados por plazo de dos días (trámite que no consta en autos se efectuara). Pero la aceptación y juramento de la perito a que se refiere la mencionada providencia no se produjo hasta el día 17 de julio de 1990, cuando doña Carmen Puiggalí manifestó que, enterada del cargo para el que había sido designada, lo acepta y jura desempeñar. El dictamen de valoración firmado por la Sra. Puiggalí, sin embargo, tiene como fecha la del 1 de junio de 1990. </w:t>
      </w:r>
    </w:p>
    <w:p w:rsidR="006854DA" w:rsidRDefault="006854DA" w:rsidP="006854DA">
      <w:pPr>
        <w:pStyle w:val="TextoNormal"/>
      </w:pPr>
      <w:r>
        <w:t xml:space="preserve">f) Por providencia de 29 de abril de 1992, el Juzgado acordó sacar a subasta las fincas embargadas, previa su publicación por edictos (B.O.E. de 7 de julio de 1992), y la notificación al ahora recurrente a los fines del art. 1.498 de la L.E.C. </w:t>
      </w:r>
    </w:p>
    <w:p w:rsidR="006854DA" w:rsidRDefault="006854DA" w:rsidP="006854DA">
      <w:pPr>
        <w:pStyle w:val="TextoNormal"/>
      </w:pPr>
      <w:r>
        <w:t xml:space="preserve">Dicha notificación, intentada de nuevo en el domicilio de la Compañía, no se pudo practicar, y así consta en diligencia negativa de 14 de julio de 1992, en la que el conserje manifiesta que el interesado se marchó del edificio hacía más de cuatro años, y que desconocía su paradero actual. </w:t>
      </w:r>
    </w:p>
    <w:p w:rsidR="006854DA" w:rsidRDefault="006854DA" w:rsidP="006854DA">
      <w:pPr>
        <w:pStyle w:val="TextoNormal"/>
      </w:pPr>
      <w:r>
        <w:t xml:space="preserve">g) El 3 de septiembre de 1992, un día antes del señalado para la primera subasta, el Banco Exterior pidió su suspensión respecto a la finca núm. 13.297, perteneciente a otro de los fiadores demandados, don Agustín Sánchez Caballero, y la cancelación del embargo trabado sobre ella, debido a que (como se desprende del escrito presentado por el Banco en el Juzgado el 27 de noviembre de 1992) había cobrado del mismo 2.200.000 pts. a cuenta del principal reclamado. </w:t>
      </w:r>
    </w:p>
    <w:p w:rsidR="006854DA" w:rsidRDefault="006854DA" w:rsidP="006854DA">
      <w:pPr>
        <w:pStyle w:val="TextoNormal"/>
      </w:pPr>
      <w:r>
        <w:t xml:space="preserve">h) La primera subasta de la finca del quejoso, celebrada el día 4 de septiembre de 1992, quedó desierta. En la misma fecha, y poco antes de celebrarse la subasta, compareció ante el Juzgado el abogado de don José María Vicente-Arche de Quixano, inquilino de la finca, para manifestar su condición de tal, presentando copia del contrato de arrendamiento, en el que figuraba el D.N.I. del propietario, don Luis García Alvear, y su condición de vecino de los Estados Unidos, sin concreción de domicilio alguno. </w:t>
      </w:r>
    </w:p>
    <w:p w:rsidR="006854DA" w:rsidRDefault="006854DA" w:rsidP="006854DA">
      <w:pPr>
        <w:pStyle w:val="TextoNormal"/>
      </w:pPr>
      <w:r>
        <w:t xml:space="preserve">i) El 2 de octubre de 1992 se celebró la segunda subasta, en la que sólo intervinieron dos postores (con plica cerrada): el propio inquilino, don José María Vicente-Arche de Quixano, que pujó hasta 13.800.000 pts., y otra persona, don Miguel Capdevila, que pujó justo una peseta más. </w:t>
      </w:r>
    </w:p>
    <w:p w:rsidR="006854DA" w:rsidRDefault="006854DA" w:rsidP="006854DA">
      <w:pPr>
        <w:pStyle w:val="TextoNormal"/>
      </w:pPr>
      <w:r>
        <w:t xml:space="preserve">Tres días más tarde, el Sr. Capdevila cedió el remate en favor del Sr. Vicente-Arche, quien a partir de entonces dejó de pagar la renta del alquiler. Y ello fue, según se dice en la demanda de amparo, lo que permitió al Sr. García Alvear tener conocimiento del proceso y de la pérdida de su finca. </w:t>
      </w:r>
    </w:p>
    <w:p w:rsidR="006854DA" w:rsidRDefault="006854DA" w:rsidP="006854DA">
      <w:pPr>
        <w:pStyle w:val="TextoNormal"/>
      </w:pPr>
      <w:r>
        <w:t xml:space="preserve">j) El 19 de febrero de 1993, el ahora quejoso se personó en el juicio ejecutivo, denunciando las irregularidades observadas en su tramitación y solicitando la declaración de nulidad de todo lo actuado con posterioridad al 27 de junio de 1989, es decir, desde la providencia que acuerda el libramiento de mandamiento al Registro de la Propiedad para </w:t>
      </w:r>
      <w:r>
        <w:lastRenderedPageBreak/>
        <w:t xml:space="preserve">expedición de certificación de titularidad y cargas de la finca. No pide la nulidad de las actuaciones anteriores al 27 de junio de 1989. A dicho escrito se acompañaba poder para pleitos, de fecha 5 de febrero de 1993, en el que consta que el Sr. García Alvear estaba domiciliado en 8 Lucerne, New Port Beach, California 92.660 y temporalmente en 512 7th Avenue (2º piso), de la ciudad de Nueva York. </w:t>
      </w:r>
    </w:p>
    <w:p w:rsidR="006854DA" w:rsidRDefault="006854DA" w:rsidP="006854DA">
      <w:pPr>
        <w:pStyle w:val="TextoNormal"/>
      </w:pPr>
      <w:r>
        <w:t xml:space="preserve">Tal solicitud fue rechazada por providencia del Juzgado de Primera Instancia núm. 12 de Barcelona, de fecha 2 de abril de 1993. </w:t>
      </w:r>
    </w:p>
    <w:p w:rsidR="006854DA" w:rsidRDefault="006854DA" w:rsidP="006854DA">
      <w:pPr>
        <w:pStyle w:val="TextoNormal"/>
      </w:pPr>
      <w:r>
        <w:t xml:space="preserve">k) El recurso de reposición contra la misma, y con idéntico suplico que el contenido en el primero de los escritos, fue desestimado por Auto del Juzgado de 29 de abril de 1993, bajo la argumentación siguiente (fundamentos jurídicos): </w:t>
      </w:r>
    </w:p>
    <w:p w:rsidR="006854DA" w:rsidRDefault="006854DA" w:rsidP="006854DA">
      <w:pPr>
        <w:pStyle w:val="TextoNormal"/>
      </w:pPr>
      <w:r>
        <w:t xml:space="preserve">"1. La pretensión del ejecutado de que se declare la nulidad de todo lo actuado por no haberse practicado personalmente con él ninguna diligencia carece de cualquier justificación, ya que el embargo se practicó en el único domicilio que le constaba a la ejecutante, el domicilio social de NOVO-LAS, S.A., donde se practicó con resultado positivo y donde con anterioridad se había dirigido y recibido la notificación dirigida por la entidad ejecutante al ejecutado en su calidad de avalista. </w:t>
      </w:r>
    </w:p>
    <w:p w:rsidR="006854DA" w:rsidRDefault="006854DA" w:rsidP="006854DA">
      <w:pPr>
        <w:pStyle w:val="TextoNormal"/>
      </w:pPr>
      <w:r>
        <w:t xml:space="preserve">Ninguna otra dirección constaba en la póliza con base en la cual despachó ejecución, siendo reiteradísima jurisprudencia la que señala que no puede alegar indefensión quien voluntariamente se colocó en tal situación. </w:t>
      </w:r>
    </w:p>
    <w:p w:rsidR="006854DA" w:rsidRDefault="006854DA" w:rsidP="006854DA">
      <w:pPr>
        <w:pStyle w:val="TextoNormal"/>
      </w:pPr>
      <w:r>
        <w:t xml:space="preserve">2. En cuanto a la notificación de la Sentencia y actuaciones posteriores se efectuaron, en su caso, por edictos, cuando la ley lo exigía para su validez, y mediante estrados. </w:t>
      </w:r>
    </w:p>
    <w:p w:rsidR="006854DA" w:rsidRDefault="006854DA" w:rsidP="006854DA">
      <w:pPr>
        <w:pStyle w:val="TextoNormal"/>
      </w:pPr>
      <w:r>
        <w:t xml:space="preserve">Si alguna notificación o requerimiento en estrados se obvió, aun constituyendo una irregularidad, es claro que ninguna indefensión causó al ejecutado, por lo que no concurriría uno de los requisitos que exige el artículo 238.3º L.O.P.J. para declarar la nulidad." </w:t>
      </w:r>
    </w:p>
    <w:p w:rsidR="006854DA" w:rsidRDefault="006854DA" w:rsidP="006854DA">
      <w:pPr>
        <w:pStyle w:val="TextoNormal"/>
      </w:pPr>
      <w:r>
        <w:t xml:space="preserve">l) Interpuesto recurso de apelación contra la anterior resolución, fue desestimado por Auto de la Sección Decimosexta de la Audiencia Provincial de Barcelona de 21 de diciembre de 1994 (notificado al recurrente el 11 de enero de 1995). En la fundamentación jurídica de dicho Auto la Sala rechaza las distintas irregularidades procedimentales denunciadas por el recurrente argumentando que: </w:t>
      </w:r>
    </w:p>
    <w:p w:rsidR="006854DA" w:rsidRDefault="006854DA" w:rsidP="006854DA">
      <w:pPr>
        <w:pStyle w:val="TextoNormal"/>
      </w:pPr>
      <w:r>
        <w:t xml:space="preserve">"No entendemos constituye irregularidad que la remisión del telegrama previo de notificación del saldo o que la citación de remate se hiciera en el único domicilio conocido del recurrente, sino que constituye la lógica consecuencia de ser el domicilio indicado en la póliza y de no haber notificado cambio del mismo. </w:t>
      </w:r>
    </w:p>
    <w:p w:rsidR="006854DA" w:rsidRDefault="006854DA" w:rsidP="006854DA">
      <w:pPr>
        <w:pStyle w:val="TextoNormal"/>
      </w:pPr>
      <w:r>
        <w:t xml:space="preserve">(...) No es irregularidad que determine nulidad que no se pudiera notificar la subasta al recurrente personalmente ante la indicación del portero de que había marchado desconociendo su paradero actual. En primer lugar, porque la indefensión que pudiera derivarse de ello sería imputable al propio recurrente, cuya escasa trasparencia en este aspecto llega a adquirir caracteres tan inusuales como los de consignar en el contrato de arrendamiento, en el espacio destinado a consignar su domicilio, "vecino de... Estados Unidos". Y, en segundo lugar, porque la forma de suplir tal notificación sería precisamente el edicto que consta publicado". </w:t>
      </w:r>
    </w:p>
    <w:p w:rsidR="006854DA" w:rsidRDefault="006854DA" w:rsidP="006854DA">
      <w:pPr>
        <w:pStyle w:val="TextoNormal"/>
      </w:pPr>
      <w:r>
        <w:t>En último término, si bien se aprecia una irregularidad en el hecho de que el informe de la perito tasadora de la finca llevara una fecha anterior a la de su nombramiento formal, la Sala considera que no tuvo trascendencia en las actuaciones siguientes ni en las posibilidades de defensa efectiva del recurrente, por lo que, con arreglo al art. 238.3º L.O.P.J., no accede a la declaración de nulidad solicitada.</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w:t>
      </w:r>
      <w:r>
        <w:t xml:space="preserve">. El recurso de amparo se deduce contra los Autos de la Sección Decimosexta de la Audiencia Provincial de Barcelona y del Juzgado de Primera Instancia núm. 12 de esa capital, recaídos en el incidente de nulidad. El recurrente considera que dichas resoluciones han vulnerado su derecho a la tutela judicial efectiva sin indefensión (art. 24.1 C.E.), al haber rechazado su solicitud de nulidad de actuaciones fundada en los defectos de los actos de citación y notificación realizados a lo largo del proceso y causantes de indefensión. Tal indefensión fue denunciada desde el mismo momento en que tuvo conocimiento del proceso, es decir, cuando el inquilino dejó de pagar el arrendamiento de la finca de su propiedad que se subastó y adjudicó a dicho inquilino en el procedimiento ejecutivo, sin posibilidad de hacer frente a la deuda que se le reclamó, de la que ni siquiera era un obligado principal, sino un avalista más. </w:t>
      </w:r>
    </w:p>
    <w:p w:rsidR="006854DA" w:rsidRDefault="006854DA" w:rsidP="006854DA">
      <w:pPr>
        <w:pStyle w:val="TextoNormal"/>
      </w:pPr>
      <w:r>
        <w:t xml:space="preserve">Frente a la afirmación contenida en el Auto de la Audiencia Provincial de que la citación de remate fue correcta por hacerse en el único domicilio conocido del recurrente -el indicado en la póliza-, alega el quejoso que en tal póliza de afianzamiento, redactada según impreso del Banco Exterior, no se señalaba el domicilio de ninguno de los fiadores, dejándose en blanco el espacio destinado al efecto. Frente a la aserción del Auto del Juzgado de que el único domicilio que le constaba a la ejecutante era el domicilio social de NOVO-LAS, S.A., indica que a los demás fiadores se les citó en sus domicilios particulares. Y señala, finalmente, a este respecto, que tanto el Juzgado como el Banco ejecutante podían haber intentado su citación en el domicilio que constaba en el Registro de la Propiedad, pues, en efecto, si el Banco Exterior pudo averiguar la existencia, como bien susceptible de embargo, de la finca propiedad del recurrente en Sitges, bien fácil le hubiera sido averiguar su domicilio en el núm. 277 de la Quinta Avenida de Nueva York, que figuraba en la inscripción 9ª de la finca, registrada con el núm. 2.361 en el Registro de la Propiedad de Vilanova i la Geltrú. </w:t>
      </w:r>
    </w:p>
    <w:p w:rsidR="006854DA" w:rsidRDefault="006854DA" w:rsidP="006854DA">
      <w:pPr>
        <w:pStyle w:val="TextoNormal"/>
      </w:pPr>
      <w:r>
        <w:t xml:space="preserve">En relación con el cumplimiento del requisito procesal del agotamiento de los recursos utilizables en la vía judicial previa [art. 44.1 a) LOTC], se alega en la demanda que no cabía acudir al recurso de audiencia al rebelde, ya que el art. 789 L.E.C. lo excluye contra las sentencias dictadas en juicios ejecutivos, y, en todo caso, había transcurrido ya con exceso el plazo establecido en el art. 777 L.E.C. </w:t>
      </w:r>
    </w:p>
    <w:p w:rsidR="006854DA" w:rsidRDefault="006854DA" w:rsidP="006854DA">
      <w:pPr>
        <w:pStyle w:val="TextoNormal"/>
      </w:pPr>
      <w:r>
        <w:t>En virtud de todo ello, se solicita en la demanda que se declare la nulidad de los Autos impugnados, y, en consecuencia, se acuerde la nulidad de las actuaciones seguidas en el juicio ejecutivo del que trae causa este recurso de amparo, desde que fue dictado el Auto despachando la ejecución del día 17 de junio de 1986. Asimismo, se solicita la suspensión de la ejecución de la Sentencia recaída en dicho juicio ejecutivo.</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10 de junio de 1996, la Sección Segunda de este Tribunal acordó admitir a trámite la demanda de amparo y, en aplicación de lo dispuesto en el art. 51 LOTC, dirigir comunicación a la Audiencia Provincial de Barcelona y al Juzgado de Primera Instancia núm. 12 de esa capital, a fin de que, en un plazo no superior a diez días, remitieran certificación o copia adverada de las actuaciones correspondientes, debiendo previamente emplazar, para que en el plazo de diez días pudieran comparecer en el recurso de amparo, a quienes hubieran sido parte en el procedimiento.</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En la misma fecha, la Sección dictó providencia acordando formar la oportuna pieza para la tramitación del incidente sobre suspensión y, conforme a lo dispuesto en el art. 56 LOTC, conceder a la parte recurrente y al Ministerio Fiscal un plazo común de tres días </w:t>
      </w:r>
      <w:r>
        <w:lastRenderedPageBreak/>
        <w:t>para que alegaran lo que estimaran pertinente sobre dicha suspensión. Por Auto de 8 de julio de 1996, la Sala acordó la suspensión de la Sentencia de 4 de julio de 1986, dictada por el Juzgado de Primera Instancia núm. 12 de Barcelona, en los autos de juicio ejecutivo núm. 619/86.</w:t>
      </w:r>
    </w:p>
    <w:p w:rsidR="006854DA" w:rsidRDefault="006854DA" w:rsidP="006854DA">
      <w:pPr>
        <w:pStyle w:val="TextoNormal"/>
      </w:pPr>
    </w:p>
    <w:p w:rsidR="006854DA" w:rsidRDefault="006854DA" w:rsidP="006854DA">
      <w:pPr>
        <w:pStyle w:val="TextoNormal"/>
      </w:pPr>
      <w:r w:rsidRPr="006854DA">
        <w:rPr>
          <w:rStyle w:val="NumeroAFNegritaCaracter"/>
        </w:rPr>
        <w:t>6</w:t>
      </w:r>
      <w:r>
        <w:t>. Mediante escrito registrado en este Tribunal el 12 de julio de 1996, el Procurador don Javier Domínguez López, en nombre y representación del Banco Exterior de España, S.A., solicitó que se le tuviera por comparecido y parte en el presente proceso. El Procurador don Carmelo Olmos Gómez, en nombre y representación de don José María Vicente-Arche de Quixano llevó a cabo análoga solicitud mediante escrito registrado el 15 de julio de 1996. Por providencia de 17 de septiembre de 1996, la Sección Segunda acordó tener por recibidos los testimonios de las actuaciones y escritos de los Procuradores anteriores, a quienes se tiene por personados y parte en nombre de sus representados. Y, a tenor de lo dispuesto en el art. 52 LOTC, dar vista de todas las actuaciones a las partes y al Ministerio Fiscal, por un plazo común de veinte días, para que dentro de dicho término pudieran presentar las alegaciones que a su derecho convinieran.</w:t>
      </w:r>
    </w:p>
    <w:p w:rsidR="006854DA" w:rsidRDefault="006854DA" w:rsidP="006854DA">
      <w:pPr>
        <w:pStyle w:val="TextoNormal"/>
      </w:pPr>
    </w:p>
    <w:p w:rsidR="006854DA" w:rsidRDefault="006854DA" w:rsidP="006854DA">
      <w:pPr>
        <w:pStyle w:val="TextoNormal"/>
      </w:pPr>
      <w:r w:rsidRPr="006854DA">
        <w:rPr>
          <w:rStyle w:val="NumeroAFNegritaCaracter"/>
        </w:rPr>
        <w:t>7</w:t>
      </w:r>
      <w:r>
        <w:t>. La representación de don Luis García Alvear registró su escrito ante este Tribunal el 9 de octubre de 1996, dando por reproducidas las alegaciones contenidas en el recurso de amparo.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La representación procesal del Banco Exterior de España, S.A., registró su escrito el 9 de octubre de 1996, remitiéndose a lo aducido en su anterior de 12 de julio de 1996, en el que ya se formulaban alegaciones. En ambos escritos se solicita la inadmisión del recurso y, subsidiariamente, la desestimación del mismo. Se esgrime, en este sentido, que el recurso es inadmisible, por un lado, al incumplir el requisito previsto en el art. 44.1a) LOTC, toda vez que, antes de acudir en amparo, el recurrente debía haber promovido un juicio declarativo ordinario por cuanto las sentencias dictadas en los juicios ejecutivos no producen la excepción de cosa juzgada (art. 1.479 L.E.C.). La inadmisibilidad, se alega, de otro lado, al no haberse invocado formalmente en la vía judicial previa el derecho fundamental supuestamente vulnerado [art. 44.1c) LOTC]. </w:t>
      </w:r>
    </w:p>
    <w:p w:rsidR="006854DA" w:rsidRDefault="006854DA" w:rsidP="006854DA">
      <w:pPr>
        <w:pStyle w:val="TextoNormal"/>
      </w:pPr>
      <w:r>
        <w:t>En cuanto al fondo, el Banco entiende que la ausencia voluntaria de su domicilio del ahora recurrente, a sabiendas de la deuda contraída y de su vencimiento, no puede excluir sus responsabilidades. Es más, considera que el acreedor no contrae carga alguna complementaria por el hecho de que el obligado al pago, deliberadamente, se haya constituido en ausente. Le basta a aquél con efectuar los requerimientos y señalar a efectos de notificaciones su domicilio para que las diligencias practicadas surtan plena eficacia. En consecuencia, si el obligado marchó o abandonó el domicilio que tenía establecido, debió ser él mismo quien notificara el cambio de su domicilio al Banco, lo que no hizo, por lo que la supuesta indefensión causada, de existir, la produjo el propio quejoso con su conducta negligente.</w:t>
      </w:r>
    </w:p>
    <w:p w:rsidR="006854DA" w:rsidRDefault="006854DA" w:rsidP="006854DA">
      <w:pPr>
        <w:pStyle w:val="TextoNormal"/>
      </w:pPr>
    </w:p>
    <w:p w:rsidR="006854DA" w:rsidRDefault="006854DA" w:rsidP="006854DA">
      <w:pPr>
        <w:pStyle w:val="TextoNormal"/>
      </w:pPr>
      <w:r w:rsidRPr="006854DA">
        <w:rPr>
          <w:rStyle w:val="NumeroAFNegritaCaracter"/>
        </w:rPr>
        <w:t>9</w:t>
      </w:r>
      <w:r>
        <w:t>. El Ministerio Fiscal formuló alegaciones el 11 de octubre de 1996, solicitando la estimación del amparo. Aduce que de las actuaciones judiciales se sigue que no hubo falta de diligencia del Juzgado en los primeros actos de comunicación. Sin embargo, en el momento procesal en que el Juzgado solicita al Registro de la Propiedad una certificación de la titularidad y cargas que recaían sobre la finca propiedad del recurrente en amparo co</w:t>
      </w:r>
      <w:r>
        <w:lastRenderedPageBreak/>
        <w:t xml:space="preserve">mienza la indefensión. En dicha certificación aparece de forma clara el domicilio personal del titular de la propiedad, Sr. García Alvear, en el que se hubieran podido practicar los debidos actos de comunicación que procedieran con posterioridad al conocimiento de ese domicilio, con lo que se hubiera permitido al actor saber del proceso que se seguía contra él. </w:t>
      </w:r>
    </w:p>
    <w:p w:rsidR="006854DA" w:rsidRDefault="006854DA" w:rsidP="006854DA">
      <w:pPr>
        <w:pStyle w:val="TextoNormal"/>
      </w:pPr>
      <w:r>
        <w:t xml:space="preserve">A juicio del Ministerio Fiscal, la indefensión padecida es, además, real, porque el ahora recurrente ha sufrido un perjuicio efectivo en su derecho fundamental de acceso al proceso y de defensa desde el momento en que, conocido su domicilio en el Juzgado, no se tuvo en cuenta ese dato. La indefensión, además, no es imputable al ahora recurrente, sino sólo al órgano judicial que, conociendo su domicilio personal por constar en autos, no ha tomado las medidas oportunas para que surtiera los correspondientes efectos en los actos de comunicación debido a una falta de diligencia en actuar en todo momento de acuerdo con el derecho a la tutela judicial. </w:t>
      </w:r>
    </w:p>
    <w:p w:rsidR="006854DA" w:rsidRDefault="006854DA" w:rsidP="006854DA">
      <w:pPr>
        <w:pStyle w:val="TextoNormal"/>
      </w:pPr>
      <w:r>
        <w:t>De lo expuesto, el Ministerio Fiscal infiere que existe la violación del art. 24.1 C.E. a partir del momento en que, conocido el domicilio del actor, no se le comunicó la existencia del proceso para que compareciera a defender su derecho.</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La representación procesal de don José María Vicente-Arche de Quixano registró su escrito de alegaciones el 11 de octubre de 1996, mediante el que solicitó la inadmisión del recurso y, subsidiariamente, su desestimación. Se sostiene la inadmisibilidad de la demanda por incumplimiento del requisito previsto en el art. 44.1a) LOTC, puesto que el recurrente no ha agotado la posibilidad que el recurso de revisión le ofrece (art. 1.796 L.E.C.) para rescindir la sentencia firme de remate, por cuanto el amparo se fundamenta en la supuesta conducta maliciosa del Banco acreedor que ocultó al Juzgado el paradero del ejecutado. </w:t>
      </w:r>
    </w:p>
    <w:p w:rsidR="006854DA" w:rsidRDefault="006854DA" w:rsidP="006854DA">
      <w:pPr>
        <w:pStyle w:val="TextoNormal"/>
      </w:pPr>
      <w:r>
        <w:t>En cuanto a la cuestión de fondo, se aduce que la actuación del órgano judicial ha sido respetuosa con el art. 24.1 C.E., puesto que ha notificado los actos de comunicación en el domicilio profesional del recurrente que, en ningún momento, ha negado su vinculación con NOVO-LAS, S.A. A ello se añade que tampoco es seguro que las notificaciones pudieran haber surtido efecto en el domicilio de Nueva York, ya que de los poderes otorgados por el recurrente y que constan en las actuaciones se deduce que, en pocos años, de 1980 a 1993, ha tenido en Estados Unidos cuatro domicilios distintos. Por otro lado, pretender que el Banco acreedor dedujera de los asientos del Registro que el domicilio del Sr. García en 1986 era el mismo que el declarado como propio en escritura de 1980, es una falacia; y más cuando el certificado de titularidades y cargas de la finca no se obtuvo hasta tres años después de incoado el procedimiento y nueve años después de adquirida la finca. En todo caso, entiende la representación del Sr. Vicente- Arche de Quixano que no existe prueba sólida del domicilio del Sr. García Alvear durante todos estos años, ni tan siquiera prueba indiciaria de que de ello fuese conocedor el Banco. En definitiva, se concluye que el ahora actor no ha sufrido indefensión alguna cuando fue él mismo quien decidió ponerse al margen del procedimiento.</w:t>
      </w:r>
    </w:p>
    <w:p w:rsidR="006854DA" w:rsidRDefault="006854DA" w:rsidP="006854DA">
      <w:pPr>
        <w:pStyle w:val="TextoNormal"/>
      </w:pPr>
    </w:p>
    <w:p w:rsidR="006854DA" w:rsidRDefault="006854DA" w:rsidP="006854DA">
      <w:pPr>
        <w:pStyle w:val="TextoNormal"/>
      </w:pPr>
      <w:r w:rsidRPr="006854DA">
        <w:rPr>
          <w:rStyle w:val="NumeroAFNegritaCaracter"/>
        </w:rPr>
        <w:t>11</w:t>
      </w:r>
      <w:r>
        <w:t>. Por providencia de 19 de mayo de 1997, se señaló para la deliberación y votación de la presente Sentencia el siguiente día 20 del mismo mes y año.</w:t>
      </w:r>
    </w:p>
    <w:p w:rsidR="006854DA" w:rsidRDefault="006854DA" w:rsidP="006854DA">
      <w:pPr>
        <w:pStyle w:val="TextoNormal"/>
      </w:pPr>
    </w:p>
    <w:p w:rsidR="006854DA" w:rsidRDefault="006854DA" w:rsidP="006854DA">
      <w:pPr>
        <w:pStyle w:val="TextoNormalNegritaCentrado"/>
        <w:keepNext/>
      </w:pPr>
      <w:r>
        <w:lastRenderedPageBreak/>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demandante de amparo pretende la nulidad del Auto de la Sección Decimosexta de la Audiencia Provincial de Barcelona, de 21 de diciembre de 1994, que confirma en apelación el dictado por el Juzgado de Primera Instancia núm. 12 de la ciudad del mismo nombre, de 29 de abril de 1993, por el que se declara no haber lugar a la solicitud de nulidad de actuaciones, en el juicio ejecutivo núm. 619/86, a partir de un determinado momento: "con posterioridad al 27 de junio de 1989, atendido las numerosas actuaciones en que desde aquella fecha se han vulnerado normas de procedimientos indispensables, con evidente indefensión de mi poderdante", que es lo que se precisó en el suplico del correspondiente escrito pidiendo la nulidad (de 11 de febrero de 1993) y luego se ratificó literalmente en el suplico de recurso de reposición (de 13 de abril de 1993) frente a la providencia del Juzgado que denegó la nulidad pedida.</w:t>
      </w:r>
    </w:p>
    <w:p w:rsidR="006854DA" w:rsidRDefault="006854DA" w:rsidP="006854DA">
      <w:pPr>
        <w:pStyle w:val="TextoNormal"/>
      </w:pPr>
      <w:r>
        <w:t>Es importante delimitar el alcance temporal de la nulidad pretendida, o sea a partir del 27 de junio de 1989, sin tener en cuenta la ampliación del plazo que se intenta improcedentemente en la demanda de amparo, es decir a partir del 6 de junio de 1986, día de la primera notificación.</w:t>
      </w:r>
    </w:p>
    <w:p w:rsidR="006854DA" w:rsidRDefault="006854DA" w:rsidP="006854DA">
      <w:pPr>
        <w:pStyle w:val="TextoNormal"/>
      </w:pPr>
      <w:r>
        <w:t>La demanda se basa en la supuesta vulneración del derecho a la tutela judicial efectiva, reconocido en el art. 24.1 C.E., que habría tenido lugar por haberse seguido íntegramente dicho juicio, resultando embargada y adjudicada a un tercero, Sr.  Vicente- Arche, una finca de la propiedad del quejoso, sin haberse practicado notificación alguna en su domicilio personal; domicilio fácilmente cognoscible -se alega- desde que el momento en que el propio Banco ejecutante aportó a autos (4 de octubre de 1989) la certificación registral de la mencionada finca y en cuyo texto figuraba que el adquirente, don Luis García Alvear, era vecino de Nueva York, con domicilio en la Quinta Avenida núm. 577.</w:t>
      </w:r>
    </w:p>
    <w:p w:rsidR="006854DA" w:rsidRDefault="006854DA" w:rsidP="006854DA">
      <w:pPr>
        <w:pStyle w:val="TextoNormal"/>
      </w:pPr>
      <w:r>
        <w:t>La cuestión que aquí se plantea es, por tanto, la de si los actos de comunicación efectuados con las citaciones o los emplazamientos del demandado, llevados a cabo, en ocasiones, en un domicilio que no niega que fuera el profesional y, en ocasiones, mediante edictos o en estrados, satisfacen el derecho a la tutela judicial efectiva, sin indefensión (art. 24.1 C.E.), o si, por el contrario, al no haberse practicado las pertinentes diligencias en el cambiante domicilio del ejecutado, éste quedó indefenso frente a una ejecución que conoció -dice- una vez ya adjudicada su finca en pública subasta.</w:t>
      </w:r>
    </w:p>
    <w:p w:rsidR="006854DA" w:rsidRDefault="006854DA" w:rsidP="006854DA">
      <w:pPr>
        <w:pStyle w:val="TextoNormal"/>
      </w:pPr>
    </w:p>
    <w:p w:rsidR="006854DA" w:rsidRDefault="006854DA" w:rsidP="006854DA">
      <w:pPr>
        <w:pStyle w:val="TextoNormal"/>
      </w:pPr>
      <w:r w:rsidRPr="006854DA">
        <w:rPr>
          <w:rStyle w:val="NumeroAFNegritaCaracter"/>
        </w:rPr>
        <w:t>2</w:t>
      </w:r>
      <w:r>
        <w:t>. Antes de iniciar, sin embargo, este análisis debe procederse a determinar si realmente concurre un óbice de admisibilidad de la demanda, alegado en el trámite del art. 52 LOTC, tanto por la representación procesal del Banco Exterior de España como por la de don José María Vicente-Arche de Quixano, y consistente en la falta de agotamiento de los recursos utilizables en la vía judicial previa por parte del recurrente en amparo [art. 44.1a) LOTC], sea porque no se ha promovido un juicio declarativo ordinario tras el ejecutivo, como sostiene la primera, quien además observa que tampoco fue invocado formalmente en el proceso el derecho fundamental vulnerado [art. 44.1c) LOTC], sea porque no se ha intentado un recurso de revisión, como advierte la segunda.</w:t>
      </w:r>
    </w:p>
    <w:p w:rsidR="006854DA" w:rsidRDefault="006854DA" w:rsidP="006854DA">
      <w:pPr>
        <w:pStyle w:val="TextoNormal"/>
      </w:pPr>
      <w:r>
        <w:t>El examen previo de estas cuestiones resulta obligado, pues, según reiterada doctrina de este Tribunal (STC 50/1987, por todas), cuando una causa de inadmisibilidad es alegada en el trámite imperativo ex art. 52 LOTC, puede convertirse en motivo de desestimación del amparo si la Sala la aprecia, de tal modo que, en caso de entenderse concurrente, no sería necesario ya examinar el fondo del asunto.</w:t>
      </w:r>
    </w:p>
    <w:p w:rsidR="006854DA" w:rsidRDefault="006854DA" w:rsidP="006854DA">
      <w:pPr>
        <w:pStyle w:val="TextoNormal"/>
      </w:pPr>
      <w:r>
        <w:lastRenderedPageBreak/>
        <w:t>Comenzando por la primera de las causas aducidas, esto es, la falta de agotamiento de la vía judicial precedente, al no haber incoado el quejoso un procedimiento declarativo ordinario previo al amparo, ya dijimos en la STC 242/1991 que la no producción de efectos de cosa juzgada de la Sentencia recaída en el juicio ejecutivo no puede, en todo caso y de modo general, erigirse el declarativo en trámite judicial obligado para el agotamiento de la vía previa al amparo, ya que «...el art. 44.1 a) se refiere taxativamente al agotamiento de los "recursos utilizables en la vía judicial" y la expresión recursos debe interpretarse aquí en principio en sentido técnico procesal y no con referencia a otro proceso posible respecto de cuestiones decididas en unjuiciosumario, porque la carencia de efectos de cosa juzgada (art. 1.479 L.E.C.)  de la Sentencia recaída en estos juicios, que deja a salvo el derecho de promover el proceso ordinario sobre la misma cuestión, debe entenderse referida únicamente a lacuestiónde fondo (existencia y exigibilidad de la obligación), pero no a las excepciones que, oponibles en el juicio ejecutivo, constituyen materia propia del mismo y son juzgadas en su Sentencia; sólo a ello cabe referir la exigencia de este juicio plenariocomoprevio al amparo, y no, por consiguiente, cuando, como ocurre en este caso, la indefensión venga producida por una de las causas de nulidad alegables en el propio juicio ejecutivo» (fundamento jurídico 2º).</w:t>
      </w:r>
    </w:p>
    <w:p w:rsidR="006854DA" w:rsidRDefault="006854DA" w:rsidP="006854DA">
      <w:pPr>
        <w:pStyle w:val="TextoNormal"/>
      </w:pPr>
      <w:r>
        <w:t>Pues bien, al solicitarse en el presente amparo la nulidad del juicio ejecutivo, a partir de una determinada fecha, por defectos en los actos de comunicación practicados, la misma decisión que pronunciamos en la STC 242/1991 es la que procede adoptar ahora.</w:t>
      </w:r>
    </w:p>
    <w:p w:rsidR="006854DA" w:rsidRDefault="006854DA" w:rsidP="006854DA">
      <w:pPr>
        <w:pStyle w:val="TextoNormal"/>
      </w:pPr>
      <w:r>
        <w:t>Parecida consideración cabe formular respecto del recurso de revisión. Como recurso excepcional rescisorio de Sentencias firmes, sólo es previo al subsidiario recurso de amparo cuando éste hubiera de fundarse, exclusivamente, en alguno de los tasados motivos en que cabe articular aquél (art. 1.796 L.E.C.)  y después de que haya tenido lugar, cuando sea necesaria, la actividad o resolución previa en que se compruebe y declare la existencia de tales motivos (STC 242/1992). No es ése el supuesto que ahora se enjuicia, pues pudiendo ser, a lo sumo, el único motivo aplicable el previsto en el núm.  4 del art. 1.796 L.E.C. (ganar la sentencia firme en virtud de maquinación fraudulenta), el amparo no se funda en este supuesto, sino en la vulneración del art. 24.1 C.E., por la forma de efectuar las notificaciones, a partir de un determinado momento. En consecuencia, la no interposición del recurso de revisión no puede subsumirse en la causa impeditiva de procedibilidad que se examina.</w:t>
      </w:r>
    </w:p>
    <w:p w:rsidR="006854DA" w:rsidRDefault="006854DA" w:rsidP="006854DA">
      <w:pPr>
        <w:pStyle w:val="TextoNormal"/>
      </w:pPr>
      <w:r>
        <w:t>La vía judicial previa, en suma, debe reputarse agotada con la resolución judicial denegatoria de la pretendida nulidad de actuaciones, ya que tal petición de nulidad fue la única intervención posible del solicitante de amparo en el juicio ejecutivo que se impugna; solicitud que no puede considerarse como un mero artificio dilatorio (también en este sentido, STC 242/1991), sino sólo como una tentativa de personación de urgencia en un proceso ya fenecido sin la intervención del ejecutado y en el cual la ley no le permitía recurrir a la audiencia del condenado en rebeldía (art. 789 L.E.C.).</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Debe también rechazarse que el presente recurso no haya cumplido el requisito señalado en el art. 44.1c) LOTC. Es evidente que en el escrito en solicitud de nulidad de actuaciones, registrado por el quejoso el 19 de febrero de 1993 (fechado el 11 de febrero) en el Juzgado de Instancia, no aparece ninguna referencia formal al art. 24.1 C.E., cuyo contenido se pretende ahora transgredido. Empero, es doctrina de este Tribunal que la falta de cita o mención expresa del precepto constitucional que reconoce el derecho fundamental pretendidamente vulnerado, o la del mismo derecho, no necesariamente determina el incumplimiento del requisito de la invocación, siempre que la transgresión constitucional </w:t>
      </w:r>
      <w:r>
        <w:lastRenderedPageBreak/>
        <w:t>quede acotada en términos que permitan a los órganos judiciales pronunciarse sobre ella (entre otras, SSTC 75/1984, 10/1986, 75/1988, 155/1988).</w:t>
      </w:r>
    </w:p>
    <w:p w:rsidR="006854DA" w:rsidRDefault="006854DA" w:rsidP="006854DA">
      <w:pPr>
        <w:pStyle w:val="TextoNormal"/>
      </w:pPr>
    </w:p>
    <w:p w:rsidR="006854DA" w:rsidRDefault="006854DA" w:rsidP="006854DA">
      <w:pPr>
        <w:pStyle w:val="TextoNormal"/>
      </w:pPr>
      <w:r w:rsidRPr="006854DA">
        <w:rPr>
          <w:rStyle w:val="NumeroAFNegritaCaracter"/>
        </w:rPr>
        <w:t>4</w:t>
      </w:r>
      <w:r>
        <w:t>. Despejadas las dudas sobre la viabilidad procesal del presente recurso, debemos iniciar el examen de la cuestión de fondo propuesta en la demanda. Se nos plantea un supuesto de posible indefensión contraria al art. 24.1 C.E.  como consecuencia de la ineficacia de los actos de comunicación procesal, practicados, en este caso, en un juicio ejecutivo de los regulados en el Título XV, del Libro II, de la Ley de Enjuiciamiento Civil.</w:t>
      </w:r>
    </w:p>
    <w:p w:rsidR="006854DA" w:rsidRDefault="006854DA" w:rsidP="006854DA">
      <w:pPr>
        <w:pStyle w:val="TextoNormal"/>
      </w:pPr>
      <w:r>
        <w:t>El demandante de amparo dice haber padecido una lesión en su derecho a la tutela judicial por haberse desarrollado parte del juicio sin su intervención; y ello debido a que ni el Banco ejecutante ni el órgano judicial desplegaron la diligencia necesaria para que la existencia de determinadas actuaciones llegara a su conocimiento.</w:t>
      </w:r>
    </w:p>
    <w:p w:rsidR="006854DA" w:rsidRDefault="006854DA" w:rsidP="006854DA">
      <w:pPr>
        <w:pStyle w:val="TextoNormal"/>
      </w:pPr>
      <w:r>
        <w:t>Hemos de recordar la reiterada doctrina de este Tribunal según la cual, en lo que ahora interesa, el derecho de tutela judicial efectiva del art. 24.1 C.E.  implica la posibilidad de un juicio contradictorio, cuyo soporte instrumental básico es el acto procesal de comunicación, pues sin un debido emplazamiento las partes no podrían comparecer en juicio ni defender sus posiciones. En consecuencia, cobra especial importancia el primer acto procesal de comunicación (emplazamiento o citación) en cuanto traslado por el Juez al demandado de la pretensión deducida por el actor. La citación es, así, algo más que un mero requisito de forma y por ello se hace preciso, desde el punto de vista de la garantía del art. 24.1, que el órgano judicial asegure en la medida de lo posible su efectividad real (SSTC 157/1987, 242/1991, 180/1995, 80/1996, 81/1996, entre otras muchas).</w:t>
      </w:r>
    </w:p>
    <w:p w:rsidR="006854DA" w:rsidRDefault="006854DA" w:rsidP="006854DA">
      <w:pPr>
        <w:pStyle w:val="TextoNormal"/>
      </w:pPr>
      <w:r>
        <w:t>Este Tribunal tiene establecido también que, siempre que ello sea posible, ha de asegurarse el emplazamiento personal de quienes hayan de comparecer en juicio como partes, a fin de que puedan defender sus derechos, si resultan conocidos e identificables en las actuaciones judiciales (SSTC 45/1987, 72/1988, 242/1991).</w:t>
      </w:r>
    </w:p>
    <w:p w:rsidR="006854DA" w:rsidRDefault="006854DA" w:rsidP="006854DA">
      <w:pPr>
        <w:pStyle w:val="TextoNormal"/>
      </w:pPr>
      <w:r>
        <w:t>Ahora bien, de igual modo hemos afirmado, en el marco de la doctrina anterior, que la indefensión que proscribe el art. 24.1 C.E. es la que resulta imputable al Tribunal que debe prestar tutela a los derechos e intereses en litigio, pero no la que nace de la propia conducta de la persona afectada (SSTC 109/1985, 64/1986, 102/1987, 205/1988, 48/1990, 153/1993). En concreto, y en supuestos de procesos seguidos inaudita parte, se ha precisado que las resoluciones judiciales recaídas en los mismos no implican vulneración del derecho a la tutela judicial efectiva sin que se produzca indefensión, cuando el afectado no ha puesto la debida diligencia en la defensa de sus derechos - diligencia que ha de graduarse ponderando las circunstancias que concurren en los respectivos sujetos y supuestos de derecho-, bien colocándose al margen del proceso mediante una actitud pasiva con el fin de obtener una ventaja en esa marginación, bien cuando pueda deducirse que poseía un conocimiento extraprocesal de la existencia del litigio en el que no fue personalmente emplazado (SSTC 56/1985, 150/1986, 141/1987, 182/1987, 34/1988, 163/1988, 8/1991, 118/1993 y 153/1993, entre otras).</w:t>
      </w:r>
    </w:p>
    <w:p w:rsidR="006854DA" w:rsidRDefault="006854DA" w:rsidP="006854DA">
      <w:pPr>
        <w:pStyle w:val="TextoNormal"/>
      </w:pPr>
    </w:p>
    <w:p w:rsidR="006854DA" w:rsidRDefault="006854DA" w:rsidP="006854DA">
      <w:pPr>
        <w:pStyle w:val="TextoNormal"/>
      </w:pPr>
      <w:r w:rsidRPr="006854DA">
        <w:rPr>
          <w:rStyle w:val="NumeroAFNegritaCaracter"/>
        </w:rPr>
        <w:t>5</w:t>
      </w:r>
      <w:r>
        <w:t>. En el caso que nos ocupa, resulta indiscutible, a la vista de las actuaciones, que el órgano judicial llevó a cabo correctamente los iniciales actos de comunicación, de carácter fundamental en los juicios ejecutivos, como son el requerimiento de pago y la citación de remate, pues son éstos los que ponen en conocimiento de la parte el comienzo del pleito. Así, tanto la diligencia de requerimiento de pago y embargo, en la que se indicaba que el bien objeto de embargo era la finca registrada con el núm.  2.361 en el Registro de la Propiedad de Vilanova i la Geltrú, como la correspondiente cedula de citación de remate fue</w:t>
      </w:r>
      <w:r>
        <w:lastRenderedPageBreak/>
        <w:t>ron entregadas -si bien a la recepcionista de la empresa, pero no consta que fueran devueltas al Juzgado- en el único domicilio conocido del recurrente (c/Sicilia, núm. 253, 6º,1ª de Barcelona), proporcionado en la demanda por el Banco ejecutante, y que coincidía con el de la empresa NOVO-LAS, es decir la empresa a la que el Sr. García Alvear, junto con otras dos personas, había afianzado mediante póliza mercantil.</w:t>
      </w:r>
    </w:p>
    <w:p w:rsidR="006854DA" w:rsidRDefault="006854DA" w:rsidP="006854DA">
      <w:pPr>
        <w:pStyle w:val="TextoNormal"/>
      </w:pPr>
      <w:r>
        <w:t>Este era el único domicilio que le constaba al Juzgado, pues, como se ha expuesto en los Antecedentes de esta Sentencia, en el mencionado título ejecutivo no se indicaba más que el número de Documento Nacional de Identidad de los fiadores. Fue posible localizar, en este caso, el domicilio personal de los otros dos fiadores, donde, respectivamente, se les cursaron los distintos actos de comunicación. No se pudo obtener el mismo resultado con el Sr. García Alvear. Esta diferencia revela la especial dificultad de su localización, pero también, como luego tendremos ocasión de considerar, la ausencia de actuación positiva del ahora recurrente en la gestión y ejercicio de sus responsabilidades durante los más de seis años que duró el litigio y en lo que a la póliza de crédito suscrita respecta, cuyo incumplimiento dio lugar al procedimiento judicial posterior.</w:t>
      </w:r>
    </w:p>
    <w:p w:rsidR="006854DA" w:rsidRDefault="006854DA" w:rsidP="006854DA">
      <w:pPr>
        <w:pStyle w:val="TextoNormal"/>
      </w:pPr>
      <w:r>
        <w:t>Otro tanto cabe advertir en relación con la diligencia desplegada por el órgano judicial, en la siguiente fase procesal del pleito. Así, consta en las actuaciones que, tras los trámites correspondientes y previa declaración de rebeldía de los demandados, el Juzgado de Primera Instancia núm. 12 de los de Barcelona dictó Sentencia el 4 de julio de 1986, por la que se mandaba seguir adelante con la ejecución. De nuevo se notificó esta resolución al recurrente en el domicilio de la Compañía; esta vez, en la persona de un empleado, don José Medina, quien manifestó que el Sr. García Alvear se había marchado de la empresa, "estando actualmente en Sitges". Como no constaba en autos otro domicilio para practicar la notificación, la Sentencia fue notificada, a solicitud del Banco, por edictos, publicados en el Boletín Oficial de la Provincia de Barcelona el día 1 de mayo de 1987.</w:t>
      </w:r>
    </w:p>
    <w:p w:rsidR="006854DA" w:rsidRDefault="006854DA" w:rsidP="006854DA">
      <w:pPr>
        <w:pStyle w:val="TextoNormal"/>
      </w:pPr>
      <w:r>
        <w:t>Los problemas en relación con el derecho fundamental supuestamente vulnerado podrían haber comenzado en el momento en que en las actuaciones apareció un nuevo domicilio del ejecutado. Ello se produjo cuando el Juzgado acordó, mediante providencia de 27 de junio de 1989, librar mandamiento al Registro de la Propiedad para que expidiera certificación de titularidad y cargas de la finca embargada. A partir de ese momento, al presentar el Banco ejecutante escrito acompañando la certificación registral de la citada finca (4 de octubre de 1989), en cuya inscripción figuraba como adquirente el hoy recurrente, don Luis García Alvear, ("mayor de edad, casado bajo régimen económico de separación de bienes, de nacionalidad norteamericana, y vecino de Nueva York, con domicilio en la Quinta Avenida núm. 577"), fue cuando, efectivamente, el órgano judicial ya no podía tener la plena certeza de que el demandado se hallaba en ignorado paradero, pues constaba desde ese momento un nuevo posible domicilio del mismo en el extranjero; posible domicilio, decimos, puesto que en el poder que acompañó al escrito de nulidad de actuaciones de 19 de febrero de 1993 puede leerse que el domicilio de don Luis García Alvear era ya entonces "8 Lucerne, New Port Beach, California 92660 y temporalmente 512 7th Avenue (2º piso), de la ciudad de Nueva York".</w:t>
      </w:r>
    </w:p>
    <w:p w:rsidR="006854DA" w:rsidRDefault="006854DA" w:rsidP="006854DA">
      <w:pPr>
        <w:pStyle w:val="TextoNormal"/>
      </w:pPr>
      <w:r>
        <w:t>Pues bien, de lo relatado podría resultar (y siempre que prescindiéramos de la confusión sobre cuál era realmente el domicilio del Sr. García Alvear en Estados Unidos) que aun habiéndose aplicado las normas procesales sobre actos de comunicación en la fase inicial y fundamental del pleito, pues se actuó con el único domicilio obrante en autos, sin embargo, en una fase posterior fuera exigible una mayor diligencia al órgano judicial para hacer llegar los actos de comunicación procesal al demandado, en tanto que en la certificación registral de la finca embargada constaba un nuevo domicilio de éste.</w:t>
      </w:r>
    </w:p>
    <w:p w:rsidR="006854DA" w:rsidRDefault="006854DA" w:rsidP="006854DA">
      <w:pPr>
        <w:pStyle w:val="TextoNormal"/>
      </w:pPr>
    </w:p>
    <w:p w:rsidR="006854DA" w:rsidRDefault="006854DA" w:rsidP="006854DA">
      <w:pPr>
        <w:pStyle w:val="TextoNormal"/>
      </w:pPr>
      <w:r w:rsidRPr="006854DA">
        <w:rPr>
          <w:rStyle w:val="NumeroAFNegritaCaracter"/>
        </w:rPr>
        <w:t>6</w:t>
      </w:r>
      <w:r>
        <w:t>. Pero la tesis anterior sólo podría admitirse, según la jurisprudencia constitucional reseñada, en el supuesto de que no fuera el quejoso el que, con su propia conducta, hubiera generado, desde el inicio del procedimiento, la indefensión ahora alegada.  Y ello es lo que realmente ha sucedido en el presente caso.</w:t>
      </w:r>
    </w:p>
    <w:p w:rsidR="006854DA" w:rsidRDefault="006854DA" w:rsidP="006854DA">
      <w:pPr>
        <w:pStyle w:val="TextoNormal"/>
      </w:pPr>
      <w:r>
        <w:t>Ya hemos puesto de manifiesto en el fundamento jurídico 1º de esta Sentencia la disimilitud de contenidos entre los escritos del recurrente solicitando la nulidad de lo actuado y la demanda de amparo. Se trata de un dato muy significativo. El Sr.  García Alvear se personó en el pleito cuando, según él, tuvo conocimiento del mismo, esto es, cuando el inquilino de su finca, el Sr.  Vicente-Arche, la adquirió en pública subasta y dejó de pagar la renta mensual. Instó la nulidad de parte de lo actuado, denunciando las irregularidades procesales que, a su juicio, habían tenido lugar durante la tramitación del procedimiento. Tales irregularidades, según el suplico del escrito de fecha 11 de febrero de 1993, se inician a partir de la providencia de 27 de junio de 1989, por la que el Juzgado libró mandamiento al Registro de la Propiedad para que expidiera certificación de titularidad y cargas a las que estuvieran sujetas las fincas embargadas; se solicita la nulidad a partir de ese momento. El mismo suplico tiene el recurso de reposición contra la providencia que denegó la nulidad y que fue resuelto por Auto del Juzgado de 29 de abril de 1993. (En cambio, en la demanda de amparo se solicita la retroacción de las actuaciones hasta el Auto despachando ejecución).</w:t>
      </w:r>
    </w:p>
    <w:p w:rsidR="006854DA" w:rsidRDefault="006854DA" w:rsidP="006854DA">
      <w:pPr>
        <w:pStyle w:val="TextoNormal"/>
      </w:pPr>
      <w:r>
        <w:t>De lo expuesto se colige que la solicitud de nulidad no se extendió a las actuaciones judiciales practicadas con anterioridad a la fecha de la mencionada providencia, es decir, a las comunicaciones iniciales de requerimiento de pago y embargo y de citación de remate. O dicho de otro modo: el propio recurrente no cuestionó, en sus escritos de petición de nulidad de actuaciones, que aquellos primeros actos de comunicación hubieran surtido plenos efectos legales.</w:t>
      </w:r>
    </w:p>
    <w:p w:rsidR="006854DA" w:rsidRDefault="006854DA" w:rsidP="006854DA">
      <w:pPr>
        <w:pStyle w:val="TextoNormal"/>
      </w:pPr>
      <w:r>
        <w:t>En definitiva, ni en los mencionados escritos se afirma, ni en la demanda de amparo se desmiente, que las actos de comunicación troncales del juicio ejecutivo, que son aquellos que ponen en conocimiento del demandado la existencia del procedimiento y, en consecuencia, la posibilidad de acudir al mismo para la defensa de sus intereses, no hubieran sido recibidos por el Sr.  García Alvear en el domicilio de la empresa NOVO- LAS.</w:t>
      </w:r>
    </w:p>
    <w:p w:rsidR="006854DA" w:rsidRDefault="006854DA" w:rsidP="006854DA">
      <w:pPr>
        <w:pStyle w:val="TextoNormal"/>
      </w:pPr>
      <w:r>
        <w:t>La consecuencia lógica de tal constatación es que fue el propio recurrente, con su actitud pasiva, quien se colocó, desde un inicio, al margen del procedimiento. Indicar como domicilio "Estados Unidos" (así figura en el contrato de arrendamiento) resulta demasiado impreciso, y señalar una dirección en la ciudad de Nueva York y otra en New Port Beach de California (datos de la certificación registral y de uno de los poderes, respectivamente), produce confusión. No es admisible que ahora el quejoso, una vez que sus intereses patrimoniales han resultado afectados, se lance a denunciar la vulneración del derecho fundamental a la tutela judicial efectiva, olvidándose de que él, desde un comienzo, fue quien renunció a las posibilidades de participar en el pleito. No ha habido, pues, una lesión del derecho de defensa, ni se privó al recurrente de la posibilidad de acceder al proceso. El que no utilizara tales medios fue una decisión suya. La indefensión no puede ampararse si es motivada por la propia actitud del quejoso, ni menos aún si por parte del mismo existe ánimo deliberado de orillarse en el proceso, pues tuvo conocimiento de él y con una exigible diligencia pudo comparecer.  Como este Tribunal afirmó en la STC 22/1992, reiterando la doctrina consolidada que hemos recordado en el fundamento jurídico 4º, "el carácter instrumental que cabe predicar de dichos actos de comunicación respecto del mencionado derecho a la defensa obliga a sostener que no puede pretender beneficiarse en vía de am</w:t>
      </w:r>
      <w:r>
        <w:lastRenderedPageBreak/>
        <w:t>paro constitucional de un tardíamente descubierto derecho a la defensa quien ha mostrado una total pasividad y ha incurrido en una notoria falta de diligencia procesal y de colaboración con la Administración de Justicia, en un proceso civil iniciado en el año 1979 [en nuestro caso en 1986]. Es, además, manifiesta la inexistencia de irregularidades de relevancia constitucional en los actos de comunicación" (fundamento jurídico 3º).</w:t>
      </w:r>
    </w:p>
    <w:p w:rsidR="006854DA" w:rsidRDefault="006854DA" w:rsidP="006854DA">
      <w:pPr>
        <w:pStyle w:val="TextoNormal"/>
      </w:pPr>
      <w:r>
        <w:t>En definitiva, no puede atisbarse menoscabo alguno del derecho a la tutela judicial efectiva sin indefensión [art. 24.1 C.E.] de quien ahora se alza en amparo.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 por don Luis García Alvear.</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veinte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6" w:name="SENTENCIA_1997_100"/>
      <w:r>
        <w:lastRenderedPageBreak/>
        <w:t>SENTENCIA 100/1997, de 20 de mayo de 1997</w:t>
      </w:r>
    </w:p>
    <w:bookmarkEnd w:id="16"/>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ECLI:ES:TC:1997:100</w:t>
      </w:r>
    </w:p>
    <w:p w:rsidR="006854DA" w:rsidRDefault="006854DA" w:rsidP="006854DA">
      <w:pPr>
        <w:pStyle w:val="SntesisDescriptiva"/>
      </w:pPr>
    </w:p>
    <w:p w:rsidR="006854DA" w:rsidRDefault="006854DA" w:rsidP="006854DA">
      <w:pPr>
        <w:pStyle w:val="SntesisDescriptiva"/>
      </w:pPr>
      <w:r>
        <w:t>Recurso de amparo 526/1995. Contra Sentencia dictada por el Juzgado de Primera Instancia núm. 5 de Madrid en autos de juicio de menor cuantía sobre resolución de  comproventa.</w:t>
      </w:r>
    </w:p>
    <w:p w:rsidR="006854DA" w:rsidRDefault="006854DA" w:rsidP="006854DA">
      <w:pPr>
        <w:pStyle w:val="SntesisDescriptiva"/>
      </w:pPr>
    </w:p>
    <w:p w:rsidR="006854DA" w:rsidRDefault="006854DA" w:rsidP="006854DA">
      <w:pPr>
        <w:pStyle w:val="SntesisAnaltica"/>
      </w:pPr>
      <w:r>
        <w:t>Vulneración del derecho a la tutela judicial efectiva: emplazamiento edictal lesivo del derecho.</w:t>
      </w:r>
    </w:p>
    <w:p w:rsidR="006854DA" w:rsidRDefault="006854DA" w:rsidP="006854DA">
      <w:pPr>
        <w:pStyle w:val="SntesisAnaltica"/>
      </w:pPr>
    </w:p>
    <w:p w:rsidR="006854DA" w:rsidRDefault="006854DA" w:rsidP="006854DA">
      <w:pPr>
        <w:pStyle w:val="Extracto"/>
      </w:pPr>
      <w:r>
        <w:t>1.</w:t>
      </w:r>
      <w:r>
        <w:tab/>
        <w:t>Este Tribunal Constitucional tiene establecido que los órganos judiciales han de procurar el emplazamiento personal de los demandados, siempre que sea factible, para evitar que nadie pueda resultar perjudicado por una decisión judicial recaída en un proceso en el que no se le dio la ocasión de comparecer para defenderse. Por ello, el emplazamiento hecho en edictos ha de entenderse como un remedio último, de carácter supletorio y excepcional, al que sólo cabe acudir cuando, desconocido el domicilio, el órgano judicial llegue a una convicción razonable sobre la imposible localización del demandado, una vez que la oficina judicial ha agotado los medios ordinarios a su alcance para averiguar su paradero (SSTC 157/1987, 242/1991, 193/1993 y 108/1994, entre otras muchas) [F.J. 2].</w:t>
      </w:r>
    </w:p>
    <w:p w:rsidR="006854DA" w:rsidRDefault="006854DA" w:rsidP="006854DA">
      <w:pPr>
        <w:pStyle w:val="Extracto"/>
      </w:pPr>
    </w:p>
    <w:p w:rsidR="006854DA" w:rsidRDefault="006854DA" w:rsidP="006854DA">
      <w:pPr>
        <w:pStyle w:val="Extracto"/>
      </w:pPr>
      <w:r>
        <w:t>2.</w:t>
      </w:r>
      <w:r>
        <w:tab/>
        <w:t>Fallidos los emplazamientos personales inicialmente intentados, le bastaba al órgano judicial con examinar los datos y la documentación obrante en los autos para tener conocimiento cierto sobre el domicilio social de la entonces demandada y ahora recurrente en amparo, pues éste figuraba en una carta que allí constaba. Además, siendo la demandada una sociedad mercantil, correspondía a la actora interesar su emplazamiento y a la propia oficina judicial llevarlo a cabo, en el domicilio social que figurase en el Registro Mercantil, tal como ha declarado este Tribunal en supuestos similares al presente. Así, en la STC 227/1994, se toma en consideración el hecho de que el órgano judicial no realizase actividad de comunicación alguna en relación con el domicilio que constaba en el Registro Mercantil para apreciar la vulneración del derecho fundamental a una tutela judicial efectiva sin indefensión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Álvaro Rodríguez Bereijo, Presidente, don Pedro Cruz Villalón, don Enrique Ruíz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lastRenderedPageBreak/>
        <w:t>SENTENCIA</w:t>
      </w:r>
    </w:p>
    <w:p w:rsidR="006854DA" w:rsidRDefault="006854DA" w:rsidP="006854DA">
      <w:pPr>
        <w:pStyle w:val="TextoNormalCentrado"/>
        <w:keepNext/>
      </w:pPr>
    </w:p>
    <w:p w:rsidR="006854DA" w:rsidRDefault="006854DA" w:rsidP="006854DA">
      <w:pPr>
        <w:pStyle w:val="TextoNormal"/>
      </w:pPr>
      <w:r>
        <w:t>En el recurso de amparo núm. 526/95, interpuesto por "Enseñanza y Cultura, S.A.", representada por la Procuradora de los Tribunales doña Pilar Crespo Núñez, con la asistencia letrada del Abogado don Javier Domínguez Catalayud, contra la Sentencia de 15 de septiembre de 1988, dictada por el Juzgado de Primera Instancia núm. 5 de Madrid, en los autos de juicio de menor cuantía núm. 225/85. Han comparecido el Ministerio Fiscal y la empresa «Inmobiliaria Urbis, S.A.», bajo la representación procesal del Procurador de los Tribunales don Jorge Deleito García y dirección de la Abogada doña Celestina Izquierdo García. Ha sido Ponente el Magistrado don Manuel Jiménez de Parga y Cabrera,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ante este Tribunal el día 17 de febrero de 1995, la Procuradora de los Tribunales doña Pilar Crespo Núñez, en nombre y representación de «Enseñanza y Cultura, S.A.», interpuso demanda de amparo constitucional contra la Sentencia de 15 de septiembre de 1988, dictada por el Juzgado de Primera Instancia núm. 5 de los de Madrid, en autos de juicio de menor cuantía sobre resolución de una compraventa.</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en los que se fundamenta la demanda son, sucintamente expuestos, los siguientes: </w:t>
      </w:r>
    </w:p>
    <w:p w:rsidR="006854DA" w:rsidRDefault="006854DA" w:rsidP="006854DA">
      <w:pPr>
        <w:pStyle w:val="TextoNormal"/>
      </w:pPr>
      <w:r>
        <w:t xml:space="preserve">a) El día 22 de abril de 1965, la entidad demandante de amparo adquirió de «Inmobiliaria Urbis, S.A.» dos parcelas en un barrio de Madrid, incluyéndose en la escritura de compraventa una condición resolutoria para el caso de que sobre dichas parcelas se construyeran edificios e instalaciones no destinadas a fines docentes. La sociedad ahora quejosa construyó un centro docente sobre una de las parcelas, pero no pudo hacer lo mismo en la otra debido a la oposición del Ayuntamiento, que pretendía convertirla en zona verde. </w:t>
      </w:r>
    </w:p>
    <w:p w:rsidR="006854DA" w:rsidRDefault="006854DA" w:rsidP="006854DA">
      <w:pPr>
        <w:pStyle w:val="TextoNormal"/>
      </w:pPr>
      <w:r>
        <w:t xml:space="preserve">b) El día 30 de enero de 1982, «Inmobiliaria Urbis, S.A.» dirigió una carta a la demandante de amparo instando la resolución de la compraventa. Dicha carta fue enviada a una dirección errónea, pese a lo cual llegó a su destino porque el portero, o algún vecino, conocedor de que la entidad tenía un centro docente en el mismo barrio, la remitió a su destinatario. El 24 de febrero, del mismo 1982, «Enseñanza y Cultura, S.A.» contestó mediante carta a la requirente, oponiéndose a la resolución de la compraventa. En esta carta figuraba el domicilio social correcto de la entidad. </w:t>
      </w:r>
    </w:p>
    <w:p w:rsidR="006854DA" w:rsidRDefault="006854DA" w:rsidP="006854DA">
      <w:pPr>
        <w:pStyle w:val="TextoNormal"/>
      </w:pPr>
      <w:r>
        <w:t>c) En fecha 25 de enero de 1995, llegó a poder de la demandante de amparo una nota simple del Registro de la Propiedad en la que constaba el asiento registral de cancelación de la titularidad de la parcela en la que no se había construido, en virtud de una Sentencia dictada en rebeldía el día 15 de septiembre de 1988 (y publicada en el B.O.E. el 24 de octubre de ese mismo año). Al tener conocimiento de esa circunstancia, «Enseñanza y Cultura, S.A.» interesó del Juzgado copia de la Sentencia, acordándose mediante proveído de 10 de febrero de 1995 la entrega de la misma, que fue notificada el día 13 del mismo mes.</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su demanda de amparo aduce la sociedad recurrente la vulneración de su derecho a una tutela judicial efectiva sin indefensión, puesto que la Sentencia que impugna se dictó inaudita parte. Fue declarada en rebeldía y se le privó en consecuencia de la posibilidad de </w:t>
      </w:r>
      <w:r>
        <w:lastRenderedPageBreak/>
        <w:t xml:space="preserve">un juicio contradictorio, sin que el órgano judicial utilizase los medios a su alcance para garantizar su emplazamiento personal antes de acudir al edicto. </w:t>
      </w:r>
    </w:p>
    <w:p w:rsidR="006854DA" w:rsidRDefault="006854DA" w:rsidP="006854DA">
      <w:pPr>
        <w:pStyle w:val="TextoNormal"/>
      </w:pPr>
      <w:r>
        <w:t xml:space="preserve">A su entender, el Juzgado que conocía del asunto no cumplió con el deber de diligencia mínimo que le era exigible en cuanto a la correcta citación del demandado. Señala la quejosa, en este sentido, los siguientes datos extraídos de los autos seguidos ante el Juzgado: La demandante indicó primeramente como domicilio de la demandada uno erróneo (C/Vinateros, 10), por lo que la citación resultó fallida. Y ello a pesar de que a la demandante le constaba el domicilio social de la demandada, que figuraba en la carta en la que se le había comunicado la negativa a rescindir la compraventa efectuada, y que se aportó a los autos como documento núm. 3. Con posterioridad la demandante señaló otro domicilio para el emplazamiento (C/Vinateros, 108), que resultaría igualmente fallido. La actora, por último, indicó un nuevo domicilio (C/San Juan, en Segovia), que había dejado de ser el domicilio social de la demandada desde hacía varios años. En fin, ante lo infructuoso de estos intentos, la demandante en el proceso a quo solicitó y obtuvo que el emplazamiento se realizase mediante edictos. </w:t>
      </w:r>
    </w:p>
    <w:p w:rsidR="006854DA" w:rsidRDefault="006854DA" w:rsidP="006854DA">
      <w:pPr>
        <w:pStyle w:val="TextoNormal"/>
      </w:pPr>
      <w:r>
        <w:t xml:space="preserve">Si se tiene en cuenta que el domicilio correcto de la entonces entidad demandada constaba en autos y, sobre todo, su condición de sociedad anónima, por lo que su domicilio figuraba en el Registro Mercantil (STC 174/1990), es claro que el órgano judicial no agotó los medios a su alcance para conseguir el efectivo emplazamiento personal de la ahora solicitante de amparo. Con tal proceder -entiende la recurrente- el órgano judicial le impidió ejercer sus derechos de defensa, con vulneración del derecho fundamental a una tutela judicial efectiva que reconoce el art. 24 C.E. </w:t>
      </w:r>
    </w:p>
    <w:p w:rsidR="006854DA" w:rsidRDefault="006854DA" w:rsidP="006854DA">
      <w:pPr>
        <w:pStyle w:val="TextoNormal"/>
      </w:pPr>
      <w:r>
        <w:t>En virtud de todo ello se interesa de este Tribunal que se conceda el amparo solicitado y que, en su consecuencia, se anule la Sentencia impugnada.</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17 de julio de 1995, la Sección Segunda acordó la admisión a trámite de la demanda y, a tenor de lo dispuesto en el art. 51 LOTC, librar atenta comunicación al Juzgado de Primera Instancia núm. 5 de Madrid, interesándose el emplazamiento de cuantos hubiesen sido parte en el proceso judicial antecedente para que puedan comparecer en el plazo de diez días en el presente proceso constitucional; no siendo necesaria la remisión del testimonio de las actuaciones por haber sido requerido previamente por el propio Tribunal Constitucional y obrar en su poder.</w:t>
      </w:r>
    </w:p>
    <w:p w:rsidR="006854DA" w:rsidRDefault="006854DA" w:rsidP="006854DA">
      <w:pPr>
        <w:pStyle w:val="TextoNormal"/>
      </w:pPr>
    </w:p>
    <w:p w:rsidR="006854DA" w:rsidRDefault="006854DA" w:rsidP="006854DA">
      <w:pPr>
        <w:pStyle w:val="TextoNormal"/>
      </w:pPr>
      <w:r w:rsidRPr="006854DA">
        <w:rPr>
          <w:rStyle w:val="NumeroAFNegritaCaracter"/>
        </w:rPr>
        <w:t>5</w:t>
      </w:r>
      <w:r>
        <w:t>. La Sección Segunda, mediante providencia de 2 de octubre de 1995, acordó tener por personado y parte al Procurador de los Tribunales don Jorge Deleito García, en nombre y representación de «Inmobiliaria Urbis, S.A.» y, con arreglo a lo dispuesto en el art. 52 LOTC, dar vista de las actuaciones a las partes y al Ministerio Fiscal para que, en el plazo común de veinte días, presentasen las alegaciones que a su derecho conviniese.</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El 25 de octubre de 1995 registró su alegato el Ministerio Fiscal. Tras una sucinta exposición de los hechos y una identificación de la vulneración de derechos fundamentales denunciada por la entidad quejosa, analiza el Ministerio Público la doctrina constitucional dictada en relación con los requisitos constitucionalmente exigidos a los actos de comunicación procesal y, en especial, de emplazamiento judicial de las partes. Abundando en esta dirección, y con apoyo en las SSTC 36/1987, 72/1988 y 205/1988, entre otras muchas, se subraya la trascendencia constitucional de los actos procesales de comunicación en tanto que operan como instrumento de acceso a la jurisdicción y como presupuesto para </w:t>
      </w:r>
      <w:r>
        <w:lastRenderedPageBreak/>
        <w:t xml:space="preserve">el ejercicio del derecho a la defensa. En virtud de todo ello, se recuerda que no es posible acudir a la notificación edictal sin haberse asegurado previamente que se han adoptado todas las medidas posibles para que el emplazamiento mediante cédula personal sea recibido por su destinatario. </w:t>
      </w:r>
    </w:p>
    <w:p w:rsidR="006854DA" w:rsidRDefault="006854DA" w:rsidP="006854DA">
      <w:pPr>
        <w:pStyle w:val="TextoNormal"/>
      </w:pPr>
      <w:r>
        <w:t xml:space="preserve">La traslación de esta doctrina constitucional al asunto enjuiciado conduce, en criterio del Ministerio Fiscal, a la real y efectiva existencia de la denunciada vulneración del derecho fundamental que reconoce y garantiza el art. 24.1 C.E., porque fue la falta de actividad del órgano judicial la que determinó la indefensión padecida por la actora. </w:t>
      </w:r>
    </w:p>
    <w:p w:rsidR="006854DA" w:rsidRDefault="006854DA" w:rsidP="006854DA">
      <w:pPr>
        <w:pStyle w:val="TextoNormal"/>
      </w:pPr>
      <w:r>
        <w:t xml:space="preserve">En efecto, el Juzgado al comprobar que, a pesar de los tres intentos de emplazamiento de la demandada, ésta, sociedad anónima, no comparecía, debió, antes de acudir a la notificación edictal, indagar las razones de esa incomparecencia con la finalidad de excluir cualquier equivocación en el acto de comunicación. El simple examen de los autos (en los que figuraba una carta de la demandada con su correcto domicilio social) le indicaría el domicilio idóneo para practicar la pertinente citación y, en la hipótesis de que también ese intento de emplazamiento no prosperase, podía el órgano judicial tener conocimiento del domicilio social de la demandada interesando esa información del Registro Mercantil. Sólo cumplidas esas exigencias (STC 174/1990) procedía acudir a la vía edictal. </w:t>
      </w:r>
    </w:p>
    <w:p w:rsidR="006854DA" w:rsidRDefault="006854DA" w:rsidP="006854DA">
      <w:pPr>
        <w:pStyle w:val="TextoNormal"/>
      </w:pPr>
      <w:r>
        <w:t>Nada de esto hizo el Juzgado, lo que impidió a la recurrente en amparo comparecer y ejercer sus derechos de contradicción y defensa en el proceso judicial entablado. Esta omisión del órgano judicial fue la causante de la indefensión padecida por la entidad ahora quejosa, por lo que, a juicio del Ministerio Fiscal, procede conceder el amparo solicitado.</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La representación procesal de «Inmobiliaria Urbis, S.A.» presentó su escrito de alegaciones el día 25 de octubre de 1995. </w:t>
      </w:r>
    </w:p>
    <w:p w:rsidR="006854DA" w:rsidRDefault="006854DA" w:rsidP="006854DA">
      <w:pPr>
        <w:pStyle w:val="TextoNormal"/>
      </w:pPr>
      <w:r>
        <w:t xml:space="preserve">Aun admitiendo parcialmente el relato de hechos de la solicitante de amparo, se advierte, sin embargo, que la carta en su día remitida por aquélla, lo fue acusando recibo en la dirección que se facilitó al órgano judicial, con independencia de que en la carta se indicase otra distinta. Además esa era la dirección a la que se habían remitido anteriores escritos que fueron contestados por la demandante de amparo. Precisamente, al frustrarse el emplazamiento en la dirección inicial, se indicó al órgano judicial, como segundo domicilio, el que figuraba en el escrito de la compraventa cuya resolución constituía el objeto de la litis. Únicamente, cuando esta diligencia resultó también negativa se interesó el emplazamiento mediante edictos. No existió, pues, mala fe por parte de "Inmobiliaria Urbis, S.A.". De hecho, se intentó con anterioridad a la interposición de la demanda dar solución al problema mediante acto de conciliación que se celebró el día 3 de febrero de 1983. </w:t>
      </w:r>
    </w:p>
    <w:p w:rsidR="006854DA" w:rsidRDefault="006854DA" w:rsidP="006854DA">
      <w:pPr>
        <w:pStyle w:val="TextoNormal"/>
      </w:pPr>
      <w:r>
        <w:t>Ciertamente en la STC 33/1988 fue declarado -prosigue- que para emplazar por edictos han de agotarse todas aquellas otras modalidades que aseguren en mayor grado la recepción por el destinatario de la correspondiente cédula. Es lo que ocurrió en el presente caso. Fallido el emplazamiento en el domicilio conocido por la demandante se intentó nuevamente en el domicilio que figuraba en la escritura, de modo que únicamente agotadas todas las posibilidades de emplazamiento en los domicilios conocidos por la demandante el órgano judicial acordó acudir al emplazamiento edictal. Siendo ello así, no existió la indefensión denunciada por la sociedad quejosa por lo que procede desestimar su pretensión de amparo.</w:t>
      </w:r>
    </w:p>
    <w:p w:rsidR="006854DA" w:rsidRDefault="006854DA" w:rsidP="006854DA">
      <w:pPr>
        <w:pStyle w:val="TextoNormal"/>
      </w:pPr>
    </w:p>
    <w:p w:rsidR="006854DA" w:rsidRDefault="006854DA" w:rsidP="006854DA">
      <w:pPr>
        <w:pStyle w:val="TextoNormal"/>
      </w:pPr>
      <w:r w:rsidRPr="006854DA">
        <w:rPr>
          <w:rStyle w:val="NumeroAFNegritaCaracter"/>
        </w:rPr>
        <w:t>8</w:t>
      </w:r>
      <w:r>
        <w:t>. El día 26 de octubre de 1995 presentó su escrito de alegaciones la entidad solicitante de amparo. En él se interesa que se tengan por reproducidos los argumentos contenidos en la demanda y que, con arreglo a los mismos, se otorgue el amparo.</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19 de mayo de 1997 se acordó señalar el siguiente día 20 del mismo mes y año para la deliberación y votación de esta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presente recurso de amparo se dirige contra la Sentencia de 15 de septiembre de 1988, dictada por el Juzgado de Primera Instancia núm. 5 de Madrid, a la que se imputa una vulneración del derecho a la tutela judicial efectiva sin indefensión (art.  24.1 C.E.).</w:t>
      </w:r>
    </w:p>
    <w:p w:rsidR="006854DA" w:rsidRDefault="006854DA" w:rsidP="006854DA">
      <w:pPr>
        <w:pStyle w:val="TextoNormal"/>
      </w:pPr>
      <w:r>
        <w:t>Sostiene "Enseñanza y Cultura, S.A.", entidad solicitante del amparo, que el órgano judicial no agotó los medios a su alcance para proceder a su emplazamiento personal como demandada en el proceso judicial previo. Se acudió, ante el resultado negativo de los emplazamientos practicados en el domicilio señalado por la sociedad mercantil demandante, a su emplazamiento mediante edictos; no se tuvo en cuenta que constaba en los autos su domicilio social y que, en cualquier caso, éste era fácilmente identificable solicitando la pertinente información del Registro Mercantil. Con tal proceder, el órgano judicial le impidió indebidamente comparecer en el proceso y ejercer sus derechos de contradicción y defensa, con transgresión de su derecho a una tutela judicial efectiva sin indefensión.</w:t>
      </w:r>
    </w:p>
    <w:p w:rsidR="006854DA" w:rsidRDefault="006854DA" w:rsidP="006854DA">
      <w:pPr>
        <w:pStyle w:val="TextoNormal"/>
      </w:pPr>
      <w:r>
        <w:t>Por similares razones interesa el Ministerio Fiscal que se conceda el amparo solicitado. La representación procesal de «Inmobiliaria Urbis, S.A.», en cambio, se opone al otorgamiento del mismo ya que, como demandante en aquel proceso judicial, actuó de buena fe -alega- facilitando al órgano judicial el domicilio social de la demandada del que tenía conocimiento e interesando en un tercer intento de emplazamiento que éste se efectuase en el domicilio que figuraba en la escritura de la compraventa cuya resolución era objeto del litigio. Sólo ante el resultado negativo de estos actos de comunicación optó el órgano judicial por acudir al emplazamiento mediante edictos, por lo que no ha existido la indefensión denunciada por la peticionaria de amparo.</w:t>
      </w:r>
    </w:p>
    <w:p w:rsidR="006854DA" w:rsidRDefault="006854DA" w:rsidP="006854DA">
      <w:pPr>
        <w:pStyle w:val="TextoNormal"/>
      </w:pPr>
    </w:p>
    <w:p w:rsidR="006854DA" w:rsidRDefault="006854DA" w:rsidP="006854DA">
      <w:pPr>
        <w:pStyle w:val="TextoNormal"/>
      </w:pPr>
      <w:r w:rsidRPr="006854DA">
        <w:rPr>
          <w:rStyle w:val="NumeroAFNegritaCaracter"/>
        </w:rPr>
        <w:t>2</w:t>
      </w:r>
      <w:r>
        <w:t>. Así centrados los términos del debate, debemos recordar que, con arreglo a una reiterada doctrina de este Tribunal, el derecho a la tutela judicial efectiva (art. 24.1 C.E.)  comprende, o incluye en el mismo, el derecho a acceder al proceso y a los recursos legalmente establecidos, a fin de poder ser oído y ejercer la defensa de los derechos e intereses en litigio, lo que impone a los órganos judiciales un especial deber de diligencia en la realización de los actos de comunicación procesal tendente a asegurar, en la medida de lo posible, la recepción de los mismos por sus destinatarios, y previniendo el riesgo de una eventual condena inaudita parte (SSTC 36/1987, 316/1993 y 29/1997, entre otras muchas).</w:t>
      </w:r>
    </w:p>
    <w:p w:rsidR="006854DA" w:rsidRDefault="006854DA" w:rsidP="006854DA">
      <w:pPr>
        <w:pStyle w:val="TextoNormal"/>
      </w:pPr>
      <w:r>
        <w:t>Abundando en esta misma dirección, y al objeto de lograr la plena efectividad del derecho, este Tribunal Constitucional tiene establecido que los órganos judiciales han de procurar el emplazamiento personal de los demandados, siempre que sea factible, para evitar que nadie pueda resultar perjudicado por una decisión judicial recaída en un proceso en el que no se le dio la ocasión de comparecer para defenderse. Por ello, el emplazamiento hecho en edictos ha de entenderse como un remedio último, de carácter supletorio y excepcional, al que sólo cabe acudir cuando, desconocido el domicilio, el órgano judicial llegue a una convicción razonable sobre la imposible localización del demandado, una vez que la oficina judicial ha agotado los medios ordinarios a su alcance para averiguar su paradero (SSTC 157/1987, 242/1991, 193/1993 y 108/1994, entre otras muchas).</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w:t>
      </w:r>
      <w:r>
        <w:t>. En el asunto que estamos considerando, se ha visto que el Juzgado actuó sin la diligencia exigible para asegurar el efectivo emplazamiento personal de la ahora demandante de amparo. Fue infringido el derecho del destinatario que habría de ser parte en el proceso. Siendo ello así, la presente demanda de amparo ha de ser estimada.</w:t>
      </w:r>
    </w:p>
    <w:p w:rsidR="006854DA" w:rsidRDefault="006854DA" w:rsidP="006854DA">
      <w:pPr>
        <w:pStyle w:val="TextoNormal"/>
      </w:pPr>
      <w:r>
        <w:t>En efecto, fallidos los emplazamientos personales inicialmente intentados, le bastaba al órgano judicial con examinar los datos y la documentación obrante en los autos para tener conocimiento cierto sobre el domicilio social de la entonces demandada y ahora recurrente en amparo, pues éste figuraba en una carta que allí constaba. Además, siendo la demandada una sociedad mercantil, correspondía a la actora interesar su emplazamiento y a la propia oficina judicial llevarlo a cabo, en el domicilio social que figurase en el Registro Mercantil, tal como ha declarado este Tribunal en supuestos similares al presente.</w:t>
      </w:r>
    </w:p>
    <w:p w:rsidR="006854DA" w:rsidRDefault="006854DA" w:rsidP="006854DA">
      <w:pPr>
        <w:pStyle w:val="TextoNormal"/>
      </w:pPr>
      <w:r>
        <w:t>Así, en la STC 174/1994 se dijo que «...quien con ocasión de una relación contractual de compraventa mercantil, no consulta previamente el domicilio de la Entidad compradora que figura en el Registro Mercantil (...), no puede, sin más, alegar desconocer el paradero de la misma, ni el Juez conformarse con tal manifestación para seguidamente proceder al emplazamiento edictal» (fundamento jurídico 3º). En parecidos términos se pronunció este Tribunal en la STC 51/1994 (fundamento jurídico 4º) y en la STC 227/1994, en cuyo fundamento jurídico 4º vuelve a tomarse en consideración el hecho de que el órgano judicial no realizase actividad de comunicación alguna en relación con el domicilio que constaba en el Registro Mercantil para apreciar la vulneración del derecho fundamental a una tutela judicial efectiva sin indefensión.</w:t>
      </w:r>
    </w:p>
    <w:p w:rsidR="006854DA" w:rsidRDefault="006854DA" w:rsidP="006854DA">
      <w:pPr>
        <w:pStyle w:val="TextoNormal"/>
      </w:pPr>
      <w:r>
        <w:t>Si a todo ello añadimos que del examen de las presentes actuaciones no se desprende que la entidad solicitante de amparo actuase con negligencia o tuviese un conocimiento extraprocesal del litigio, sólo cabe concluir corroborando lo que ya adelantamos: que la actuación procesal del Juzgado, relativa al emplazamiento personal de la entonces entidad demandada no satisfizo las exigencias derivadas del derecho a la tutela judicial efectiva, causando la indefensión de la solicitante de amparo, cuya demanda ha de ser, por ello mismo, estimada.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a "Enseñanza y Cultura, S.A." y, en su virtud,</w:t>
      </w:r>
    </w:p>
    <w:p w:rsidR="006854DA" w:rsidRDefault="006854DA" w:rsidP="006854DA">
      <w:pPr>
        <w:pStyle w:val="TextoNormal"/>
      </w:pPr>
      <w:r>
        <w:t>1º. Reconocer su derecho a una tutela judicial efectiva sin indefensión.</w:t>
      </w:r>
    </w:p>
    <w:p w:rsidR="006854DA" w:rsidRDefault="006854DA" w:rsidP="006854DA">
      <w:pPr>
        <w:pStyle w:val="TextoNormal"/>
      </w:pPr>
      <w:r>
        <w:t>2º. Declarar la nulidad de la Sentencia de 15 de septiembre de 1988, dictada por el Juzgado de Primera Instancia núm. 5 de Madrid.</w:t>
      </w:r>
    </w:p>
    <w:p w:rsidR="006854DA" w:rsidRDefault="006854DA" w:rsidP="006854DA">
      <w:pPr>
        <w:pStyle w:val="TextoNormal"/>
      </w:pPr>
      <w:r>
        <w:t>3º. Restablecer a la demandante de amparo en la integridad del derecho fundamental vulnerado, retrotrayendo las actuaciones judiciales al momento inmediatamente anterior a aquél en el que debió ser debida y personalmente emplazada.</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veinte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7" w:name="SENTENCIA_1997_101"/>
      <w:r>
        <w:lastRenderedPageBreak/>
        <w:t>SENTENCIA 101/1997, de 20 de mayo de 1997</w:t>
      </w:r>
    </w:p>
    <w:bookmarkEnd w:id="17"/>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ECLI:ES:TC:1997:101</w:t>
      </w:r>
    </w:p>
    <w:p w:rsidR="006854DA" w:rsidRDefault="006854DA" w:rsidP="006854DA">
      <w:pPr>
        <w:pStyle w:val="SntesisDescriptiva"/>
      </w:pPr>
    </w:p>
    <w:p w:rsidR="006854DA" w:rsidRDefault="006854DA" w:rsidP="006854DA">
      <w:pPr>
        <w:pStyle w:val="SntesisDescriptiva"/>
      </w:pPr>
      <w:r>
        <w:t>Recurso de amparo 4.342/1995. Contra Sentencia de la Audiencia Provincial de Burgos recaída en juicio de cognición seguido inicialmente ante el Juzgado de Primera Instancia núm. 1 de Burgos.</w:t>
      </w:r>
    </w:p>
    <w:p w:rsidR="006854DA" w:rsidRDefault="006854DA" w:rsidP="006854DA">
      <w:pPr>
        <w:pStyle w:val="SntesisDescriptiva"/>
      </w:pPr>
    </w:p>
    <w:p w:rsidR="006854DA" w:rsidRDefault="006854DA" w:rsidP="006854DA">
      <w:pPr>
        <w:pStyle w:val="SntesisAnaltica"/>
      </w:pPr>
      <w:r>
        <w:t>Vulneración del derecho a la tutela judicial efectiva: resolución dictada "inaudita parte".</w:t>
      </w:r>
    </w:p>
    <w:p w:rsidR="006854DA" w:rsidRDefault="006854DA" w:rsidP="006854DA">
      <w:pPr>
        <w:pStyle w:val="SntesisAnaltica"/>
      </w:pPr>
    </w:p>
    <w:p w:rsidR="006854DA" w:rsidRDefault="006854DA" w:rsidP="006854DA">
      <w:pPr>
        <w:pStyle w:val="Extracto"/>
      </w:pPr>
      <w:r>
        <w:t>1.</w:t>
      </w:r>
      <w:r>
        <w:tab/>
        <w:t>En el presente caso, debe afirmarse que el Juez de instancia, realizada la ponderación de los requisitos legales, y de las circunstancias concurrentes, resolvió aceptar como suficiente la representación procesal de los ahora recurrentes y conferir a éstos la cualidad de «parte procesal», no haciendo uso, porque desde luego a su juicio no hacía falta, del trámite de subsanación previsto en el art. 63 del Decreto de 21 de noviembre de 1952, como tampoco lo consideró necesario la propia parte demandante en dicho procedimiento judicial. Si dicho defecto procesal no existía en la instancia, menos aún en la apelación, cuando los apelantes por su propia voluntad habían otorgado y aportado voluntariamente nueva escritura pública de representación [F.J. 5].</w:t>
      </w:r>
    </w:p>
    <w:p w:rsidR="006854DA" w:rsidRDefault="006854DA" w:rsidP="006854DA">
      <w:pPr>
        <w:pStyle w:val="Extracto"/>
      </w:pPr>
    </w:p>
    <w:p w:rsidR="006854DA" w:rsidRDefault="006854DA" w:rsidP="006854DA">
      <w:pPr>
        <w:pStyle w:val="Extracto"/>
      </w:pPr>
      <w:r>
        <w:t>2.</w:t>
      </w:r>
      <w:r>
        <w:tab/>
        <w:t>No obstante lo expuesto, la Audiencia Provincial declara en la Sentencia impugnada la nulidad de las actuaciones practicadas en el procedimiento desde la providencia en la que el Juez de instancia se pronunció sobre la admisión de los recurrentes al procedimiento. Debe afirmarse, pues, en este punto, que la Sala en su Sentencia ha procedido de un modo no conforme al derecho a la tutela judicial efectiva, toda vez que la misma ha imposibilitado que los demandados pudieran efectuar en tales autos, en los términos establecidos en la ley, las alegaciones que tuvieran por convenientes mediante la contestación a la demanda, y en su caso, la formulación de la correspondiente demanda reconvencional, así como del ejercicio de la actividad probatoria necesaria e imprescindible para la adecuada defensa de sus derechos e intereses legítimos, habiéndose producido en definitiva, una restricción innecesaria de los derechos constitucionales de acceso a la jurisdicción y de la defensa, ya que la Audiencia Provincial no ha tomado en consideración el ejercicio, aunque sea en sentido negativo, que había hecho el Juez de instancia del contenido específico de los arts. 34 y 63, «in fine», del Decreto de 21 de noviembre de 1952, que le permiten la corrección de los defectos de forma desde su dimensión legal y constitucional [F.J. 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4.342/95, promovido por don Gregorio Gutiérrez García, don Justino Gutiérrez Núñez, y doña María Amor García Iglesias, representados por el Procurador de los Tribunales don Celso de la Cruz Ortega,y dirigidos por el Letrado don José Felix de Echevarrieta Iñigo interpuesto contra la Sentencia de la Sección Segunda de la Audiencia Provincial de Burgos, de fecha 21 de noviembre de 1995, recaída en el procedimiento de juicio de cognición núm. 252/95, seguido inicialmente ante el Juzgado de Primera Instancia núm. 1 de Burgos. Han intervenido doña María Raquel Mata Avendaño y doña María Teresa de Jesús Mata Avendaño, representadas por el Procurador de los Tribunales don Aquiles Ullrich Dotti,quien fue sustituido por la Procuradora de los Tribunales doña María Jesús Fernandez Salagre y, asistidas del Letrado don Alejandro Martínez Elipe.Ha sido parte el Ministerio Fiscal. Ha sido ponente el Magistrado don Enrique Ruiz Vadillo,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presentado en el Juzgado de Guardia el día 19 de diciembre de 1995 y registrado en este Tribunal el día siguiente, don Celso de la Cruz Ortega, Procurador de los Tribunales y de don Gregorio Gutiérrez García, don Justino Gutiérrez Núñez y doña María Amor García Iglesias, interpone recurso de amparo contra la Sentencia de la Sección Segunda de la Audiencia Provincial de Burgos, de 21 de noviembre de 1995, por la que se declara la nulidad de todo lo actuado en autos de juicio de cognición núm. 252/95, tramitado ante el Juzgado de Primera Instancia núm. 1 de Burgos.</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sucintamente expuestos, en los que se fundamenta la demanda son, los que siguen: </w:t>
      </w:r>
    </w:p>
    <w:p w:rsidR="006854DA" w:rsidRDefault="006854DA" w:rsidP="006854DA">
      <w:pPr>
        <w:pStyle w:val="TextoNormal"/>
      </w:pPr>
      <w:r>
        <w:t xml:space="preserve">A) Los recurrentes don Justino Gutiérrez Núñez y doña María Amor García Iglesias fueron demandados en autos de juicio de cognición núm. 252/95 tramitados en el Juzgado de Primera Instancia núm. 1 de Burgos. En los autos compareció el Procurador de los Tribunales Sr. Echevarrieta, en nombre y representación de don Gregorio Gutiérrez García, hijo de los anteriores, haciéndose constar que éste actuaba en nombre y representación de sus padres, tal y como quedaba acreditado en la correspondiente escritura de poder. </w:t>
      </w:r>
    </w:p>
    <w:p w:rsidR="006854DA" w:rsidRDefault="006854DA" w:rsidP="006854DA">
      <w:pPr>
        <w:pStyle w:val="TextoNormal"/>
      </w:pPr>
      <w:r>
        <w:t xml:space="preserve">B) El Juzgado de Primera Instancia, mediante providencia de 14 de julio de 1995 tuvo por comparecido y parte al Procurador Sr. Echevarrieta «en nombre representación de don Gregorio Gutiérrez García, quien a su vez actúa en nombre y representación de sus padres porqué, en virtud de la escritura de poder que acompaña». Asimismo tuvo por contestada la demanda. </w:t>
      </w:r>
    </w:p>
    <w:p w:rsidR="006854DA" w:rsidRDefault="006854DA" w:rsidP="006854DA">
      <w:pPr>
        <w:pStyle w:val="TextoNormal"/>
      </w:pPr>
      <w:r>
        <w:t xml:space="preserve">C) El Juzgado dictó Sentencia el día 19 de septiembre de 1995 por la que se estimaba la práctica totalidad de las pretensión de los actores civiles, condenando además a los ahora recurrentes al pago de las costas. </w:t>
      </w:r>
    </w:p>
    <w:p w:rsidR="006854DA" w:rsidRDefault="006854DA" w:rsidP="006854DA">
      <w:pPr>
        <w:pStyle w:val="TextoNormal"/>
      </w:pPr>
      <w:r>
        <w:lastRenderedPageBreak/>
        <w:t>D) Los demandantes de amparo interpusieron recurso de apelación (rollo núm. 481/95) ante la Audiencia Provincial de Burgos, cuya Sección Segunda dictó Sentencia el 21 de noviembre de 1995 por la que se declaró la nulidad de todo lo actuado en la instancia desde el 14 de julio de 1995. A juicio de la Sala, «en el presente supuesto, sin que conste en modo alguno que los demandados estén legalmente incapacitados y que ostente su representación legal alguno de sus hijos, y sin que conste, evidentemente, que en el Partido Judicial de Burgos no existen Procuradores ni que ninguno de ellos acepte la representación de los demandados, ha comparecido el Procurador de los Tribunales Sr. Echevarrieta en virtud de un poder general para pleitos, otorgado por un hijo de aquéllos, no demandado, quien actuaba en virtud de poder otorgado a su favor por sus padres y en el que ni siquiera se le autorizaba a otorgar poderes a Procuradores, por lo que si le estaba prohibido al hijo comparecer en juicio en representación de sus padres, con más razón le está prohibido al Procurador designado por aquél sin poder suficiente para ello» (fundamento jurídico 1º). En consecuencia, se concluye que no debió tenerse por comparecido y parte al meritado Procurador ni tampoco por contestada la demanda. Se ordena, por tanto, la retroacción de lo actuado y que se dicte nueva providencia en la que se declare a los demandados en rebeldía.</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Los solicitantes interpusieron recurso de amparo contra la Sentencia la Sección Segunda de la Audiencia Provincial de Burgos de noviembre de 1995, interesando su nulidad. Solicitan la suspensión de la ejecución de la resolución judicial impugnada. </w:t>
      </w:r>
    </w:p>
    <w:p w:rsidR="006854DA" w:rsidRDefault="006854DA" w:rsidP="006854DA">
      <w:pPr>
        <w:pStyle w:val="TextoNormal"/>
      </w:pPr>
      <w:r>
        <w:t>Entienden los demandantes que la resolución judicial impugnada ha incurrido en infracción del art. 24.1 de la Constitución, pues, de aceptarse que la actuación de los demandados en la vía civil no fue procesalmente adecuada, debe, cuando menos, permitirse la subsanación del defecto apreciado en apelación.</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15 de octubre de 1996, la Sección Segunda de este Tribunal acordó admitir a trámite la demanda de amparo así como a tenor de lo dispuesto en el art. 51 LOTC, requerir a la Audiencia Provincial de Burgos y al Juzgado de Primera Instancia núm. 1 de dicha Ciudad, para que en el plazo de diez días remitiera testimonio del rollo de apelación 481/95, y de los autos de juicio de cognición 252/95, interesando al mismo tiempo, el emplazamiento de cuantas personas fueron parte en dicha causa judicial, con excepción de los recurrentes en amparo, para que en el plazo máximo e improrrogable de diez días, comparecieran en el presente procedimiento constitucional, si a su derecho conviniera. Igualmente se acordó formar pieza separada para la tramitación del incidente de suspensión y, de conformidad con lo dispuesto en el art.56 LOTC, conceder un plazo de tres días a los demandantes de amparo y al Ministerio Fiscal para que alegaran lo que estimasen pertinente sobre la suspensión interesada.</w:t>
      </w:r>
    </w:p>
    <w:p w:rsidR="006854DA" w:rsidRDefault="006854DA" w:rsidP="006854DA">
      <w:pPr>
        <w:pStyle w:val="TextoNormal"/>
      </w:pPr>
    </w:p>
    <w:p w:rsidR="006854DA" w:rsidRDefault="006854DA" w:rsidP="006854DA">
      <w:pPr>
        <w:pStyle w:val="TextoNormal"/>
      </w:pPr>
      <w:r w:rsidRPr="006854DA">
        <w:rPr>
          <w:rStyle w:val="NumeroAFNegritaCaracter"/>
        </w:rPr>
        <w:t>5</w:t>
      </w:r>
      <w:r>
        <w:t>. Por medio de escrito presentado en el Juzgado de Guardia el día 22 de octubre de 1996 y registrado en este Tribunal el día siguiente, la representación procesal de los demandantes de amparo adjunto testimonio del Auto del Juzgado de Primera Instancia núm. 1 de Burgos, de fecha 29 de enero de 1996, por el que se acordaba la suspensión del procedimiento a quo en tanto se resuelve el recurso de amparo núm. 4.342/95. El escrito concluye con la solicitud de que, atendido lo anterior, se declare innecesario el pronunciamiento sobre la suspensión interesada en su momento.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6</w:t>
      </w:r>
      <w:r>
        <w:t>. El Ministerio Fiscal registró su escrito de alegaciones el 29 de octubre de 1996. En él se sostiene que no procede la suspensión solicitada por cuanto ni los actores especifican los perjuicios que se seguirían de la ejecución de la Sentencia impugnada ni es posible inferirlos de los términos de la propia demanda de amparo.</w:t>
      </w:r>
    </w:p>
    <w:p w:rsidR="006854DA" w:rsidRDefault="006854DA" w:rsidP="006854DA">
      <w:pPr>
        <w:pStyle w:val="TextoNormal"/>
      </w:pPr>
    </w:p>
    <w:p w:rsidR="006854DA" w:rsidRDefault="006854DA" w:rsidP="006854DA">
      <w:pPr>
        <w:pStyle w:val="TextoNormal"/>
      </w:pPr>
      <w:r w:rsidRPr="006854DA">
        <w:rPr>
          <w:rStyle w:val="NumeroAFNegritaCaracter"/>
        </w:rPr>
        <w:t>7</w:t>
      </w:r>
      <w:r>
        <w:t>. Por providencias de 9 de diciembre de 1996 y de 27 de enero de 1997, se tuvo por personado a don Aquiles Ullrich Dotti, Procurador de los Tribunales, en nombre y representación de doña María Raquel Mata Avendaño, y doña Teresa de Jesús Mata Avendaño, así como por recibidos los testimonios de las actuaciones solicitadas, y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así como a don Aquiles Ullrich Dotti, Procurador de los Tribunales, en nombre y representación de doña María Raquel Mata Avendaño, y doña Teresa de Jesús Mata Avendaño para que dentro de dicho plazo pudieran presentar las alegaciones que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Por el Ministerio Fiscal, mediante escrito de 19 de febrero de 1997, se efectuaron las siguientes manifestaciones: </w:t>
      </w:r>
    </w:p>
    <w:p w:rsidR="006854DA" w:rsidRDefault="006854DA" w:rsidP="006854DA">
      <w:pPr>
        <w:pStyle w:val="TextoNormal"/>
      </w:pPr>
      <w:r>
        <w:t xml:space="preserve">A) Los actores denuncian que la Sentencia que recurren vulnera el art. 24.1 C.E. porque les priva del ejercicio legítimo de su derecho de defensa al aplicar erróneamente la normativa procesal y en consecuencia no proveer a la subsanación de los defectos de representación pudiendo hacerlo por permitirlo la legislación aplicable. </w:t>
      </w:r>
    </w:p>
    <w:p w:rsidR="006854DA" w:rsidRDefault="006854DA" w:rsidP="006854DA">
      <w:pPr>
        <w:pStyle w:val="TextoNormal"/>
      </w:pPr>
      <w:r>
        <w:t xml:space="preserve">B) La doctrina constitucional declara que la interpretación de las causas de inadmisión previstas en las leyes procesales tiene que hacerse de forma restrictiva favoreciendo por lo tanto el ejercicio del derecho fundamental a una tutela judicial efectiva, cuyo contenido normal es obtener una resolución sobre el fondo y que la facultad de control concedido a los Tribunales sobre los requisitos de admisibilidad de los recursos y la interpretación de las normas procesales no ampara ni justifica interpretaciones formalistas o basadas en un rigorismo deproporcionado contrario al libre acceso a los recursos (STC 119/1994). </w:t>
      </w:r>
    </w:p>
    <w:p w:rsidR="006854DA" w:rsidRDefault="006854DA" w:rsidP="006854DA">
      <w:pPr>
        <w:pStyle w:val="TextoNormal"/>
      </w:pPr>
      <w:r>
        <w:t xml:space="preserve">C) La aplicación de esta doctrina obliga a examinar si la Sentencia de la Audiencia impide la posible subsanación de los defectos de representación de los demandados, hoy recurrentes que permite y obliga la normativa procesal reguladora del proceso de cognición. </w:t>
      </w:r>
    </w:p>
    <w:p w:rsidR="006854DA" w:rsidRDefault="006854DA" w:rsidP="006854DA">
      <w:pPr>
        <w:pStyle w:val="TextoNormal"/>
      </w:pPr>
      <w:r>
        <w:t xml:space="preserve">La Sentencia de la Audiencia declara la nulidad de todo lo actuado desde la formalización del plazo de nueve días concedido a los demandados para contestar, y por ello, ordena que el Juzgado los declare rebeldes y continúe el proceso, lo que supone la imposibilidad de contestar a la demanda y formular reconvención mediante la alegación de los hechos que los demandados oponen a los alegados por el demandante, así como el derecho aplicable, y esta limitación supone una restricción del derecho constitucional de defensa al no poder poner de manifiesto los demandados la totalidad de sus alegaciones. </w:t>
      </w:r>
    </w:p>
    <w:p w:rsidR="006854DA" w:rsidRDefault="006854DA" w:rsidP="006854DA">
      <w:pPr>
        <w:pStyle w:val="TextoNormal"/>
      </w:pPr>
      <w:r>
        <w:t xml:space="preserve">D) Si el defecto que fundamenta la declaración judicial de nulidad no fuere subsanable, no existiría la violación constitucional pero en este supuesto concreto no es posible llegar a esa conclusión, porque la norma procesal reguladora del juicio de cognición establece claramente (art. 34 del Decreto de 21 de noviembre de 1952) que " la obligación del Juez de examinar si las partes tienen capacidad necesaria para comparecer en juicio o ser emplazadas válidamente y en caso negativo no admitirá la demanda hasta que queden subsanados dichos defectos dentro del plazo máximo del tercero día ", principio que corrobora el art. 63 párrafo 3º del Decreto acabado de citar que establece que en cualquier momento </w:t>
      </w:r>
      <w:r>
        <w:lastRenderedPageBreak/>
        <w:t xml:space="preserve">pueden ser subsanados de oficio por el Juez en el plazo de tres días los defectos de capacidad procesal, y estos dos preceptos concuerdan con los principios constitucionales de favorecimiento del acceso al proceso. </w:t>
      </w:r>
    </w:p>
    <w:p w:rsidR="006854DA" w:rsidRDefault="006854DA" w:rsidP="006854DA">
      <w:pPr>
        <w:pStyle w:val="TextoNormal"/>
      </w:pPr>
      <w:r>
        <w:t xml:space="preserve">E) La Audiencia Provincial en la Sentencia que declara la nulidad de todas las actuaciones y establece la declaración de rebeldía de los demandados olvida estos preceptos, y su debida interpretación desde la dimensión constitucional e impide la subsanación del defecto de capacidad procesal y representación de los actores que permitiría a estos acceder al proceso mediante la contestación de la demanda y la reconvención en su caso, estableciendo de esa forma el supuesto fáctico y la normativa legal aplicable, es decir la pretensión que deducirían en el proceso. </w:t>
      </w:r>
    </w:p>
    <w:p w:rsidR="006854DA" w:rsidRDefault="006854DA" w:rsidP="006854DA">
      <w:pPr>
        <w:pStyle w:val="TextoNormal"/>
      </w:pPr>
      <w:r>
        <w:t xml:space="preserve">La Sentencia de la Audiencia Provincial impide y limita la defensa de los recurrentes en amparo sin justificación razonada y fundada en derecho con olvido de las posibilidades de subsanación establecidas en la ley, por lo que constituye una interpretación formalista y excesivamente rigorista de un requisito relativo a la representación en cuanto al acceso al proceso, interpretación que impide su subsanación y en consecuencia la imposibilidad de hacer las alegaciones atinentes a su derecho que definen el debate procesal lo que constituye la violación constitucional denunciada. </w:t>
      </w:r>
    </w:p>
    <w:p w:rsidR="006854DA" w:rsidRDefault="006854DA" w:rsidP="006854DA">
      <w:pPr>
        <w:pStyle w:val="TextoNormal"/>
      </w:pPr>
      <w:r>
        <w:t>Por todo ello el Ministerio Fiscal interesa del Tribunal Constitucional dicte, de acuerdo con los arts. 80 y 86 de la LOTC y 372 de la L.E.C., Sentencia estimando el recurso de amparo por vulnerar la resolución recurrida el derecho fundamental a la tutela judicial efectiva sin indefensión consagrado en el art. 24.1 C.E.</w:t>
      </w:r>
    </w:p>
    <w:p w:rsidR="006854DA" w:rsidRDefault="006854DA" w:rsidP="006854DA">
      <w:pPr>
        <w:pStyle w:val="TextoNormal"/>
      </w:pPr>
    </w:p>
    <w:p w:rsidR="006854DA" w:rsidRDefault="006854DA" w:rsidP="006854DA">
      <w:pPr>
        <w:pStyle w:val="TextoNormal"/>
      </w:pPr>
      <w:r w:rsidRPr="006854DA">
        <w:rPr>
          <w:rStyle w:val="NumeroAFNegritaCaracter"/>
        </w:rPr>
        <w:t>9</w:t>
      </w:r>
      <w:r>
        <w:t>. La representación procesal del recurrente en amparo por escrito registrado el día 13 de enero de 1997, se ratificó en las manifestaciones efectuadas con anterioridad en el presente recurso de amparo, reiterando su contenido.</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Por escrito de 13 de enero de 1997, don Aquiles Ullrich Dotti, Procurador de los Tribunales, en nombre y representación de doña María Raquel Mata Avendaño, y doña Teresa de Jesús Mata Avendaño realizó las siguientes alegaciones: </w:t>
      </w:r>
    </w:p>
    <w:p w:rsidR="006854DA" w:rsidRDefault="006854DA" w:rsidP="006854DA">
      <w:pPr>
        <w:pStyle w:val="TextoNormal"/>
      </w:pPr>
      <w:r>
        <w:t xml:space="preserve">A) Se cuestiona la comparecencia de don Gregorio Gutiérrez García como recurrente en amparo, pues no es parte en el proceso judicial del que dimana este recurso y por lo tanto no está legitimado para la interposición del mismo, de conformidad con el art.46.1 b) LOTC. </w:t>
      </w:r>
    </w:p>
    <w:p w:rsidR="006854DA" w:rsidRDefault="006854DA" w:rsidP="006854DA">
      <w:pPr>
        <w:pStyle w:val="TextoNormal"/>
      </w:pPr>
      <w:r>
        <w:t xml:space="preserve">B) El recurso de amparo se plantea por los recurrentes al entender que se ha producido indefensión con la Sentencia dictada por la Audiencia Provincial de Burgos. </w:t>
      </w:r>
    </w:p>
    <w:p w:rsidR="006854DA" w:rsidRDefault="006854DA" w:rsidP="006854DA">
      <w:pPr>
        <w:pStyle w:val="TextoNormal"/>
      </w:pPr>
      <w:r>
        <w:t xml:space="preserve">Dicha indefensión se produce, según los recurrentes, en que no se les tiene por comparecidos ni por contestada a la demanda, habiéndoseles declarado en rebeldía. Se considera que dicha resolución judicial es totalmente ajustada a Derecho y no les ha producido indefensión. Además, ello implica que lo que pretenden los recurrentes en amparo, es disfrazar de indefensión lo que es un evidente error de los mismos, cuyas consecuencias deben de soportar. </w:t>
      </w:r>
    </w:p>
    <w:p w:rsidR="006854DA" w:rsidRDefault="006854DA" w:rsidP="006854DA">
      <w:pPr>
        <w:pStyle w:val="TextoNormal"/>
      </w:pPr>
      <w:r>
        <w:t xml:space="preserve">C) Quien comparece en el pleito es un tercero ajeno al procedimiento, con un mero poder de representación, y sin capacidad para otorgar poder para pleitos a favor de Procurador de los Tribunales. Por lo tanto, es claro que ni se le puede tener por parte procesal, ni por representante de los poderdantes, en virtud del art.27 del Decreto de 21 de noviembre de 1952 que regula el juicio de cognición, ya que al no ser dicho apoderado ni Procurador ni Letrado, siendo un hecho cierto por otra parte, que en la Ciudad de Burgos, sede del </w:t>
      </w:r>
      <w:r>
        <w:lastRenderedPageBreak/>
        <w:t xml:space="preserve">Tribunal Superior de Justicia de Castilla y León no existe precisamente carencia de Procuradores de los Tribunales. </w:t>
      </w:r>
    </w:p>
    <w:p w:rsidR="006854DA" w:rsidRDefault="006854DA" w:rsidP="006854DA">
      <w:pPr>
        <w:pStyle w:val="TextoNormal"/>
      </w:pPr>
      <w:r>
        <w:t xml:space="preserve">La parte recurrente entiende que el Procurador actúa en nombre de los demandados. Esta pretensión es claramente insostenible pues nunca podrá un Procurador actuar en representación de alguien que no le haya otorgado dicho apoderamiento. </w:t>
      </w:r>
    </w:p>
    <w:p w:rsidR="006854DA" w:rsidRDefault="006854DA" w:rsidP="006854DA">
      <w:pPr>
        <w:pStyle w:val="TextoNormal"/>
      </w:pPr>
      <w:r>
        <w:t xml:space="preserve">D) Los recurrentes alegan como vía alternativa la posibilidad de subsanación de determinados defectos. Tal hecho es también inviable. </w:t>
      </w:r>
    </w:p>
    <w:p w:rsidR="006854DA" w:rsidRDefault="006854DA" w:rsidP="006854DA">
      <w:pPr>
        <w:pStyle w:val="TextoNormal"/>
      </w:pPr>
      <w:r>
        <w:t xml:space="preserve">No existe el defecto de capacidad procesal apuntado que pueda ser subsanado. La capacidad procesal, según el art. 2 L.E.C. es la condición de estar en pleno ejercicio de sus derechos civiles para comparecer en juicio, y en el supuesto que nos ocupa ningún defecto de esta entidad se puede predicar de los demandados que pueda ser objeto de subsanación. </w:t>
      </w:r>
    </w:p>
    <w:p w:rsidR="006854DA" w:rsidRDefault="006854DA" w:rsidP="006854DA">
      <w:pPr>
        <w:pStyle w:val="TextoNormal"/>
      </w:pPr>
      <w:r>
        <w:t xml:space="preserve">Tampoco existe defecto de representación subsanable, pues no olvidemos que lo que ocurre en el presente caso es la personación de un Procurador de los Tribunales al que no le une absolutamente ningún vínculo con los demandados. </w:t>
      </w:r>
    </w:p>
    <w:p w:rsidR="006854DA" w:rsidRDefault="006854DA" w:rsidP="006854DA">
      <w:pPr>
        <w:pStyle w:val="TextoNormal"/>
      </w:pPr>
      <w:r>
        <w:t>E) Se reitera que nos encontramos ante un manifiesto error de los demandados, por otro lado insubsanable, siendo ajustadas a Derecho las consecuencias de tenerles por rebeldes al no haber comparecido en tiempo y forma. La declaración de rebeldía es procesalmente correcta, a tenor del art.43 del Decreto de 21 de noviembre de 1952 y no existe de ningún modo indefensión.</w:t>
      </w:r>
    </w:p>
    <w:p w:rsidR="006854DA" w:rsidRDefault="006854DA" w:rsidP="006854DA">
      <w:pPr>
        <w:pStyle w:val="TextoNormal"/>
      </w:pPr>
    </w:p>
    <w:p w:rsidR="006854DA" w:rsidRDefault="006854DA" w:rsidP="006854DA">
      <w:pPr>
        <w:pStyle w:val="TextoNormal"/>
      </w:pPr>
      <w:r w:rsidRPr="006854DA">
        <w:rPr>
          <w:rStyle w:val="NumeroAFNegritaCaracter"/>
        </w:rPr>
        <w:t>11</w:t>
      </w:r>
      <w:r>
        <w:t>. Por providencia de 19 de mayo de 1997, se señaló para la deliberación y votación de la presente Sentencia el día 20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Tal como se evidencia del examen de la demanda iniciadora de las presentes actuaciones, los demandantes denuncian que la Sentencia dictada por la Audiencia Provincial de Burgos de 21 de noviembre de 1995, que es impugnada en este recurso de amparo constitucional, lesiona su derecho a la tutela judicial efectiva (art.24.1 C.E.), ya que les priva del ejercicio legítimo de su derecho de defensa al interpretar y aplicar erróneamente la normativa procesal, y la doctrina elaborada por este Tribunal al respecto, y en consecuencia, no proceder a proveer la subsanación de los defectos de representación constatados pudiendo hacerlo por permitirlo la legislación aplicable.</w:t>
      </w:r>
    </w:p>
    <w:p w:rsidR="006854DA" w:rsidRDefault="006854DA" w:rsidP="006854DA">
      <w:pPr>
        <w:pStyle w:val="TextoNormal"/>
      </w:pPr>
      <w:r>
        <w:t>Respecto de la alegación de los actores en el pleito del que trae causa este amparo en relación a que don Gregorio Gutiérrez al no ser parte en aquél, no está legitimado para su interposición hay que señalar que, siendo cierto que el mismo no figura como apelante no lo es menos que fue parte demandada en la instancia y que en tal circunstancia entró en el círculo de los afectados por el proceso de acuerdo con el art.  46.1ºb) LOTC.</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Para determinar si se ha respetado el derecho invocado conviene recordar de forma resumida cuál es el contenido dado por este Tribunal en reiterada doctrina a la tutela judicial efectiva consagrada por el art. 24.1 C.E en relación con el tema aquí debatido.  Este precepto supone, como regla general, que cualquier persona que acuda ante los órganos judiciales debe obtener una respuesta motivada y fundada en Derecho respecto a las pretensiones planteadas ante los mismos.  No obstante, este derecho no es absoluto ni condicionado, sino que debe someterse al cumplimiento de los requisitos procesales que legalmente se impongan. Ello supone que la tutela judicial efectiva se ve también satisfecha </w:t>
      </w:r>
      <w:r>
        <w:lastRenderedPageBreak/>
        <w:t>cuando la respuesta obtenida consiste en la negativa a entrar en la cuestión de fondo planteada, siempre que esta negativa se encuentre justificada de manera motivada y razonable en la falta de cumplimiento de los requisitos legalmente exigidos para acceder a las distintas acciones y recursos previstos por el ordenamiento procesal (SSTC 37/1982, 19/1983, 68/1983, 93/1984 y 62/1989, entre otras muchas).</w:t>
      </w:r>
    </w:p>
    <w:p w:rsidR="006854DA" w:rsidRDefault="006854DA" w:rsidP="006854DA">
      <w:pPr>
        <w:pStyle w:val="TextoNormal"/>
      </w:pPr>
      <w:r>
        <w:t>Al mismo tiempo también se ha declarado que aunque el legislador goza de un amplio margen para la regulación de tales requisitos, como los mismos condicionan el ejercicio del derecho fundamental a la tutela judicial efectiva, no pueden ser fijados arbitrariamente, sino que deben responder a la naturaleza del proceso y a las finalidades que justifiquen su exigencia y que «por la misma razón las normas que los contienen han de ser interpretadas teniendo siempre presente el fin pretendido al establecerlos, evitando que se conviertan en meros obstáculos procesales» (SSTC 46/1989 y 62/1989, entre otras). Igualmente ha dicho que la facultad de control atribuida a los órganos judiciales sobre los requisitos de admisibilidad de los recursos y la interpretación de las normas procesales, no ampara ni justifica interpretaciones formalistas o basadas en un rigorismo desproporcionado, contrario al libre acceso a los recursos (SSTC 190/1990 y 32/1991). Como puso de relieve la STC 37/1995 en su fundamento jurídico 5º, en el acceso a la justicia como elemento esencial del contenido de la tutela judicial efectiva, funciona con toda intensidad el principio pro actione que sin embargo ha de ser matizado cuando se trata de los siguientes grados procesales que eventualmente pueden configurarse. El derecho a poder dirigirse a un Juez en búsqueda de protección para hacer valer el derecho de cada quien, tiene naturaleza constitucional que nace directamente de la propia Ley suprema.</w:t>
      </w:r>
    </w:p>
    <w:p w:rsidR="006854DA" w:rsidRDefault="006854DA" w:rsidP="006854DA">
      <w:pPr>
        <w:pStyle w:val="TextoNormal"/>
      </w:pPr>
      <w:r>
        <w:t>Por otra parte, también se ha declarado de manera reiterada que la interpretación de los requisitos procesales legalmente exigidos cae, por regla general, en el terreno de la legalidad ordinaria y, en consecuencia, la interpretación de los mismos se enmarca, en principio, en las funciones de los órganos judiciales que han de aplicar dicha legalidad. A este Tribunal no le corresponde corregir la aplicación llevada a cabo por los Tribunales, salvo que sea inmotivada o arbitraria.</w:t>
      </w:r>
    </w:p>
    <w:p w:rsidR="006854DA" w:rsidRDefault="006854DA" w:rsidP="006854DA">
      <w:pPr>
        <w:pStyle w:val="TextoNormal"/>
      </w:pPr>
    </w:p>
    <w:p w:rsidR="006854DA" w:rsidRDefault="006854DA" w:rsidP="006854DA">
      <w:pPr>
        <w:pStyle w:val="TextoNormal"/>
      </w:pPr>
      <w:r w:rsidRPr="006854DA">
        <w:rPr>
          <w:rStyle w:val="NumeroAFNegritaCaracter"/>
        </w:rPr>
        <w:t>3</w:t>
      </w:r>
      <w:r>
        <w:t>. A la vista de la anterior doctrina, puede ya abordarse el análisis concreto de la cuestión aquí debatida. Se trata, en definitiva, de determinar si el órgano judicial ad quem, al interpretar y aplicar las normas procesales, ha procedido de un modo constitucionalmente reprochable, con un rigorismo formalista, enervante, desproporcionado y no favorable a la efectividad de los derechos fundamentales, vulnerador, por tanto, del derecho a la tutela efectiva de los Jueces y Tribunales, sin que pueda producirse indefensión.</w:t>
      </w:r>
    </w:p>
    <w:p w:rsidR="006854DA" w:rsidRDefault="006854DA" w:rsidP="006854DA">
      <w:pPr>
        <w:pStyle w:val="TextoNormal"/>
      </w:pPr>
      <w:r>
        <w:t xml:space="preserve">Para el examen de la resolución impugnada se debe realizar, en primer término, una serie de consideraciones sobre los elementos fácticos a los efectos que aquí interesan.  Debe partirse del hecho acreditado que tanto don Justino Gutiérrez Núñez, como doña María Amor García Iglesias otorgaron escritura pública de mandato a favor de su hijo don Gregorio Gutiérrez García el día 27 de octubre de 1994, por la que expresamente se le reconocía en el apartado b) in fine de las facultades la de " otorgar poderes en favor de Procuradores de los Tribunales y Letrados con las facultades usuales, para el cumplimiento de las anteriores facultades ". En virtud del poder concedido, don Gregorio Gutiérrez García otorgó a su vez escritura pública de mandato representativo el 11 de julio de 1995 en la que de acuerdo con las facultades concedidas procedió al nombramiento de Procuradores de los Tribunales, con la finalidad de que los mismos ejercieran las funciones propias de su profesión en nombre y representación de sus mandantes, es decir, de sus padres. Por un error material cometido en su transcripción, no se incorporó en su integridad el contenido </w:t>
      </w:r>
      <w:r>
        <w:lastRenderedPageBreak/>
        <w:t>de la primera de las escrituras públicas en la segunda, omitiéndose la cita del apartado b) de las facultades concedidas al mandatario, entre las que se integraba, como ha quedado dicho, la de la sustitución en la facultad consistente en el nombramiento de Procurador de los Tribunales en nombre y representación de sus mandantes.</w:t>
      </w:r>
    </w:p>
    <w:p w:rsidR="006854DA" w:rsidRDefault="006854DA" w:rsidP="006854DA">
      <w:pPr>
        <w:pStyle w:val="TextoNormal"/>
      </w:pPr>
      <w:r>
        <w:t>Como consecuencia de la demanda de juicio de cognición interpuesta contra don Justino Gutiérrez Núñez, y doña María Amor García Iglesias en el mes de junio de 1995, don Eugenio Echevarrieta Herrera, Procurador de los Tribunales, asistido de Letrado se personó en legal forma ante el Juzgado de Primera Instancia núm. 1 de Burgos. El Juez tras el examen de la contestación a la demanda dictó providencia, donde utilizando, sin duda ello ha de presumirse, la facultad legal conferida en el art.  34 del Decreto de 21 de noviembre de 1952, juzgó suficiente la capacidad de la parte demandada para comparecer en el procedimiento representada por el Procurador de los Tribunales designado, no haciendo uso del apartado final del art.63 de dicho Decreto, al no estimarlo necesario, al considerar, como ha quedado dicho, suficiente la capacidad procesal de dicha parte litigante, no sólo para comparecer en juicio, sino para el ejercicio de todas las funciones y facultades inherentes al procedimiento judicial que se estaba dilucidando. Se dicta Sentencia en la instancia que es estimatoria de la demanda, donde no solamente se condena a los demandados, sino que por el Juez nada se obsta en la misma a la suficiencia de su capacidad procesal. En este punto debe tomarse en consideración como ya se dijo que la parte actora en el proceso judicial ningún reparo formuló ni recurso alguno interpuso contra la decisión del Juez de considerar suficiente la capacidad procesal con que concurrieron al procedimiento los ahora recurrente en amparo.</w:t>
      </w:r>
    </w:p>
    <w:p w:rsidR="006854DA" w:rsidRDefault="006854DA" w:rsidP="006854DA">
      <w:pPr>
        <w:pStyle w:val="TextoNormal"/>
      </w:pPr>
      <w:r>
        <w:t>Notificada tal resolución, se interpuso por los ahora recurrentes, el correspondiente recurso de apelación, personándose ante la Audiencia Provincial en tiempo y forma legal, incluso otorgando nueva escritura pública de representación en fecha 14 de diciembre de 1995 en favor del mismo Procurador, y sin utilizar, en este caso, la fórmula antes empleada de la sustitución en el otorgamiento del poder, y sin que quepa formalmente achacar a tales litigantes irregularidad o defecto procesal alguno en cuanto a su capacidad procesal en la segunda instancia en la que comparecieron los propios interesados.  Finalmente dictó Sentencia declarando la nulidad de todas las actuaciones practicadas en el procedimiento judicial desde la propuesta de providencia de fecha 14 de julio de 1995, incluida la misma, al no haber comparecido los demandados en legal forma en la instancia, declarándose su rebeldía, no teniendo, por último, por válidamente contestada a la demanda.</w:t>
      </w:r>
    </w:p>
    <w:p w:rsidR="006854DA" w:rsidRDefault="006854DA" w:rsidP="006854DA">
      <w:pPr>
        <w:pStyle w:val="TextoNormal"/>
      </w:pPr>
    </w:p>
    <w:p w:rsidR="006854DA" w:rsidRDefault="006854DA" w:rsidP="006854DA">
      <w:pPr>
        <w:pStyle w:val="TextoNormal"/>
      </w:pPr>
      <w:r w:rsidRPr="006854DA">
        <w:rPr>
          <w:rStyle w:val="NumeroAFNegritaCaracter"/>
        </w:rPr>
        <w:t>4</w:t>
      </w:r>
      <w:r>
        <w:t>. En el análisis y la valoración de tales actuaciones desde la perspectiva constitucional debe destacarse, en primer lugar, el juicio de valor tácitamente realizado por el Juez de instancia en su providencia de 14 de julio de 1995 sobre la capacidad de los demandados comparecientes, que determinó el reconocimiento formal de la suficiencia de la misma mediante la admisión de los mismos en su calidad de parte procesal al procedimiento judicial, y la consiguiente declaración relativa a la válida contestación a la demanda, la cual no sólo había sido formulada en plazo, sino también formalmente ajustada a Derecho.</w:t>
      </w:r>
    </w:p>
    <w:p w:rsidR="006854DA" w:rsidRDefault="006854DA" w:rsidP="006854DA">
      <w:pPr>
        <w:pStyle w:val="TextoNormal"/>
      </w:pPr>
      <w:r>
        <w:t>Por otro lado, a los efectos de examinar el problema desde la perspectiva constitucional, debe tenerse en cuenta el contenido del art. 1.721 del Código Civil, en el que se establece como cláusula de carácter general la facultad del mandatario de proceder al nombramiento de mandatario sustituto en el cumplimiento del objeto del mandato.</w:t>
      </w:r>
    </w:p>
    <w:p w:rsidR="006854DA" w:rsidRDefault="006854DA" w:rsidP="006854DA">
      <w:pPr>
        <w:pStyle w:val="TextoNormal"/>
      </w:pPr>
      <w:r>
        <w:t xml:space="preserve">De acuerdo con tales circunstancias concurrentes en la instancia, incluyendo las ya citadas de la libertad de sustitución de sus facultades por el mandatario contenida en el art.1.721 del Código civil; el dato de la vinculación familiar entre mandantes y mandatario </w:t>
      </w:r>
      <w:r>
        <w:lastRenderedPageBreak/>
        <w:t>-padres e hijo- y la presunción a favor del conocimiento y aceptación de dicha sustitución, que por otro lado, como ha quedado dicho, no era legalmente necesaria; así como la falta de impugnación por alguno de los litigantes de la resolución por la que se reconoce la capacidad procesal de los demandados -no se interpuso recurso de reposición contra la indicada providencia-, debe considerarse en virtud de tales circunstancias, que la decisión tomada por el Juez de instancia fue proporcionada, formalmente correcta, respetuosa con el principio pro actione y desde luego ajustada a las exigencias del art.24.1, al permitir el acceso a la jurisdicción de los ahora recurrentes.</w:t>
      </w:r>
    </w:p>
    <w:p w:rsidR="006854DA" w:rsidRDefault="006854DA" w:rsidP="006854DA">
      <w:pPr>
        <w:pStyle w:val="TextoNormal"/>
      </w:pPr>
      <w:r>
        <w:t>Adicionalmente, como ya se indicó, debe tenerse en consideración la suficiencia de la capacidad de los demandados en la segunda instancia, pues en aplicación de los arts. 11.3 y 243 L.O.P.J., habían procedido a aportar de manera voluntaria la correspondiente copia completa y exacta de la escritura pública de poder, salvando así el error puramente material consistente en la omisión la escritura presentada en la primera instancia en relación con la facultad de sustitución concedida por los poderdantes al apoderado que era su hijo, donde ya no existe duda alguna sobre su voluntad de comparecer y constituirse formalmente en parte procesal en el recurso de apelación interpuesto contra la Sentencia dictada en la instancia en dicho procedimiento judicial.</w:t>
      </w:r>
    </w:p>
    <w:p w:rsidR="006854DA" w:rsidRDefault="006854DA" w:rsidP="006854DA">
      <w:pPr>
        <w:pStyle w:val="TextoNormal"/>
      </w:pPr>
    </w:p>
    <w:p w:rsidR="006854DA" w:rsidRDefault="006854DA" w:rsidP="006854DA">
      <w:pPr>
        <w:pStyle w:val="TextoNormal"/>
      </w:pPr>
      <w:r w:rsidRPr="006854DA">
        <w:rPr>
          <w:rStyle w:val="NumeroAFNegritaCaracter"/>
        </w:rPr>
        <w:t>5</w:t>
      </w:r>
      <w:r>
        <w:t>. Igualmente debe ponerse de relieve la importancia que tiene en el juicio de cognición, el hecho de que el Juez se pronuncie globalmente sobre la admisibilidad o no de una demanda, o en su caso, de la contestación a la misma. Como parte inescindible de ello se encuentra el ejercicio concreto que el Juez ha de llevar a cabo de la facultad establecida en el citado art. 34 del Decreto de 21 de noviembre de 1952, que en este sentido se anticipó a la evolución doctrinal y legislativa en orden a la concepción global del proceso civil, debiéndose pronunciar sobre la suficiencia de la capacidad de un justiciable para poder alcanzar la cualidad de parte en un procedimiento judicial, tanto en lo que se refiere a la postulación ad processum, y ad causam, como a la postulación, no pudiéndose olvidar que del juicio de valor que al efecto se realice puede depender la adquisición de tal cualidad, y por ende, la satisfacción de las exigencias contenidas en el derecho fundamental que reconoce el acceso a la jurisdicción.  El ejercicio de tal facultad, por tanto, ha de ser sin duda meditado por el Juez, quien ponderando el cumplimiento de los requisitos legales, y al mismo tiempo, las circunstancias concurrentes en cada caso debe pronunciarse sobre el otorgamiento a un justiciable de la cualidad de parte procesal. Pero el ejercicio de esta facultad no debe ser fruto del automatismo o de la rutina, sino que muy al contrario exige la realización de un detenido proceso intelectual en virtud del cual se sopesen todos los elementos que finalmente deben confluir razonablemente en la decisión que se adopte.</w:t>
      </w:r>
    </w:p>
    <w:p w:rsidR="006854DA" w:rsidRDefault="006854DA" w:rsidP="006854DA">
      <w:pPr>
        <w:pStyle w:val="TextoNormal"/>
      </w:pPr>
      <w:r>
        <w:t>Por ello, en el presente caso, debe afirmarse que el Juez de instancia, realizada la ponderación de los requisitos legales, y de las circunstancias concurrentes, resolvió aceptar como suficiente dicha representación procesal, y conferir a los ahora litigantes en amparo la cualidad antes indicada de "parte procesal", no haciendo uso, porque desde luego a su juicio no hacia falta del mencionado trámite de subsanación previsto en el art. 63 del Decreto de 21 de noviembre de 1952, como tampoco lo consideró necesario la propia parte demandante en dicho procedimiento judicial.</w:t>
      </w:r>
    </w:p>
    <w:p w:rsidR="006854DA" w:rsidRDefault="006854DA" w:rsidP="006854DA">
      <w:pPr>
        <w:pStyle w:val="TextoNormal"/>
      </w:pPr>
      <w:r>
        <w:t>Si dicho defecto procesal no existía en la instancia, menos aún en la apelación, cuando los apelantes por su propia voluntad habían otorgado y aportado voluntariamente nueva escritura pública de representación.</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6</w:t>
      </w:r>
      <w:r>
        <w:t>. No obstante lo expuesto, es un hecho cierto que por la Audiencia Provincial en su resolución se declara la nulidad de las actuaciones practicadas en el procedimiento desde la providencia en la que el Juez de instancia se pronuncia sobre la admisión de los recurrentes al procedimiento. Debe afirmarse, pues en este punto, que la Sala en su Sentencia ha procedido de un modo no conforme al derecho a la tutela judicial efectiva, toda vez la misma ha imposibilitado que los demandados pudieran efectuar en tales autos, en los términos establecidos en la ley, las alegaciones que tuvieran por convenientes mediante la contestación a la demanda, y en su caso, la formulación de la correspondiente demanda reconvencional, así como del ejercicio de la aquella actividad probatoria necesaria e imprescindible para la adecuada defensa de sus derechos e intereses legítimos, tal como señala el Ministerio Fiscal, habiéndose producido en definitiva, una restricción innecesaria de los derechos constitucionales de acceso a la jurisdicción y de la defensa, ya que la Audiencia Provincial no ha tomado en consideración el ejercicio, aunque sea en sentido negativo que había hecho el Juez de instancia del contenido específico de los arts. 34 y 63, in fine, del Decreto de 21 de noviembre de 1952, que le permiten la corrección de los defectos de forma desde su dimensión legal y constitucional.</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por don Gregorio Gutiérrez García, don Justino Gutiérrez Núñez y doña María Amor García Iglesias y, en su virtud:</w:t>
      </w:r>
    </w:p>
    <w:p w:rsidR="006854DA" w:rsidRDefault="006854DA" w:rsidP="006854DA">
      <w:pPr>
        <w:pStyle w:val="TextoNormal"/>
      </w:pPr>
      <w:r>
        <w:t>1. Reconocer el derecho de los demandantes a la tutela judicial efectiva (art.24.1 C.E.)</w:t>
      </w:r>
    </w:p>
    <w:p w:rsidR="006854DA" w:rsidRDefault="006854DA" w:rsidP="006854DA">
      <w:pPr>
        <w:pStyle w:val="TextoNormal"/>
      </w:pPr>
      <w:r>
        <w:t>2. Declarar la nulidad de la Sentencia dictada por la Audiencia Provincial de Burgos, Sección 2ª, de 21 de noviembre de 1995.</w:t>
      </w:r>
    </w:p>
    <w:p w:rsidR="006854DA" w:rsidRDefault="006854DA" w:rsidP="006854DA">
      <w:pPr>
        <w:pStyle w:val="TextoNormal"/>
      </w:pPr>
      <w:r>
        <w:t>3. Retrotraer las actuaciones al momento anterior a dicha resolución, a los efectos de que por dicho órgano judicial se dicte nueva Sentencia sobre el fondo del asunto.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veinte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8" w:name="SENTENCIA_1997_102"/>
      <w:r>
        <w:lastRenderedPageBreak/>
        <w:t>SENTENCIA 102/1997, de 20 de mayo de 1997</w:t>
      </w:r>
    </w:p>
    <w:bookmarkEnd w:id="18"/>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ECLI:ES:TC:1997:102</w:t>
      </w:r>
    </w:p>
    <w:p w:rsidR="006854DA" w:rsidRDefault="006854DA" w:rsidP="006854DA">
      <w:pPr>
        <w:pStyle w:val="SntesisDescriptiva"/>
      </w:pPr>
    </w:p>
    <w:p w:rsidR="006854DA" w:rsidRDefault="006854DA" w:rsidP="006854DA">
      <w:pPr>
        <w:pStyle w:val="SntesisDescriptiva"/>
      </w:pPr>
      <w:r>
        <w:t>Recurso de amparo 84/1997. Contra Auto de la Sala de lo Penal de la Audiencia Nacional, desestimatorio de recurso de súplica presentado contra el Auto de dicha Sala, asimismo recurrido, denegatorio de la revisión de una resolución anterior por la que se acordaba la extradición del recurrente a los Estados Unidos de América.</w:t>
      </w:r>
    </w:p>
    <w:p w:rsidR="006854DA" w:rsidRDefault="006854DA" w:rsidP="006854DA">
      <w:pPr>
        <w:pStyle w:val="SntesisDescriptiva"/>
      </w:pPr>
    </w:p>
    <w:p w:rsidR="006854DA" w:rsidRDefault="006854DA" w:rsidP="006854DA">
      <w:pPr>
        <w:pStyle w:val="SntesisAnaltica"/>
      </w:pPr>
      <w:r>
        <w:t>Supuesta vulneración de los derechos a la legalidad penal y a un proceso con todas las garantías.</w:t>
      </w:r>
    </w:p>
    <w:p w:rsidR="006854DA" w:rsidRDefault="006854DA" w:rsidP="006854DA">
      <w:pPr>
        <w:pStyle w:val="SntesisAnaltica"/>
      </w:pPr>
    </w:p>
    <w:p w:rsidR="006854DA" w:rsidRDefault="006854DA" w:rsidP="006854DA">
      <w:pPr>
        <w:pStyle w:val="Extracto"/>
      </w:pPr>
      <w:r>
        <w:t>1.</w:t>
      </w:r>
      <w:r>
        <w:tab/>
        <w:t>Inamovibles los hechos así como su calificación a efectos extraditorios -tanto en el informe del Fiscal como en el Auto que inicialmente acordó concederla-, no cabe afirmar que hubo imposibilidad de defensa sobre los mismos, ni, por ende, vulneración alguna del principio acusatorio. Si entonces no se practicó la entrega a las autoridades requirentes ello fue por haber quedado en suspenso hasta el total cumplimiento de la responsabilidad que pudiera corresponderle por un sumario entonces pendiente en otro Juzgado; entretanto, la entrada en vigor del nuevo Código Penal motivó la solicitud de revisión definitivamente denegada por el Auto de 7 de octubre, ahora recurrido en una nueva demanda de amparo [F.J. 5].</w:t>
      </w:r>
    </w:p>
    <w:p w:rsidR="006854DA" w:rsidRDefault="006854DA" w:rsidP="006854DA">
      <w:pPr>
        <w:pStyle w:val="Extracto"/>
      </w:pPr>
    </w:p>
    <w:p w:rsidR="006854DA" w:rsidRDefault="006854DA" w:rsidP="006854DA">
      <w:pPr>
        <w:pStyle w:val="Extracto"/>
      </w:pPr>
      <w:r>
        <w:t>2.</w:t>
      </w:r>
      <w:r>
        <w:tab/>
        <w:t>El propio carácter del procedimiento de extradición hace difícil pensar en eventuales vulneraciones del principio acusatorio. No siendo imposible que se produzca indefensión en dicho procedimiento (STC 11/1983, entre otras), lo cierto es que el limitado alcance y finalidad del mismo introduce ciertas modulaciones en el significado de algunos de los derechos y garantías propios del proceso penal en sentido estricto. Limitada su naturaleza a la de ser un simple acto de auxilio judicial internacional (en la expresión empleada por el ATC 363/1985), y que sólo tiene por misión la comprobación de las condiciones específicamente recogidas en las leyes y convenios que la regulan (ATC 558/1985), en anteriores ocasiones hemos excluido de su contexto derechos tan elementales como puedan ser la presunción de inocencia (ATC 103/1987) o la interdicción del «bis in idem» (ATC 263/1989), y ello por referirse ambas garantías justamente al fondo del juicio penal a desarrollar en el Estado requirente. Incluso hemos afirmado que la regla de la doble incriminación, que cabe incluir en el derecho constitucional a la legalidad penal (y así lo hemos afirmado a partir de la STC 11/1983), no significa tanto identidad de las normas penales de los Estados concernidos como «que el hecho sea delictivo y con una determinada penalidad ( mínima) en las legislaciones penales del Estado requirente y del Estado requerido» (como hemos afirmado en el ATC 23/1997). En definitiva, la finalidad del procedimiento, no dirigido a la sanción penal de conducta alguna, sino sólo a hacer posible el proceso penal propiamente dicho, hace que algunas garantías específicas de este proceso tengan difícil encaje y aplicación en el procedimiento extraditorio [F.J. 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Álvaro Rodríguez Bereijo, Presidente,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84/97, promovido por don William Reed Ellswick, representado por el Procurador de los Tribunales don Jesús Alvaro Stampa Casas y asistido del Letrado don Luis Rodríguez Ramos, frente al Auto del Pleno de la Sala de lo Penal de la Audiencia Nacional, de 7 de octubre de 1996, desestimatorio del recurso de súplica presentado contra el Auto de la Sección Segunda de dicha Sala, de 23 de julio anterior, asimismo recurrido, denegatorio de la revisión de una resolución anterior por la que se acordaba la extradición del recurrente a los Estados Unidos de América. Ha intervenido el Ministerio Fiscal. Ha sido ponente el Magistrado don Pedro Cruz Villalón,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Con fecha 8 de enero de 1997, tuvo entrada en el Registro General de este Tribunal escrito de la representación procesal de don William Reed Ellswick interponiendo recurso de amparo frente a los Autos de 23 de julio de 1996 y de 7 de octubre siguiente, el primero de ellos de la Sección Segunnda de la Sala de lo Penal de la Audiencia Nacional, denegatorio de la revisión de un anterior Auto de 13 de febrero de 1995 que concedió la extradición del demandante de amparo a los Estados Unidos de América, en expediente 38/94; el segundo, del Pleno de dicha Sala, desestimatorio de recurso de súplica frente al anterior.</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que fundamentan la demanda de amparo, brevemente expuestos, son los siguientes. </w:t>
      </w:r>
    </w:p>
    <w:p w:rsidR="006854DA" w:rsidRDefault="006854DA" w:rsidP="006854DA">
      <w:pPr>
        <w:pStyle w:val="TextoNormal"/>
      </w:pPr>
      <w:r>
        <w:t xml:space="preserve">A) Por Auto de 13 de febrero de 1995, confirmado por otro de 12 de mayo siguiente, se concedió la extradición del demandante de amparo por determinados delitos a los que correspondía, según la legislación española, una pena de prisión mayor, lo que implicaba que el plazo de prescripción de los mismos fuese de diez años, razonándose en el Auto que tal plazo no había transcurrido sin interrupción. </w:t>
      </w:r>
    </w:p>
    <w:p w:rsidR="006854DA" w:rsidRDefault="006854DA" w:rsidP="006854DA">
      <w:pPr>
        <w:pStyle w:val="TextoNormal"/>
      </w:pPr>
      <w:r>
        <w:t>B) Tras la entrada en vigor del actual Código Penal, el demandante de amparo, cuya extradición no llegó a ejecutarse por tener una causa penal pendiente en España, pidió la revisión del Auto de 13 de febrero de 1995 para adaptarlo al nuevo Código. Argumentaba que a los delitos por los que se había concedido la extradición corresponde, conforme a la ley penal ahora vigente, un plazo de prescripción de cinco años, en vez de diez como acontecía con anterioridad, de modo que la aplicación retroactiva de dicho plazo determi</w:t>
      </w:r>
      <w:r>
        <w:lastRenderedPageBreak/>
        <w:t xml:space="preserve">naría la consideración como prescritos, cuando se solicitó la extradición, de los delitos que la fundaban. </w:t>
      </w:r>
    </w:p>
    <w:p w:rsidR="006854DA" w:rsidRDefault="006854DA" w:rsidP="006854DA">
      <w:pPr>
        <w:pStyle w:val="TextoNormal"/>
      </w:pPr>
      <w:r>
        <w:t xml:space="preserve">C) El Auto de 23 de julio de 1996, ya referenciado, denegó la revisión solicitada, argumentando que los hechos por los que se solicitaba la extradición habían sido ya calificados -en el Auto de 13 de febrero de 1995- de "delito continuado" de tráfico de estupefacientes en cantidad de notoria importancia, lo que permitiría la imposición, teóricamente, de una pena superior a los seis años de prisión, a la que correspondería un plazo de prescripción de hasta diez años conforme al Código ahora vigente (art. 131.1). </w:t>
      </w:r>
    </w:p>
    <w:p w:rsidR="006854DA" w:rsidRDefault="006854DA" w:rsidP="006854DA">
      <w:pPr>
        <w:pStyle w:val="TextoNormal"/>
      </w:pPr>
      <w:r>
        <w:t>D) Disconforme con dicha resolución, el ahora demandante de amparo presentó recurso de súplica, argumentando que la calificación dada no permitía la imposición de una pena teórica superior a los cuatro años y seis meses, por lo que el plazo de prescripción se situaría en cinco años, y no en diez, con la consecuencia de que el delito perseguido habría prescrito en el momento de ser solicitada la extradición, de acuerdo con la legislación española. El Auto de 7 de octubre admitió dicha argumentación, no obstante lo cual confirmó la denegación de la revisión por entender que en todo caso serían aplicables a los hechos las agravantes de ser cometido el delito mediante organización (art. 369.6º C.P.) y ser el recurrente el jefe de la misma (art. 370 C.P.), con la consecuencia de que la pena que teóricamente cabría imponer se elevaría hasta los seis años y nueve meses de prisión, con un plazo de prescripción, no transcurrido en su integridad, de diez años.</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Considera el demandante que han sido vulnerados sus derechos fundamentales a la legalidad penal y a un proceso con todas las garantías -si bien la vulneración de este último derecho fundamental no se argumenta en la demanda-, como consecuencia de que, para justificar el que la pena que conforme al Derecho español cabía imponer tenía asignado un plazo de prescripción superior a cinco años, se aplicó erróneamente el art. 74.1 C.P., en primera instancia, y en el definitivo Auto de súplica se tomó en consideración ex novo la circunstancia, nunca discutida, de jefatura de la organización. Cita en apoyo de sus alegaciones la doctrina constitucional que estima de aplicación al caso. </w:t>
      </w:r>
    </w:p>
    <w:p w:rsidR="006854DA" w:rsidRDefault="006854DA" w:rsidP="006854DA">
      <w:pPr>
        <w:pStyle w:val="TextoNormal"/>
      </w:pPr>
      <w:r>
        <w:t>Asimismo se solicita, mediante otrosí, la suspensión de la ejecución de la Sentencia impugnada.</w:t>
      </w:r>
    </w:p>
    <w:p w:rsidR="006854DA" w:rsidRDefault="006854DA" w:rsidP="006854DA">
      <w:pPr>
        <w:pStyle w:val="TextoNormal"/>
      </w:pPr>
    </w:p>
    <w:p w:rsidR="006854DA" w:rsidRDefault="006854DA" w:rsidP="006854DA">
      <w:pPr>
        <w:pStyle w:val="TextoNormal"/>
      </w:pPr>
      <w:r w:rsidRPr="006854DA">
        <w:rPr>
          <w:rStyle w:val="NumeroAFNegritaCaracter"/>
        </w:rPr>
        <w:t>4</w:t>
      </w:r>
      <w:r>
        <w:t>. Tras diversos requerimientos para que se completase la documentación aportada, la Sección Segunda del Tribunal, mediante providencia de 20 de febrero de 1997, acordó admitir a trámite la demanda de amparo, otorgando nuevo plazo para completar la documentación requerida; asimismo, y a tenor de lo dispuesto en el art. 51 LOTC, requirió al órgano judicial que conoció del asunto para que remitiera testimonio de las actuaciones.</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Por otra providencia de esa misma fecha se acordó la apertura de la pieza de suspensión solicitada en la demanda, concediendo plazo de tres días al Ministerio Fiscal y al solicitante del amparo para que formularan las alegaciones que estimasen pertinentes sobre la suspensión solicitada. </w:t>
      </w:r>
    </w:p>
    <w:p w:rsidR="006854DA" w:rsidRDefault="006854DA" w:rsidP="006854DA">
      <w:pPr>
        <w:pStyle w:val="TextoNormal"/>
      </w:pPr>
      <w:r>
        <w:t xml:space="preserve">Por escrito presentado el 24 de febrero de 1997, el Fiscal interesó que, de acuerdo con el art. 56 LOTC, se concediese la petición de suspensión, toda vez que, de otra manera, podría perder el amparo su finalidad, caso de que, una vez cumplidas las posibles responsabilidades penales exigibles por España, se procediese a la entrega del demandante de amparo a las autoridades del país requirente. </w:t>
      </w:r>
    </w:p>
    <w:p w:rsidR="006854DA" w:rsidRDefault="006854DA" w:rsidP="006854DA">
      <w:pPr>
        <w:pStyle w:val="TextoNormal"/>
      </w:pPr>
      <w:r>
        <w:lastRenderedPageBreak/>
        <w:t>Por su parte, mediante escrito presentado en el Juzgado de Guardia el día 24 de febrero de 1997, el demandante de amparo reiteró su petición de suspensión de la extradición, para lo cual solicitaba que se suspendiesen los Autos de 13 de febrero y 12 de mayo de 1995 y 26 de julio y 7 de octubre de 1996, alegando que, si se ejecutara la extradición acordada y fuera entregado a las autoridades de su país, no tendría sentido ni eficacia la estimación del presente recurso de amparo. Por otra parte, afirma que, al estar de hecho suspendida la ejecución de los Autos de extradición, como consecuencia de la causa penal que contra él se sigue en España (sumario 1/94 del Juzgado de Instrucción núm. 6 de Ibiza), "una nueva suspensión por parte del Tribunal Constitucional no sería traumática ni ocasionaría incomodidad o perturbación grave de los intereses generales".</w:t>
      </w:r>
    </w:p>
    <w:p w:rsidR="006854DA" w:rsidRDefault="006854DA" w:rsidP="006854DA">
      <w:pPr>
        <w:pStyle w:val="TextoNormal"/>
      </w:pPr>
    </w:p>
    <w:p w:rsidR="006854DA" w:rsidRDefault="006854DA" w:rsidP="006854DA">
      <w:pPr>
        <w:pStyle w:val="TextoNormal"/>
      </w:pPr>
      <w:r w:rsidRPr="006854DA">
        <w:rPr>
          <w:rStyle w:val="NumeroAFNegritaCaracter"/>
        </w:rPr>
        <w:t>6</w:t>
      </w:r>
      <w:r>
        <w:t>. Mediante nuevo proveido de 17 de marzo de 1997, la Sección Primera del Tribunal tuvo por recibido el testimonio solicitado y acordó conceder al recurrente y al Ministerio Fiscal plazo común de veinte días para que formularan cuantas alegaciones resultasen pertinentes a efectos de lo dispuesto en el art. 52 LOTC, condicionado a que en dicho plazo el Procurador Sr. Stampa Casas aportara el poder que acredite la representación que dice ostentar.</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Cumplimentó dicho trámite el recurrente mediante escrito que tuvo su entrada en el Tribunal el siguiente 16 de abril, al que acompaña el poder requerido y en el que reitera su iniciales suplicos de nulidad y suspensión de las resoluciones impugnadas. </w:t>
      </w:r>
    </w:p>
    <w:p w:rsidR="006854DA" w:rsidRDefault="006854DA" w:rsidP="006854DA">
      <w:pPr>
        <w:pStyle w:val="TextoNormal"/>
      </w:pPr>
      <w:r>
        <w:t>Insistiendo en sus alegaciones en los argumentos ya utilizados en la demanda, se hace particular hincapié en la novedad introducida en el Auto de 7 de octubre de 1996 en cuanto a la agravante de jefatura de organización, así como en el carácter, a su juicio, manifiestamente irrazonable y arbitrario de las resoluciones impugnadas, por no conformes a la ley. Tal incumplimiento de la legalidad se reputa asismismo, ahora, que vulnera el derecho a un proceso público con todas las garantías, "en el sentido de que no se ha respetado la legalidad procesal o sustantiva". En conclusión, a su juicio, el no reconocimiento de la prescripción de los delitos por los que solicitó la extradición supondría una vulneración de los principios de legalidad y de doble incriminación, y el derecho a un proceso "con la garantía de la legalidad o, lo que es lo mismo, de la no arbitrariedad".</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18 de abril de 1997 tuvo entrada en el Tribunal el escrito de alegaciones del Ministerio Fiscal, con el que se solicita la denegación del amparo pretendido. </w:t>
      </w:r>
    </w:p>
    <w:p w:rsidR="006854DA" w:rsidRDefault="006854DA" w:rsidP="006854DA">
      <w:pPr>
        <w:pStyle w:val="TextoNormal"/>
      </w:pPr>
      <w:r>
        <w:t xml:space="preserve">Tras reproducir los antecedentes fácticos del recurso y las alegaciones del recurrente, centra el representante del Ministerio público su argumentación en lo que considera el punto nuclear del debate, esto es, si el Auto resolutorio de la súplica introdujo hechos nuevos en la tramitación de la extradición, ocasionando con ello una situación de indefensión. Tal indefensión, la entiende inexistente el Fiscal, pese a que reconozca que el Pleno de la Sala de lo Penal se refirió a circunstancias ajenas a las resoluciones anteriores, con base en los siguientes argumentos: A) La calificación jurídica que debe hacerse a la hora de tipificar una conducta a efectos de extradición no puede tener en ningún caso la misma estricta delimitación que si el juicio sobre el fondo se estuviese celebrando, y donde no cabrían imputaciones sorpresivas; compartiendo argumentos de la Sala sentenciadora, afirma el Fiscal que la naturaleza mixta, administrativo-judicial, de los procedimientos de extradición, y su carácter instrumental, justifican la toma en consideración, en cada momento, de los elementos imprescindibles para el cumplimiento de los fines del instituto extraditorio. </w:t>
      </w:r>
      <w:r>
        <w:lastRenderedPageBreak/>
        <w:t>B) No es cierto que se introdujera hecho nuevo alguno que supusiera indefensión, pues consta en la causa un escrito del Fiscal de 7 de diciembre de 1994 en el que se hace ya referencia a la "superagravante" que luego fundamentaría la definitiva denegación de la revisión solicitada; por lo tanto, no se tomaron en consideración hechos nuevos y distintos a los que fundaron la inicial concesión de la extradición, sino que simplemente se extraen, en la resolución definitiva, los que ya constaban en la causa y que fundan, legalmente, la procedencia de la extradición firmemente acordada con anterioridad.</w:t>
      </w:r>
    </w:p>
    <w:p w:rsidR="006854DA" w:rsidRDefault="006854DA" w:rsidP="006854DA">
      <w:pPr>
        <w:pStyle w:val="TextoNormal"/>
      </w:pPr>
    </w:p>
    <w:p w:rsidR="006854DA" w:rsidRDefault="006854DA" w:rsidP="006854DA">
      <w:pPr>
        <w:pStyle w:val="TextoNormal"/>
      </w:pPr>
      <w:r w:rsidRPr="006854DA">
        <w:rPr>
          <w:rStyle w:val="NumeroAFNegritaCaracter"/>
        </w:rPr>
        <w:t>9</w:t>
      </w:r>
      <w:r>
        <w:t>. Con fecha 24 de abril de 1997, la representación del recurrente urge a la Sala la pronta resolución del presente recurso, por entender inminente la práctica de la extradición origen de los presentes autos.</w:t>
      </w:r>
    </w:p>
    <w:p w:rsidR="006854DA" w:rsidRDefault="006854DA" w:rsidP="006854DA">
      <w:pPr>
        <w:pStyle w:val="TextoNormal"/>
      </w:pPr>
    </w:p>
    <w:p w:rsidR="006854DA" w:rsidRDefault="006854DA" w:rsidP="006854DA">
      <w:pPr>
        <w:pStyle w:val="TextoNormal"/>
      </w:pPr>
      <w:r w:rsidRPr="006854DA">
        <w:rPr>
          <w:rStyle w:val="NumeroAFNegritaCaracter"/>
        </w:rPr>
        <w:t>10</w:t>
      </w:r>
      <w:r>
        <w:t>. Por providencia de 19 de mayo corriente, se acordó señalar para deliberación y votación de la presente Sentencia el día 20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Alega el demandante de amparo que ha existido una vulneración de sus derechos fundamentales a la legalidad penal y a un proceso con todas las garantías, por cuanto, para justificar que la pena que conforme al Derecho español cabía imponerle tiene asignado un plazo de prescripción superior a cinco años, se aplicó erróneamente el art. 74.1 C.P., en el Auto de 23 de julio de 1996, así como por cuanto, en el definitivo Auto resolutorio de la súplica, de 7 de octubre de 1996, se tomó en consideración ex novo la circunstancia, nunca discutida, de jefatura de la organización. Entiende, además, que la negativa a reconocer que los delitos por los que solicitó la extradición han prescrito es manifiestamente irrazonable o arbitraria, y que no se ha aplicado retroactivamente la norma penal más beneficiosa.</w:t>
      </w:r>
    </w:p>
    <w:p w:rsidR="006854DA" w:rsidRDefault="006854DA" w:rsidP="006854DA">
      <w:pPr>
        <w:pStyle w:val="TextoNormal"/>
      </w:pPr>
      <w:r>
        <w:t>El Fiscal, por su parte, se opone a la concesión del amparo toda vez que no se ha generado una situación de indefensión, ya que, por una parte, la calificación jurídica que deba hacerse a la hora de tipificar una conducta a los efectos de extradición no debe tener la misma estricta delimitación que a los efectos de la acusación; y, por otra parte, niega que se introdujera hecho nuevo alguno que supusiera indefensión, pues el Ministerio Público en su escrito de 7 de diciembre de 1994 hizo ya referencia a la "superagravante" en cuestión.</w:t>
      </w:r>
    </w:p>
    <w:p w:rsidR="006854DA" w:rsidRDefault="006854DA" w:rsidP="006854DA">
      <w:pPr>
        <w:pStyle w:val="TextoNormal"/>
      </w:pPr>
    </w:p>
    <w:p w:rsidR="006854DA" w:rsidRDefault="006854DA" w:rsidP="006854DA">
      <w:pPr>
        <w:pStyle w:val="TextoNormal"/>
      </w:pPr>
      <w:r w:rsidRPr="006854DA">
        <w:rPr>
          <w:rStyle w:val="NumeroAFNegritaCaracter"/>
        </w:rPr>
        <w:t>2</w:t>
      </w:r>
      <w:r>
        <w:t>. Basta el mero enunciado de las quejas que fundamentan la demanda de amparo para excluir del presente proceso las alegaciones relativas a la vulneración del derecho a la legalidad penal. En efecto, aun cuando hubiese existido una errónea aplicación del art. 74.1 CP en el Auto de 23 de julio de 1996, lo cierto es que no es necesario entrar a valorar su relevancia constitucional, toda vez que el Auto del Pleno de la Sala de lo Penal de la Audiencia Nacional de 7 de octubre siguiente explícitamente desautoriza la anterior resolución de la Sección Segunda, considerando erróneo el razonamiento que le llevó a denegar la revisión solicitada (fundamento 4º, in fine), fundando ahora esa denegación en la concurrencia de otras circunstancias.  La lesión del derecho a la legalidad penal que se imputa al Auto de 23 de julio -incluso aceptando en términos hipotéticos que realmente existiera- fue ya, por tanto, oportunamente remediada por la ulterior resolución de 7 de octubre.</w:t>
      </w:r>
    </w:p>
    <w:p w:rsidR="006854DA" w:rsidRDefault="006854DA" w:rsidP="006854DA">
      <w:pPr>
        <w:pStyle w:val="TextoNormal"/>
      </w:pPr>
    </w:p>
    <w:p w:rsidR="006854DA" w:rsidRDefault="006854DA" w:rsidP="006854DA">
      <w:pPr>
        <w:pStyle w:val="TextoNormal"/>
      </w:pPr>
      <w:r w:rsidRPr="006854DA">
        <w:rPr>
          <w:rStyle w:val="NumeroAFNegritaCaracter"/>
        </w:rPr>
        <w:t>3</w:t>
      </w:r>
      <w:r>
        <w:t>. De la misma manera resulta descartable, sin mayor desarrollo argumental, la alegada vulneración de un derecho fundamental a la aplicación retroactiva de la Ley penal más favorable, toda vez que las dos resoluciones impugnadas, con independencia ahora de la doctrina de este Tribunal con arreglo a la cual dicha eficacia de la norma penal encuentra su sede en el art. 9.3 C.E., de hecho han aplicado, el nuevo Código Penal como norma más beneficiosa.  Igualmente hemos de rechazar que las resoluciones impugnadas sean arbitrarias o manifiestamente infundadas; baste a este respecto señalar cómo respecto del Auto de 7 de octubre de 1996 no se plantea desde esta perspectiva material ninguna discrepancia.</w:t>
      </w:r>
    </w:p>
    <w:p w:rsidR="006854DA" w:rsidRDefault="006854DA" w:rsidP="006854DA">
      <w:pPr>
        <w:pStyle w:val="TextoNormal"/>
      </w:pPr>
    </w:p>
    <w:p w:rsidR="006854DA" w:rsidRDefault="006854DA" w:rsidP="006854DA">
      <w:pPr>
        <w:pStyle w:val="TextoNormal"/>
      </w:pPr>
      <w:r w:rsidRPr="006854DA">
        <w:rPr>
          <w:rStyle w:val="NumeroAFNegritaCaracter"/>
        </w:rPr>
        <w:t>4</w:t>
      </w:r>
      <w:r>
        <w:t>. Nos resta, por tanto, dar respuesta a la queja relativa a la supuesta introducción ex novo en el Auto de súplica de hechos no tenidos en cuenta con anterioridad, por lo que no hubo posibilidad de contradicción respecto a los mismos, que, con independencia de la ubicación constitucional no suficientemente explícita con que se plantea en la demanda, encaja con naturalidad en el derecho reconocido en el art. 24.2 C.E. referido al derecho a ser informado de la acusación formulada contra el demandante de amparo.</w:t>
      </w:r>
    </w:p>
    <w:p w:rsidR="006854DA" w:rsidRDefault="006854DA" w:rsidP="006854DA">
      <w:pPr>
        <w:pStyle w:val="TextoNormal"/>
      </w:pPr>
      <w:r>
        <w:t>Es, en efecto, en la garantía del principio acusatorio, íntimamente vinculada al derecho de defensa, donde cabe radicar la queja planteada. Lo que el recurrente en definitiva alega no es sino que el Auto del Pleno de la Sala de lo Penal excedió los términos en que fue planteada la acusación, apreciando hechos o circunstancias que no fueron objeto de consideración en la misma, y sobre las cuales, por tanto, no hubo ocasión de defensa (SSTC 205/1989, 161/1994 y 95/1995, entre otras muchas). Al introducir en la fundamentación de la decisión -y con alcance de ratio decidendi- la circunstancia "superagravante" de jefatura de organización cuya finalidad es la difusión de sustancias estupefacientes (art. 370 C.P.), viene a decirnos la demanda, el Auto de súplica excedió los términos del debate planteado, pues tal extremo resultaba ajeno a la resolución recurrida y al recurso planteado, con el resultado de producir indefensión.</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Ahora bien, tal supuesta vulneración del principio acusatorio, ante todo, y como argumenta el Fiscal, no se corresponde con los antecedentes del recurso.  Como la propia demanda de amparo reconoce, la circunstancia de desempeñar el recurrente la jefatura de una organización dedicada al tráfico de sustancias estupefacientes fue afirmada tanto en el informe Fiscal de 7 de diciembre de 1994 como en el Auto de la Sección Segunda de la Sala de lo Penal de 13 de febrero de 1995, por el que se accedió originariamente a conceder la extradición requerida; ésta se refiere expresamente a un total de veinticinco imputaciones delictivas (relatadas en el fundamento 6º de dicho Auto), la primera de las cuales es, justamente, la de dirección de la empresa criminal, luego tenida en cuenta en la definitiva resolución de 7 de octubre de 1996; tal Auto, luego confirmado en súplica por otro del Pleno de la Sala de lo Penal de 12 de mayo de 1995 (resolución que, por cierto, fue objeto del recurso de amparo núm.  2.403/95, sobre el que en su día recayó providencia de la Sección Segunda de este Tribunal que unánimemente consideró tal demanda manifiestamente carente de contenido constitucional [art. 50.1 c) LOTC], acordándose por ello su inadmisión a trámite), dejó pues establecidos los hechos sobre los que versaba la extradición y su calificación a efectos extraditorios, de modo que no cabe afirmar que la resolución ahora recurrida supusiera innovación alguna de los mismos. Inamovibles los hechos así como dicha calificación -tanto en el mencionado informe del Fiscal como en el Auto </w:t>
      </w:r>
      <w:r>
        <w:lastRenderedPageBreak/>
        <w:t>que inicialmente acordó conceder la extradición-, no cabe afirmar que hubo imposibilidad de defensa sobre los mismos, ni, por ende, vulneración alguna del principio acusatorio. Si entonces no se practicó la entrega a las autoridades requirentes ello fue por haber quedado en suspenso hasta el total cumplimiento de la responsabilidad que pudiera corresponderle por un sumario entonces pendiente en el Juzgado de Instrucción núm. 6 de Ibiza; entretanto, la entrada en vigor del nuevo Código Penal motivó la solicitud de revisión definitivamente denegada por el Auto de 7 de octubre, ahora recurrido en una nueva demanda de amparo.</w:t>
      </w:r>
    </w:p>
    <w:p w:rsidR="006854DA" w:rsidRDefault="006854DA" w:rsidP="006854DA">
      <w:pPr>
        <w:pStyle w:val="TextoNormal"/>
      </w:pPr>
    </w:p>
    <w:p w:rsidR="006854DA" w:rsidRDefault="006854DA" w:rsidP="006854DA">
      <w:pPr>
        <w:pStyle w:val="TextoNormal"/>
      </w:pPr>
      <w:r w:rsidRPr="006854DA">
        <w:rPr>
          <w:rStyle w:val="NumeroAFNegritaCaracter"/>
        </w:rPr>
        <w:t>6</w:t>
      </w:r>
      <w:r>
        <w:t>. Cierto es que, salvo esta última resolución, ninguna de las otras dos recaídas con posterioridad al Auto de 23 de febrero de 1995 hizo referencia a la mencionada "superagravante" para fundar que los hechos no estaban prescritos, por considerarla -acertadamente o no- innecesaria para fundar el rechazo de la alegación de prescripción, tan reiteradamente planteada por el demandante de amparo.  Ahora bien, el propio carácter del procedimiento de extradición, dicho ya en términos más generales, hace difícil pensar en eventuales vulneraciones de la garantía que venimos analizando. No siendo imposible que se produzca indefensión en dicho procedimiento (STC 11/1983, fundamento jurídico 1º, entre otras), lo cierto es que el limitado alcance y finalidad del mismo introduce ciertas modulaciones en el significado de algunos de los derechos y garantías propios del proceso penal en sentido estricto.  Limitada su naturaleza a la de ser un simple acto de auxilio judicial internacional (en la expresión empleada por el ATC 363/1985), y que sólo tiene por misión la comprobación de las condiciones específicamente recogidas en las leyes y convenios que la regulan (ATC 558/1985, fundamento jurídico 1º), en anteriores ocasiones hemos excluido de su contexto derechos tan elementales como puedan ser la presunción de inocencia (ATC 103/1987, por ejemplo) o la interdicción del bis in idem (ATC 263/1989), y ello por referirse ambas garantías justamente al fondo del juicio penal a desarrollar en el Estado requirente.  Incluso hemos afirmado que la regla de la doble incriminación, que cabe incluir en el derecho constitucional a la legalidad penal (y así lo hemos afirmado ininterrumpidamente a partir de la STC 11/1983, fundamentos jurídicos 6º y 7º), no significa tanto identidad de las normas penales de los Estados concernidos como "que el hecho sea delictivo y con una determinada penalidad (mínima) en las legislaciones penales del Estado requirente y del Estado requerido" (como últimamente afirmamos en el ATC 23/1997, fundamento jurídico 2º, recogiendo doctrina muy consolidada: AATC 753/1985 y 499/1988, por ejemplo).  En definitiva, pues, la finalidad del procedimiento, no dirigido a la sanción penal de conducta alguna, sino sólo a hacer posible el proceso penal propiamente dicho, hace que algunas garantías específicas de este proceso tengan difícil encaje y aplicación en el procedimiento extraditorio.</w:t>
      </w:r>
    </w:p>
    <w:p w:rsidR="006854DA" w:rsidRDefault="006854DA" w:rsidP="006854DA">
      <w:pPr>
        <w:pStyle w:val="TextoNormal"/>
      </w:pPr>
    </w:p>
    <w:p w:rsidR="006854DA" w:rsidRDefault="006854DA" w:rsidP="006854DA">
      <w:pPr>
        <w:pStyle w:val="TextoNormal"/>
      </w:pPr>
      <w:r w:rsidRPr="006854DA">
        <w:rPr>
          <w:rStyle w:val="NumeroAFNegritaCaracter"/>
        </w:rPr>
        <w:t>7</w:t>
      </w:r>
      <w:r>
        <w:t>. Por lo demás, y en lo que respecta al caso planteado, el marco procesal en el que se produjo la resolución que venimos enjuiciando -resolutoria de un recurso de súplica frente a la inicial denegación de la revisión solicitada- conduce por sí mismo a la desestimación del amparo pretendido. En efecto, como ya hemos adelantado parcialmente, objeto de dicho recurso era exclusivamente la pretensión sostenida por el recurrente de que los delitos por los que se concedió la extradición habían prescrito, y ello como consecuencia de la entrada en vigor de una nueva legislación penal. La primera resolución, luego considerada errónea por el Auto de súplica, denegó dicha pretensión; la segunda y definitiva confirma esa misma desestimación -por lo que no cabe hablar de reforma peyorativa alguna-, aunque ahora aplicando la nueva legislación en su integridad y no sólo en cuanto a las dispo</w:t>
      </w:r>
      <w:r>
        <w:lastRenderedPageBreak/>
        <w:t>siciones más favorables para el recurrente (como exige constantemente nuestra jurisprudencia: SSTC 131/1986, fundamento jurídico 2º, 21/1993, fundamento jurídico 5º, AATC 369/1984 y 471/1984, entre otros), por lo que fundamenta esa misma desestimación con razones parcialmente distintas, y cuyo acierto, dicho sea de paso, ni siquiera el recurrente discute. Centrado el debate procesal exclusivamente en si los delitos habían o no prescrito, y permaneciendo inalterables los hechos y cargos por los que se concedió la extradición en 1995, una resolución puramente desestimatoria de la pretensión sustentada, como la que aquí enjuiciamos, en nada podía afectar al derecho que sustancialmente fundamenta la demanda de amparo, es decir. la garantía del principio acusatorio.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la demanda de amparo formulada por don William Reed Ellswick, frente al Auto de la Sala de lo Penal de la Audiencia Nacional de 7 de octubre de 1996, así como frente al de la Sección Segunda de dicha Sala, de 23 de julio anterior, y en su consecuencia acordar la finalización de la pieza separada de suspensión por resultar innecesaria su resolución.</w:t>
      </w:r>
    </w:p>
    <w:p w:rsidR="006854DA" w:rsidRDefault="006854DA" w:rsidP="006854DA">
      <w:pPr>
        <w:pStyle w:val="TextoNormal"/>
      </w:pPr>
    </w:p>
    <w:p w:rsidR="006854DA" w:rsidRDefault="006854DA" w:rsidP="006854DA">
      <w:pPr>
        <w:pStyle w:val="TextoNormal"/>
      </w:pPr>
      <w:r>
        <w:t>Publiquese esta Sentencia en el "Boletín Oficial del Estado"</w:t>
      </w:r>
    </w:p>
    <w:p w:rsidR="006854DA" w:rsidRDefault="006854DA" w:rsidP="006854DA">
      <w:pPr>
        <w:pStyle w:val="TextoNormal"/>
      </w:pPr>
      <w:r>
        <w:t>Dada en Madrid, a veinte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19" w:name="SENTENCIA_1997_103"/>
      <w:r>
        <w:lastRenderedPageBreak/>
        <w:t>SENTENCIA 103/1997, de 22 de mayo de 1997</w:t>
      </w:r>
    </w:p>
    <w:bookmarkEnd w:id="19"/>
    <w:p w:rsidR="006854DA" w:rsidRDefault="006854DA" w:rsidP="006854DA">
      <w:pPr>
        <w:pStyle w:val="TtuloResolucin"/>
      </w:pPr>
      <w:r>
        <w:t>Pleno</w:t>
      </w:r>
    </w:p>
    <w:p w:rsidR="006854DA" w:rsidRDefault="006854DA" w:rsidP="006854DA">
      <w:pPr>
        <w:pStyle w:val="TtuloResolucin"/>
      </w:pPr>
    </w:p>
    <w:p w:rsidR="006854DA" w:rsidRDefault="006854DA" w:rsidP="006854DA">
      <w:pPr>
        <w:pStyle w:val="TtuloBOE"/>
      </w:pPr>
      <w:r>
        <w:t>("BOE" núm. 137, de 9 de junio de 1997)</w:t>
      </w:r>
    </w:p>
    <w:p w:rsidR="006854DA" w:rsidRDefault="006854DA" w:rsidP="006854DA">
      <w:pPr>
        <w:pStyle w:val="TtuloBOE"/>
      </w:pPr>
    </w:p>
    <w:p w:rsidR="006854DA" w:rsidRDefault="006854DA" w:rsidP="006854DA">
      <w:pPr>
        <w:pStyle w:val="SntesisDescriptiva"/>
      </w:pPr>
      <w:r>
        <w:t>ECLI:ES:TC:1997:103</w:t>
      </w:r>
    </w:p>
    <w:p w:rsidR="006854DA" w:rsidRDefault="006854DA" w:rsidP="006854DA">
      <w:pPr>
        <w:pStyle w:val="SntesisDescriptiva"/>
      </w:pPr>
    </w:p>
    <w:p w:rsidR="006854DA" w:rsidRDefault="006854DA" w:rsidP="006854DA">
      <w:pPr>
        <w:pStyle w:val="SntesisDescriptiva"/>
      </w:pPr>
      <w:r>
        <w:t>Recurso de inconstitucionalidad 544/1988. Promovido por el Gobierno de la Nación en relación con los arts. 12, 13.1 a) y 13.1 b), en cuanto al exceso que en los mismos se prevé respecto de las magnitudes establecidas en la Ley 33/1987 de Presupuestos del Estado para 1988, así como contra los párrafos segundo y tercero del art. 13.1 d) de la Ley de la Asamblea de Madrid 4/1987, de 23 de diciembre, de Presupuestos Generales de la Comunidad de Madrid para 1988.</w:t>
      </w:r>
    </w:p>
    <w:p w:rsidR="006854DA" w:rsidRDefault="006854DA" w:rsidP="006854DA">
      <w:pPr>
        <w:pStyle w:val="SntesisDescriptiva"/>
      </w:pPr>
    </w:p>
    <w:p w:rsidR="006854DA" w:rsidRDefault="006854DA" w:rsidP="006854DA">
      <w:pPr>
        <w:pStyle w:val="SntesisAnaltica"/>
      </w:pPr>
    </w:p>
    <w:p w:rsidR="006854DA" w:rsidRDefault="006854DA" w:rsidP="006854DA">
      <w:pPr>
        <w:pStyle w:val="SntesisAnaltica"/>
      </w:pPr>
    </w:p>
    <w:p w:rsidR="006854DA" w:rsidRDefault="006854DA" w:rsidP="006854DA">
      <w:pPr>
        <w:pStyle w:val="Extracto"/>
      </w:pPr>
      <w:r>
        <w:t>1.</w:t>
      </w:r>
      <w:r>
        <w:tab/>
        <w:t>La primera de las cuestiones planteadas en el presente recurso [si el art. 12 de la Ley de Presupuestos de la Comunidad de Madrid para 1988 ha vulnerado el orden constitucional de competencias, toda vez que, ignorando el tope máximo del 4 por 100 fijado por la Ley 33/1987 de Presupuestos Generales del Estado para 1988 (art. 28.1), establece en su primer párrafo que «el incremento del conjunto de las retribuciones íntegras del personal en activo de la Comunidad y sus Organismos Autónomos no sometido a la legislación laboral, aplicadas en las cuantías y de acuerdo con los regímenes retributivos vigentes en 1987, será del 5 por 100 por todos los conceptos...»] es prácticamente idéntica a la que resolvimos en la reciente STC 171/1996, esencialmente en su fundamento jurídico 2. Como entonces dijimos y ahora hemos de reiterar, la imposición de este tipo de topes máximos por parte del Estado halla justificación tanto en el título competencial contenido en el art. 149.1.13. C.E. como en el principio de coordinación, que opera como límite de la autonomía financiera de las CC. AA. (art. 156.1 C.E.) con el alcance previsto en el art. 2. 1 b) L.O.F.C.A. (SSTC 63/1986, 96/1990 y 237/1992). Consiguientemente, puesto que la norma autonómica recurrida contradice abiertamente lo dispuesto en una medida económica general de carácter presupuestario dirigida a contener la expansión relativa de uno de los componentes del gasto público y establecida a través de la Ley de Presupuestos Generales del Estado, no cabe sino declarar, como igualmente hicimos en la STC 171/1996, la inconstitucionalidad de la misma por vulnerar el art. 149.1 13. C.E. [F.J. 1].</w:t>
      </w:r>
    </w:p>
    <w:p w:rsidR="006854DA" w:rsidRDefault="006854DA" w:rsidP="006854DA">
      <w:pPr>
        <w:pStyle w:val="Extracto"/>
      </w:pPr>
    </w:p>
    <w:p w:rsidR="006854DA" w:rsidRDefault="006854DA" w:rsidP="006854DA">
      <w:pPr>
        <w:pStyle w:val="Extracto"/>
      </w:pPr>
      <w:r>
        <w:t>2.</w:t>
      </w:r>
      <w:r>
        <w:tab/>
        <w:t>Debe reconocerse que en la STC 99/1987 la declaración de que el art. 1.3 de la Ley 30/1984 se adecuaba a la Constitución se efectuaba únicamente tras rechazar los diversos motivos que entonces se utilizaron para combatirlo. En dicha decisión no quedó prejuzgado en modo alguno si todas las normas que reciben en el art. 1.3 de la Ley 30/1984 el calificativo de «básicas» responden, o no, también materialmente a dicha naturaleza. Por consiguiente, dado que la calificación que al respecto adopte el legislador estatal no vincula de forma absoluta a este Tribunal, ni tan siquiera cuando la misma no fue en su momento impugnada por la Comunidad Autónoma (por todas, STC 156/1995), es claro que para decidir acerca de la constitucionalidad de este precepto autonómico habremos previa</w:t>
      </w:r>
      <w:r>
        <w:lastRenderedPageBreak/>
        <w:t>mente de dilucidar si la propia norma estatal que sirve de canon respeta el orden constitucional de competencias [F.J. 2].</w:t>
      </w:r>
    </w:p>
    <w:p w:rsidR="006854DA" w:rsidRDefault="006854DA" w:rsidP="006854DA">
      <w:pPr>
        <w:pStyle w:val="Extracto"/>
      </w:pPr>
    </w:p>
    <w:p w:rsidR="006854DA" w:rsidRDefault="006854DA" w:rsidP="006854DA">
      <w:pPr>
        <w:pStyle w:val="Extracto"/>
      </w:pPr>
      <w:r>
        <w:t>3.</w:t>
      </w:r>
      <w:r>
        <w:tab/>
        <w:t>En lo que atañe al art. 24.1 de la Ley 30/1984, pocas dudas hay que albergar acerca de que se trata de una norma materialmente básica. Como tantas veces ha reiterado este Tribunal, una norma merece tal calificativo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(entre otras muchas, SSTC 1/1982, 44/1982, 69/1988, 248/1988, 13/1989, 141/1993 y 197/1996). A la luz de esta línea jurisprudencial, resulta palmaria la adecuación al orden constitucional de competencias de un precepto que determina la nivelación de la cuantía de las retribuciones básicas en todas las Administraciones públicas (esto es, sueldos, trienios y pagas extraordinarias, según el art. 23.2 de la Ley 30/1984), pues no persigue otro objetivo que lograr una mínima y fundamental homogeneidad en un aspecto sustancial del régimen funcionarial, cual es el atinente a los derechos económicos. De hecho, en relación precisamente con el art. 24 de la Ley 30/1984, ya en la STC 63/1986 tuvimos la oportunidad de señalar que, indudablemente, entre las bases del régimen estatutario de los funcionarios a que se refiere el art. 149.1.18. C.E. «cabe incluir previsiones relativas a las retribuciones de los funcionarios, comunes a todas las Administraciones públicas, lo que, a su vez, hallaría fundamento en los principios constitucionales de igualdad y solidaridad» [F.J. 2].</w:t>
      </w:r>
    </w:p>
    <w:p w:rsidR="006854DA" w:rsidRDefault="006854DA" w:rsidP="006854DA">
      <w:pPr>
        <w:pStyle w:val="Extracto"/>
      </w:pPr>
    </w:p>
    <w:p w:rsidR="006854DA" w:rsidRDefault="006854DA" w:rsidP="006854DA">
      <w:pPr>
        <w:pStyle w:val="Extracto"/>
      </w:pPr>
      <w:r>
        <w:t>4.</w:t>
      </w:r>
      <w:r>
        <w:tab/>
        <w:t>Tampoco se aprecia que la norma estatal básica que ha sido cuestionada por la Comunidad Autónoma sea tan incisiva que menoscabe, anule o no deje margen al ejercicio de la competencia autonómica a fin de que ésta adopte una política retributiva propia respecto de sus funcionarios. La necesidad de que las bases estatales respeten un margen suficiente de autonomía en este ámbito, imprescindible para que la Comunidad Autónoma de Madrid pueda desarrollar su competencia en materia funcionarial (art. 38 del Estatuto de Autonomía) debe entenderse adecuadamente satisfecha en la Ley 30/1984, dado que la exigida igualación de la cuantía deja libertad de opción en lo tocante a las retribuciones complementarias, de cuya relevancia en el conjunto tendremos oportunidad de hacer mención seguidamente. En el bien entendido, claro está, dentro del respeto por la normativa autonómica del límite fijado por el Estado al incremento del volumen total de las retribuciones por todos los conceptos de los empleados públicos. En definitiva, no cabe sino afirmar que la normativa estatal que nos ocupa ha sido dictada con adecuación a la competencia sobre las bases que la Constitución reserva al Estado en su art. 149.1. 18. pudiendo, por tanto, operar como canon de constitucionalidad (STC 163/1995, por todas). Por consiguiente, sentado lo anterior, y siendo evidente que el art. 13.1 a) de la Ley autonómica recurrida establece unas retribuciones en concepto de sueldo y trienios superiores a las fijadas en el art. 31.1 a) de la Ley de Presupuestos Generales del Estado, resulta no menos obvio que, con ello, se ha ignorado la exigencia básica contenida en el primer in</w:t>
      </w:r>
      <w:r>
        <w:lastRenderedPageBreak/>
        <w:t>ciso del art. 24.1 de la Ley 30/1984, incurriendo así la disposición recurrida en inconstitucionalidad [F.J. 2].</w:t>
      </w:r>
    </w:p>
    <w:p w:rsidR="006854DA" w:rsidRDefault="006854DA" w:rsidP="006854DA">
      <w:pPr>
        <w:pStyle w:val="Extracto"/>
      </w:pPr>
    </w:p>
    <w:p w:rsidR="006854DA" w:rsidRDefault="006854DA" w:rsidP="006854DA">
      <w:pPr>
        <w:pStyle w:val="Extracto"/>
      </w:pPr>
      <w:r>
        <w:t>5.</w:t>
      </w:r>
      <w:r>
        <w:tab/>
        <w:t>Por lo que concierne al segundo motivo en que fundamenta su pretensión la representación del Estado, es decir, la vulneración del orden constitucional de distribución de competencias, por infracción del mandato contenido en el art. 24. 2 de la Ley 30/1984, ha de estimarse la pretensión de declaración de inconstitucionalidad del art. 13.1 b) de la Ley 4/1987 de Madrid. En efecto, el citado art. 24.2, precepto materialmente básico por cuanto que, junto a otras finalidades, obedece al designio de hacer efectivo el mandato de igualdad para todas las Administraciones públicas de la cuantía de las retribuciones básicas, establece que la concreta cuantía de éstas y, por tanto, de las pagas extraordinarias que, como concepto retributivo específico forma parte de aquellas, deberá figurar en los Presupuestos de las Administraciones públicas. Pues bien, este mandato contenido en la norma básica estatal resulta incumplido por la Comunidad Autónoma de Madrid, cuando el art. 13.1 b) de la Ley de Presupuestos impugnada dispone que: «las pagas extraordinarias se percibirán de acuerdo con lo dispuesto en el art. 73 c) de la Ley 1/1986», precepto éste de la Ley reguladora de la Función Pública autonómica, a cuyo tenor, las pagas extraordinarias serán dos al año, por un importe mínimo cada una de ellas de una mensualidad del sueldo y trienios. Esta remisión al precepto material o sustantivo de la normativa autonómica sobre la función pública, referido a un importe mínimo, deja sin precisar el concreto importe o cuantía de las pagas extraordinarias, como concepto retributivo que integra las retribuciones básicas, cuya concreta determinación cuantitativa ha de verse adecuadamente reflejada en la correspondiente Ley de Presupuestos. Se impone, por ello, declarar que vulnera el orden constitucional de competencias el art. 13.1 b) de la Ley autonómica, al ser contrario a la norma básica del Estado contenida en el art. 24.2 de la Ley 30/1984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El Pleno del Tribunal Constitucional, compuesto por don Álvaro Rodríguez Bereijo, Presidente, don José Gabaldón López, Vicepresidente, don Fernando García-Mon y González-Regueral, don Julio Diego González Campos, don Pedro Cruz Villalón, don Carles Viver Pi-Sunyer, don Enrique Ruiz Vadillo, don Manuel Jiménez de Parga y Cabrera, don Tomás S. Vives Antón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 xml:space="preserve">En el recurso de inconstitucionalidad núm. 544/88, promovido por el Gobierno de la Nación contra los arts.12, 13.1 a) y 13.1 b), en cuanto al exceso que en los mismos se prevé respecto de las magnitudes establecidas en la Ley 33/1987 de Presupuestos del Estado para 1988, así como contra los párrafos segundo y tercero del art. 13.1 d) de la Ley de la </w:t>
      </w:r>
      <w:r>
        <w:lastRenderedPageBreak/>
        <w:t>Asamblea de Madrid 4/1987, de 23 de diciembre, de Presupuestos Generales de la Comunidad de Madrid para 1988. Han comparecido el Consejo de Gobierno y la Asamblea de la Comunidad de Madrid representados por los Letrados don Juan Salazar Alonso Cendrero y don Gregorio Valero Jordana respectivamente. Ha sido Ponente el Magistrado don Enrique Ruiz Vadillo, quien expresa el parecer del Tribunal.</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El Abogado del Estado, en representación del Presidente del Gobierno y mediante escrito que tuvo entrada en el Registro General del Tribunal Constitucional el 23 de marzo de 1988, en el que se hace constar haberse hecho expresa invocación del art. 161.2 C.E. a los efectos de la suspensión de los preceptos impugnados, formula recurso de inconstitucionalidad contra los arts. 12, 13.1 a) y 13.1 b), en lo relativo al exceso que en los mismos se prevé respecto a las magnitudes fijadas en la Ley 33/1987 de Presupuestos del Estado para 1988, así como contra los párrafos segundo y tercero del art. 13.1 d) de la Ley de la Asamblea de Madrid 6/1987, de 23 de diciembre, de Presupuestos Generales de la Comunidad de Madrid para 1988, por entender que dichos preceptos infringen los arts. 149.1, 13ª y 18ª, y 156.1 C.E., con apoyo en las siguientes alegaciones: </w:t>
      </w:r>
    </w:p>
    <w:p w:rsidR="006854DA" w:rsidRDefault="006854DA" w:rsidP="006854DA">
      <w:pPr>
        <w:pStyle w:val="TextoNormal"/>
      </w:pPr>
      <w:r>
        <w:t xml:space="preserve">A) A diferencia de lo establecido en el art. 28.1 de la Ley 33/1987, de Presupuestos Generales del Estado para 1988, según el cual "con efectos de 1 de enero de 1988, el incremento del conjunto de las retribuciones íntegras del personal en activo del sector público no sometido a la legislación laboral, aplicadas en las cuantías y de acuerdo con los regímenes retributivos vigentes en 1987, será del 4 por 100, sin perjuicio del resultado individual de la aplicación de dicho incremento" -precepto también aplicable a las Comunidades Autónomas (art. 28.2 b])-, el art. 12 de la Ley de la Comunidad de Madrid 4/1987 establece lo siguiente en su primer párrafo: </w:t>
      </w:r>
    </w:p>
    <w:p w:rsidR="006854DA" w:rsidRDefault="006854DA" w:rsidP="006854DA">
      <w:pPr>
        <w:pStyle w:val="TextoNormal"/>
      </w:pPr>
      <w:r>
        <w:t xml:space="preserve">"Con efectos de 1 de enero de 1988, el incremento del conjunto de las retribuciones íntegras del personal en activo de la Comunidad y sus Organismos Autónomos no sometido a la legislación laboral, aplicadas en las cuantías y de acuerdo con los regímenes retributivos vigentes en 1987, será del 5 por 100 por todos los conceptos, sin perjuicio de lo que se establece en los arts. 13 y 14 de la presente Ley". </w:t>
      </w:r>
    </w:p>
    <w:p w:rsidR="006854DA" w:rsidRDefault="006854DA" w:rsidP="006854DA">
      <w:pPr>
        <w:pStyle w:val="TextoNormal"/>
      </w:pPr>
      <w:r>
        <w:t xml:space="preserve">De otra parte, el art. 31.1 a) de la Ley de Presupuestos del Estado dispone, en relación con los funcionarios incluidos en el ámbito de aplicación de la Ley 30/1984, de 2 de agosto, de Medidas para la Reforma de la Función Pública, que solamente podrían ser retribuidos en concepto de sueldo y trienios por las siguientes cuantías: </w:t>
      </w:r>
    </w:p>
    <w:p w:rsidR="006854DA" w:rsidRDefault="006854DA" w:rsidP="006854DA">
      <w:pPr>
        <w:pStyle w:val="TextoNormal"/>
      </w:pPr>
      <w:r>
        <w:t xml:space="preserve">Grupo..........Sueldo.........Trienios </w:t>
      </w:r>
    </w:p>
    <w:p w:rsidR="006854DA" w:rsidRDefault="006854DA" w:rsidP="006854DA">
      <w:pPr>
        <w:pStyle w:val="TextoNormal"/>
      </w:pPr>
      <w:r>
        <w:t xml:space="preserve">A.............1.337.784.........51.336 </w:t>
      </w:r>
    </w:p>
    <w:p w:rsidR="006854DA" w:rsidRDefault="006854DA" w:rsidP="006854DA">
      <w:pPr>
        <w:pStyle w:val="TextoNormal"/>
      </w:pPr>
      <w:r>
        <w:t xml:space="preserve">B.............1.135.428.........41.076 </w:t>
      </w:r>
    </w:p>
    <w:p w:rsidR="006854DA" w:rsidRDefault="006854DA" w:rsidP="006854DA">
      <w:pPr>
        <w:pStyle w:val="TextoNormal"/>
      </w:pPr>
      <w:r>
        <w:t xml:space="preserve">C...............846.360.........30.804 </w:t>
      </w:r>
    </w:p>
    <w:p w:rsidR="006854DA" w:rsidRDefault="006854DA" w:rsidP="006854DA">
      <w:pPr>
        <w:pStyle w:val="TextoNormal"/>
      </w:pPr>
      <w:r>
        <w:t xml:space="preserve">D...............692.064.........20.556 </w:t>
      </w:r>
    </w:p>
    <w:p w:rsidR="006854DA" w:rsidRDefault="006854DA" w:rsidP="006854DA">
      <w:pPr>
        <w:pStyle w:val="TextoNormal"/>
      </w:pPr>
      <w:r>
        <w:t xml:space="preserve">E...............631.776.........15.408 </w:t>
      </w:r>
    </w:p>
    <w:p w:rsidR="006854DA" w:rsidRDefault="006854DA" w:rsidP="006854DA">
      <w:pPr>
        <w:pStyle w:val="TextoNormal"/>
      </w:pPr>
      <w:r>
        <w:t xml:space="preserve">Mientras que, por el contrario, el art. 13.1 a) de la Ley autonómica recurrida fija las cuantías de sueldo y trienios, con referencia a "los funcionarios incluidos en el ámbito de aplicación de la Ley 1/1986, de 10 de abril, de la Función Pública en la Comunidad de Madrid", del modo siguiente: </w:t>
      </w:r>
    </w:p>
    <w:p w:rsidR="006854DA" w:rsidRDefault="006854DA" w:rsidP="006854DA">
      <w:pPr>
        <w:pStyle w:val="TextoNormal"/>
      </w:pPr>
      <w:r>
        <w:t xml:space="preserve">Grupo..........Sueldo.........Trienios </w:t>
      </w:r>
    </w:p>
    <w:p w:rsidR="006854DA" w:rsidRDefault="006854DA" w:rsidP="006854DA">
      <w:pPr>
        <w:pStyle w:val="TextoNormal"/>
      </w:pPr>
      <w:r>
        <w:t xml:space="preserve">A.............1.350.644.........51.824 </w:t>
      </w:r>
    </w:p>
    <w:p w:rsidR="006854DA" w:rsidRDefault="006854DA" w:rsidP="006854DA">
      <w:pPr>
        <w:pStyle w:val="TextoNormal"/>
      </w:pPr>
      <w:r>
        <w:lastRenderedPageBreak/>
        <w:t xml:space="preserve">B.............1.146.335.........41.467 </w:t>
      </w:r>
    </w:p>
    <w:p w:rsidR="006854DA" w:rsidRDefault="006854DA" w:rsidP="006854DA">
      <w:pPr>
        <w:pStyle w:val="TextoNormal"/>
      </w:pPr>
      <w:r>
        <w:t xml:space="preserve">C...............854.494.........31.097 </w:t>
      </w:r>
    </w:p>
    <w:p w:rsidR="006854DA" w:rsidRDefault="006854DA" w:rsidP="006854DA">
      <w:pPr>
        <w:pStyle w:val="TextoNormal"/>
      </w:pPr>
      <w:r>
        <w:t xml:space="preserve">D...............698.708.........20.752 </w:t>
      </w:r>
    </w:p>
    <w:p w:rsidR="006854DA" w:rsidRDefault="006854DA" w:rsidP="006854DA">
      <w:pPr>
        <w:pStyle w:val="TextoNormal"/>
      </w:pPr>
      <w:r>
        <w:t xml:space="preserve">E...............637.850.........15.584 </w:t>
      </w:r>
    </w:p>
    <w:p w:rsidR="006854DA" w:rsidRDefault="006854DA" w:rsidP="006854DA">
      <w:pPr>
        <w:pStyle w:val="TextoNormal"/>
      </w:pPr>
      <w:r>
        <w:t xml:space="preserve">Asimismo, el art. 31.1 b) de la Ley de Presupuestos del Estado preceptúa que las pagas extraordinarias serán dos al año y tendrán un importe cada una de ellas de una mensualidad de sueldo y trienios; en tanto que la Ley de la Comunidad de Madrid, en su art. 13.1 b), dispone que "las pagas extraordinarias se percibirán de acuerdo con lo dispuesto en el art. 73 c) de la Ley 1/1986". Precepto este último según el cual las pagas extraordinarias serán "dos al año, por un importe mínimo cada una de ellas de una mensualidad de sueldos y trienios". </w:t>
      </w:r>
    </w:p>
    <w:p w:rsidR="006854DA" w:rsidRDefault="006854DA" w:rsidP="006854DA">
      <w:pPr>
        <w:pStyle w:val="TextoNormal"/>
      </w:pPr>
      <w:r>
        <w:t xml:space="preserve">Y, en fin, el art. 13.1 d) de la Ley autonómica, tras señalar que el complemento específico experimentará de forma general un incremento del 5 por 100 respecto al ejercicio de 1987, dispone lo siguiente en su segundo párrafo: </w:t>
      </w:r>
    </w:p>
    <w:p w:rsidR="006854DA" w:rsidRDefault="006854DA" w:rsidP="006854DA">
      <w:pPr>
        <w:pStyle w:val="TextoNormal"/>
      </w:pPr>
      <w:r>
        <w:t xml:space="preserve">"En ningún caso los complementos específicos de los funcionarios de la Comunidad para los que el Consejo de Gobierno ha aprobado las relaciones de puestos de trabajo serán inferiores a las siguientes cuantías: </w:t>
      </w:r>
    </w:p>
    <w:p w:rsidR="006854DA" w:rsidRDefault="006854DA" w:rsidP="006854DA">
      <w:pPr>
        <w:pStyle w:val="TextoNormal"/>
      </w:pPr>
      <w:r>
        <w:t xml:space="preserve">Grupo......... Complemento Específico </w:t>
      </w:r>
    </w:p>
    <w:p w:rsidR="006854DA" w:rsidRDefault="006854DA" w:rsidP="006854DA">
      <w:pPr>
        <w:pStyle w:val="TextoNormal"/>
      </w:pPr>
      <w:r>
        <w:t xml:space="preserve">A...................... 270.000 </w:t>
      </w:r>
    </w:p>
    <w:p w:rsidR="006854DA" w:rsidRDefault="006854DA" w:rsidP="006854DA">
      <w:pPr>
        <w:pStyle w:val="TextoNormal"/>
      </w:pPr>
      <w:r>
        <w:t xml:space="preserve">B...................... 260.000 </w:t>
      </w:r>
    </w:p>
    <w:p w:rsidR="006854DA" w:rsidRDefault="006854DA" w:rsidP="006854DA">
      <w:pPr>
        <w:pStyle w:val="TextoNormal"/>
      </w:pPr>
      <w:r>
        <w:t xml:space="preserve">C...................... 250.000 </w:t>
      </w:r>
    </w:p>
    <w:p w:rsidR="006854DA" w:rsidRDefault="006854DA" w:rsidP="006854DA">
      <w:pPr>
        <w:pStyle w:val="TextoNormal"/>
      </w:pPr>
      <w:r>
        <w:t xml:space="preserve">D...................... 245.000 </w:t>
      </w:r>
    </w:p>
    <w:p w:rsidR="006854DA" w:rsidRDefault="006854DA" w:rsidP="006854DA">
      <w:pPr>
        <w:pStyle w:val="TextoNormal"/>
      </w:pPr>
      <w:r>
        <w:t xml:space="preserve">E...................... 240.000 </w:t>
      </w:r>
    </w:p>
    <w:p w:rsidR="006854DA" w:rsidRDefault="006854DA" w:rsidP="006854DA">
      <w:pPr>
        <w:pStyle w:val="TextoNormal"/>
      </w:pPr>
      <w:r>
        <w:t xml:space="preserve">Y concluye dicho art. 13.1 d) indicando: "En el supuesto de los puestos de trabajo aprobados para ser desempeñados por varios grupos, el complemento específico será el de mayor cuantía". </w:t>
      </w:r>
    </w:p>
    <w:p w:rsidR="006854DA" w:rsidRDefault="006854DA" w:rsidP="006854DA">
      <w:pPr>
        <w:pStyle w:val="TextoNormal"/>
      </w:pPr>
      <w:r>
        <w:t xml:space="preserve">B) Descritas así las pretendidas contradicciones existentes entre la Ley autonómica y la de Presupuestos Generales del Estado, continúa el Abogado del Estado precisando el alcance de la impugnación. A este respecto, señala que la misma se proyecta a la expresión "5 por 100" del art. 12 de la Ley de Madrid 4/1987; respecto del art. 13.1 a) de la misma Ley, se impugna el cuadro de cifras de sueldo y trienios asignado a cada grupo; el art. 13.1 b) se recurre en su íntegro tenor; mientras que en relación con el art. 13.1 d) señala que el primer párrafo no es per se inconstitucional, ya que el incremento del 5 por 100 en la cuantía del complemento específico se acomodará al bloque de la constitucionalidad en tanto no se rebase el tope del 4 por 100 de incremento del conjunto de las retribuciones, pero sí se impugnan en su integridad los párrafos segundo ("En ningún caso...") y tercero ("En el supuesto de..."). </w:t>
      </w:r>
    </w:p>
    <w:p w:rsidR="006854DA" w:rsidRDefault="006854DA" w:rsidP="006854DA">
      <w:pPr>
        <w:pStyle w:val="TextoNormal"/>
      </w:pPr>
      <w:r>
        <w:t xml:space="preserve">C) Pues bien, entrando ya en la argumentación de la inconstitucionalidad de los aludidos preceptos, comienza el Abogado del Estado indicando que existe una manifiesta contradicción entre la Ley estatal y la autonómica impugnada, habida cuenta de que ésta, al fijarlo en un 5 por 100, sobrepasa el tope mínimo del 4 por 100 impuesto por aquélla. </w:t>
      </w:r>
    </w:p>
    <w:p w:rsidR="006854DA" w:rsidRDefault="006854DA" w:rsidP="006854DA">
      <w:pPr>
        <w:pStyle w:val="TextoNormal"/>
      </w:pPr>
      <w:r>
        <w:t>La autonomía presupuestaria -se argumenta a tal efecto- es parte de la autonomía financiera y una de la facetas menos controvertidas de la misma (arts. 156.1 C.E. y 1.1 L.O.F.C.A. y SSTC 32/1981, fundamento jurídico 8º, y 63/1986, fundamento jurídico 11º). Autonomía financiera no absoluta, sino sometida a las limitaciones derivadas de los principios de coordinación con la Hacienda estatal y de solidaridad entre todos los españoles (art. 156.1 C.E.), lo que se traduce en que el art. 157.3 C.E. prevea una fijación -hoy efectuada por la L.O.F.C.A.- del marco y límites en que esa autonomía ha de actuar, es</w:t>
      </w:r>
      <w:r>
        <w:lastRenderedPageBreak/>
        <w:t xml:space="preserve">tando la misma sujeta además a las limitaciones que resultan del art. 149.11ª y 13ª C.E.(STC 179/1987, fundamento jurídico 2, y art. 2.1 b] L.O.F.C.A.). </w:t>
      </w:r>
    </w:p>
    <w:p w:rsidR="006854DA" w:rsidRDefault="006854DA" w:rsidP="006854DA">
      <w:pPr>
        <w:pStyle w:val="TextoNormal"/>
      </w:pPr>
      <w:r>
        <w:t xml:space="preserve">Con arreglo -se añade- a la doctrina de la STC 63/1986, fundamento jurídico 11º, la Ley 33/1987 contiene una medida económica general de carácter presupuestario dirigida a contener la expansión relativa de uno de los componentes esenciales del gasto público, amparada en el art. 149.1.13ª; y la exigencia de coordinación con la Hacienda estatal (art. 156.1 C.E.) limita la autonomía financiera en los términos del art. 2.1 b) L.O.F.C.A. y, por ende, no resulta injustificado que, en razón de una política de contención de la inflación y de prioridad de las inversiones públicas, se establezcan por el Estado topes máximos globales al incremento de la masa retributiva de los empleados públicos, lo que no vacía aunque condicione la autonomía de gasto de las Comunidades Autónomas si -como ocurre con el art. 28 de la Ley 33/1987- no se predetermina el incremento máximo de las retribuciones de cada funcionario individualmente considerado. Dicha disposición -se concluye respecto de este punto- constituye un ejemplo más del carácter de vehículo de dirección y orientación de la política económica que reviste la Ley de Presupuestos Generales del Estado (SSTC 27/1981, fundamento jurídico 2º; 65/1987, fundamento jurídico 4º). Y consecuencia necesaria de su adecuación a la Constitución, justificada mediante los anteriores razonamientos, es la inconstitucionalidad y nulidad del art. 12 de la Ley de la Comunidad de Madrid 4/1987, al ignorar el reiterado tope retributivo. </w:t>
      </w:r>
    </w:p>
    <w:p w:rsidR="006854DA" w:rsidRDefault="006854DA" w:rsidP="006854DA">
      <w:pPr>
        <w:pStyle w:val="TextoNormal"/>
      </w:pPr>
      <w:r>
        <w:t xml:space="preserve">C) De otro lado, su art. 13.1 a) resulta inconstitucional por contrariar lo establecido en una norma de carácter básico (ex art. 149.1.18ª C.E.) cual es el art. 24.1 de la Ley 30/1984, de 2 de agosto, de medidas para la reforma de la Función Pública, que reza así: "Las cuantías de las retribuciones básicas serán iguales en todas las Administraciones Públicas para cada uno de los grupos en que se clasifican los cuerpos, escalas, categorías o clases de funcionarios (...)". Retribuciones básicas que, con arreglo al art. 23.2 de la misma Ley, son el sueldo, los trienios y las pagas extraordinarias. Pues bien, el referido art. 24.1 tiene carácter básico, según lo dispone terminantemente el art. 1.3 de la citada Ley 30/1984, siendo así que la STC 99/1987 (fundamento jurídico 2º) no estimó contrario a la Constitución dicho art. 1.3, y que la STC 63/1986 (fundamento jurídico 11) cita el art. 24 de la Ley 30/1984 como ejemplo de la previsión normativa que puede adoptarse con base en el art. 149.1.18ª C.E. En suma, dado que el art. 13.1 a) de la Ley de Madrid establece unas cuantías superiores a las establecidas por la Ley de Presupuestos del Estado, es claro que el cuadro de cifras de sueldo y trienios por grupos que contiene viola el tenor literal del art. 24.1 de la Ley 30/1984, deviniendo así inconstitucional por vulnerar la competencia reservada al Estado por el art. 149.1.18ª C.E. </w:t>
      </w:r>
    </w:p>
    <w:p w:rsidR="006854DA" w:rsidRDefault="006854DA" w:rsidP="006854DA">
      <w:pPr>
        <w:pStyle w:val="TextoNormal"/>
      </w:pPr>
      <w:r>
        <w:t xml:space="preserve">D) Conectada con el art. 13.1 a) está la impugnación del art. 13.1 b), dado que las pagas extraordinarias son retribuciones básicas a las que también se aplica el art. 24.1 de la Ley 30/1984, debiendo por ende ser iguales para todas las Administraciones públicas. Y, durante el año 1988, la cuantía, no mínima, sino perfectamente determinada de cada una de las dos que han de abonarse será de una mensualidad del sueldo y los trienios indicados en el art. 31.1 a) de la Ley 33/1987, según prescribe el art. 31.a b) de la misma Ley. Sin embargo, la dicción del art. 13.1 b) de la Ley autonómica tiene por consecuencia que la cuantía (mínima) de cada una de las pagas extraordinarias haya de ser una mensualidad del sueldo y trienios de los establecidos en el art. 13.1 a); cuantía que excede de la determinada en el art. 31.1 b) de la Ley 33/1987 de Presupuestos Generales del Estado. Así, pues, de igual modo que lo que acontece con el cuadro de cifras del art. 13.1 a), el art. 13.1 b) viola lo dispuesto en el art. 24.1 de la Ley 30/1984, ignorando con ello la competencia estatal del art. 149.1.18ª C.E. </w:t>
      </w:r>
    </w:p>
    <w:p w:rsidR="006854DA" w:rsidRDefault="006854DA" w:rsidP="006854DA">
      <w:pPr>
        <w:pStyle w:val="TextoNormal"/>
      </w:pPr>
      <w:r>
        <w:lastRenderedPageBreak/>
        <w:t xml:space="preserve">A mayor abundamiento, continúa el Abogado del Estado señalando que dicho precepto contradice la exigencia contenida en el art. 24.2 de la Ley 30/1984, consistente en que la concreta cuantía de las retribuciones básicas - pagas extraordinarias, entre ellas- figure "en los presupuestos de las demás Administraciones Públicas". Y es que, en efecto, el art. 13.1 b) de la Ley de la Comunidad de Madrid no determina con precisión cuál habrá de ser la cuantía de las pagas extraordinarias, ya que, al reenviar al art. 73 c) de la Ley autonómica de función pública, se limita a establecer un mínimo sobre el particular. Con ello también se vulnera la competencia estatal ex art. 149.1.18ª C.E., al ignorarse que el art. 24.2 de la Ley 30/1984 -norma básica- impone al legislador autonómico la obligación de hacer figurar la cuantía exacta, no el mínimo, de las pagas extraordinarias para 1988. </w:t>
      </w:r>
    </w:p>
    <w:p w:rsidR="006854DA" w:rsidRDefault="006854DA" w:rsidP="006854DA">
      <w:pPr>
        <w:pStyle w:val="TextoNormal"/>
      </w:pPr>
      <w:r>
        <w:t xml:space="preserve">E) Entrando ya en el análisis de la inconstitucionalidad del segundo párrafo del art. 13.1 d) de la Ley recurrida (mediante el cual el legislador autonómico garantiza un mínimo de complemento específico por razón de grupos), aduce el Abogado del Estado que contradice los dictados del art. 23.3 b) de la Ley 30/1984; norma básica que considera un rasgo esencial del complemento específico el hecho de que sea necesario asignarlo con referencia a cada puesto de trabajo individualmente considerado, a la vista de las "condiciones particulares" que el mismo exige, razón por la cual sólo algunos puestos de trabajo llevan aparejada la percepción del complemento específico. Por tanto, el aludido fragmento del art. 13.1 d) soslaya este mandato al introducir el grupo como pauta para garantizar un mínimo de complemento específico; siendo así que la clasificación por grupos es la determinante para las retribuciones básicas (art. 23.2 Ley 30/1984), basándose tal clasificación en la titulación exigida para el ingreso (art. 25 de la Ley 30/1984, asimismo norma básica). Y el párrafo tercero del reiterado art. 13.1 d) -que contempla el supuesto de un puesto de trabajo susceptible de ser desempeñado por varios grupos- no viene sino a ratificar que el anterior párrafo introduce un elemento extraño e incompatible con la imagen del complemento específico que resulta de la legislación estatal básica, al verse obligado a determinar que, en tal caso, se percibirá el complemento específico mínimo reconocido al grupo superior. </w:t>
      </w:r>
    </w:p>
    <w:p w:rsidR="006854DA" w:rsidRDefault="006854DA" w:rsidP="006854DA">
      <w:pPr>
        <w:pStyle w:val="TextoNormal"/>
      </w:pPr>
      <w:r>
        <w:t>Por todo lo dicho, se solicita que se dicte Sentencia declarando inconstitucionales y nulos los preceptos impugnados.</w:t>
      </w:r>
    </w:p>
    <w:p w:rsidR="006854DA" w:rsidRDefault="006854DA" w:rsidP="006854DA">
      <w:pPr>
        <w:pStyle w:val="TextoNormal"/>
      </w:pPr>
    </w:p>
    <w:p w:rsidR="006854DA" w:rsidRDefault="006854DA" w:rsidP="006854DA">
      <w:pPr>
        <w:pStyle w:val="TextoNormal"/>
      </w:pPr>
      <w:r w:rsidRPr="006854DA">
        <w:rPr>
          <w:rStyle w:val="NumeroAFNegritaCaracter"/>
        </w:rPr>
        <w:t>2</w:t>
      </w:r>
      <w:r>
        <w:t>. La Sección Cuarta acordó por providencia de 7 de abril de 1988 admitir a trámite el recurso de inconstitucionalidad; dar traslado de la demanda y de los documentos presentados, conforme establece el art. 34.1 LOTC, al Congreso de los Diputados y al Senado, así como a la Asamblea y a la Comunidad de Madrid, al objeto de que, en el plazo de quince días, pudieran personarse y formular las alegaciones que estimaren convenientes; comunicar a los Presidentes de la Asamblea y de la Comunidad de Madrid la suspensión de la vigencia y aplicación de las palabras "5 por 100" del art. 12, del cuadro de cifras que figura en el art. 13.1 a), del art. 13.1 b) y de los párrafos segundo y tercero del art. 13.1 d), todos de la Ley de la Asamblea de Madrid 4/1987; y publicar la incoación del recurso y la suspensión acordada en los Boletines Oficiales del Estado y de la Comunidad de Madrid.</w:t>
      </w:r>
    </w:p>
    <w:p w:rsidR="006854DA" w:rsidRDefault="006854DA" w:rsidP="006854DA">
      <w:pPr>
        <w:pStyle w:val="TextoNormal"/>
      </w:pPr>
    </w:p>
    <w:p w:rsidR="006854DA" w:rsidRDefault="006854DA" w:rsidP="006854DA">
      <w:pPr>
        <w:pStyle w:val="TextoNormal"/>
      </w:pPr>
      <w:r w:rsidRPr="006854DA">
        <w:rPr>
          <w:rStyle w:val="NumeroAFNegritaCaracter"/>
        </w:rPr>
        <w:t>3</w:t>
      </w:r>
      <w:r>
        <w:t>. Mediante escrito que tuvo entrada el 14 de abril de 1988, el Presidente del Congreso de los Diputados comunicó al Tribunal el Acuerdo de la Mesa de la Cámara de no personarse en el procedimiento ni formular alegaciones, poniendo a disposición del mismo las actuaciones de dicha Cámara que pudiera precisar.</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4</w:t>
      </w:r>
      <w:r>
        <w:t>. Por escrito que tuvo su entrada en el Registro General del Tribunal Constitucional el 25 de abril de 1988, el Presidente del Senado rogó se tuviese por personada a la Cámara en el procedimiento y por ofrecida su colaboración a los efectos del art. 88.1 LOTC.</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El Letrado del Consejo de Gobierno de la Comunidad de Madrid, mediante escrito registrado el 28 de abril de 1988, formuló en el presente recurso de inconstitucionalidad 544/88 las siguientes alegaciones: </w:t>
      </w:r>
    </w:p>
    <w:p w:rsidR="006854DA" w:rsidRDefault="006854DA" w:rsidP="006854DA">
      <w:pPr>
        <w:pStyle w:val="TextoNormal"/>
      </w:pPr>
      <w:r>
        <w:t xml:space="preserve">A) Comienza este escrito señalando que en el recurso de inconstitucionalidad promovido por el Presidente del Gobierno el Letrado del Estado argumenta, más que sobre la infracción de preceptos de la Constitución, sobre la inadecuación de las disposiciones recurridas a lo dispuesto en Leyes que la desarrollan, fundamentalmente la Ley 30/1984, de 2 de agosto de Medidas para la Reforma de la Función Pública. Ley ésta en cuyo art. 1.3 -que fue declarado conforme a la Constitución en la STC 99/1987- se definen las normas que tienen carácter básico, incluyéndose entre ellas la mayoría de las referidas por el Abogado del Estado. </w:t>
      </w:r>
    </w:p>
    <w:p w:rsidR="006854DA" w:rsidRDefault="006854DA" w:rsidP="006854DA">
      <w:pPr>
        <w:pStyle w:val="TextoNormal"/>
      </w:pPr>
      <w:r>
        <w:t xml:space="preserve">Dicho lo anterior, prosigue el Letrado del Consejo de Gobierno delimitando cuáles son las normas integrantes del bloque de la constitucionalidad conforme al cual habrán de elucidarse las cuestiones suscitadas en el presente recurso. En relación con el complemento específico, regulado en los párrafos segundo y tercero del art. 13.1 d) de la Ley 4/1987, se aduce que, en cuanto retribución complementaria, ha de incluirse en las relaciones de puestos de trabajo (art. 16 de la Ley 30/1984 y art. 15.2 c] de la Ley 1/1986, de la Comunidad de Madrid) y su cuantía debe figurar en los Presupuestos de la Administración (art. 24 Ley 30/1984). Y al Consejo de Gobierno atañe la valoración de cada puesto de trabajo y, con él, de cada complemento específico en atención a las circunstancias de su especial dificultad técnica, dedicación, responsabilidad, incompatibilidad, peligrosidad y penosidad (art. 74 b] de la Ley 1/1986 de la Comunidad de Madrid y 23.3 b] de la Ley 30/1984). </w:t>
      </w:r>
    </w:p>
    <w:p w:rsidR="006854DA" w:rsidRDefault="006854DA" w:rsidP="006854DA">
      <w:pPr>
        <w:pStyle w:val="TextoNormal"/>
      </w:pPr>
      <w:r>
        <w:t xml:space="preserve">Además de este procedimiento legal para la fijación del complemento específico, insiste el Letrado del Consejo de Gobierno en que de los conceptos retributivos establecidos en el art. 23 de la Ley 30/1984, y que se hallan recogidos en los arts. 72 y siguientes de la Ley 1/1986 de la Comunidad de Madrid, se encuentra especialmente ligado al puesto de trabajo el complemento específico. Las condiciones particulares en atención a las que se atribuye exigen labores técnicas complejas para su adecuada apreciación, razón por la cual tanto la Ley 30/1984, respecto a la Administración del Estado, como la Ley 1/1986, en la Comunidad de Madrid, han atribuido al Ejecutivo las competencias para determinar dicho complemento, que ha de hacerse figurar en las relaciones de puestos de trabajo (art. 15 de la Ley 30/1984 y 7.2 c] de la Ley 1/1986, de la Comunidad). </w:t>
      </w:r>
    </w:p>
    <w:p w:rsidR="006854DA" w:rsidRDefault="006854DA" w:rsidP="006854DA">
      <w:pPr>
        <w:pStyle w:val="TextoNormal"/>
      </w:pPr>
      <w:r>
        <w:t>Por último, recuerda que el nuevo sistema retributivo se enmarca en una nueva regulación legal del conjunto de la función pública, que incorpora entre sus novedades la movilidad de los funcionarios de las distintas Administraciones Públicas (art. 17 de la Ley 30/1984), lo que exige que aquellos conceptos retributivos que no tengan una íntima relación con el puesto de trabajo en concreto hayan de ser tratados de igual manera en todas las Administraciones Públicas, pues, de lo contrario, podría incurrirse en discriminaciones prohibidas por los arts. 14 y 23.2 de la Constitución.</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El escrito de alegaciones de la Asamblea de Madrid tuvo su entrada en el Registro General de este Tribunal el 28 de abril de 1988. En el mismo se sostenía la constitucionalidad de las disposiciones impugnadas con base en las siguientes consideraciones: </w:t>
      </w:r>
    </w:p>
    <w:p w:rsidR="006854DA" w:rsidRDefault="006854DA" w:rsidP="006854DA">
      <w:pPr>
        <w:pStyle w:val="TextoNormal"/>
      </w:pPr>
      <w:r>
        <w:lastRenderedPageBreak/>
        <w:t xml:space="preserve">A) Respecto de la aducida inconstitucionalidad de la expresión "5 por 100" del primer párrafo del art. 12 de la Ley de la Comunidad de Madrid 4/1987, señala el Letrado de la Asamblea que, por más que no pueda dejar de reconocerse que la autonomía presupuestaria de las Comunidades Autónomas está sujeta a limitaciones derivadas de los arts. 149.1.13ª y 156.1 de la Constitución, y que dichas limitaciones pueden concretarse en la Ley de Presupuestos en cuanto instrumento de la política económica del Estado, no es menos evidente que dichas limitaciones han de ser objeto de matizaciones al objeto de preservar un margen de capacidad decisoria de las Comunidades Autónomas. Matizaciones, como más adelante se expondrá, para cuyo reconocimiento no supone objeción alguna la doctrina vertida en la STC 63/1986, puesto que, como se indicó en la STC 199/1987, "la vinculación de este Tribunal a la doctrina establecida en sus anteriores decisiones, por importante que sea, no puede producir el efecto de invariabilidad o inmutabilidad jurisprudencial" (fundamento jurídico 1º). </w:t>
      </w:r>
    </w:p>
    <w:p w:rsidR="006854DA" w:rsidRDefault="006854DA" w:rsidP="006854DA">
      <w:pPr>
        <w:pStyle w:val="TextoNormal"/>
      </w:pPr>
      <w:r>
        <w:t xml:space="preserve">Dicho lo anterior, señala el Letrado de la Asamblea madrileña que las competencias que ostenta el Estado en la materia son de coordinación (art. 149.1.13ª y 156.1 C.E., así como art. 2.1 b] L.O.F.C.A.); competencia de coordinación general que al ejercitarse, de acuerdo con la STC 42/1983, no debe llegarse "a tal grado de desarrollo que dejen vacías de contenido las correspondientes competencias de las Comunidades" (fundamento jurídico 3º), debiéndose, por ende, ceñirse a adoptar las medidas necesarias y suficientes para asegurar la integración de la diversidad de las partes en un conjunto unitario, que es precisamente lo que persigue la actividad coordinadora (STC 11/1984, fundamento jurídico 6º). </w:t>
      </w:r>
    </w:p>
    <w:p w:rsidR="006854DA" w:rsidRDefault="006854DA" w:rsidP="006854DA">
      <w:pPr>
        <w:pStyle w:val="TextoNormal"/>
      </w:pPr>
      <w:r>
        <w:t xml:space="preserve">Pues bien, la fijación estricta y tasada por el Estado de la cuantía en que pueden elevarse las retribuciones íntegras de su personal funcionario por las Comunidades Autónomas vacía de contenido su autonomía financiera, ya que se trata de una medida que debe considerarse como excesiva para la consecución de los fines de la política económica del Estado. En efecto, la elevación del uno por ciento que ha aprobado la Comunidad de Madrid respecto de lo decidido por el Estado queda reducida a la cantidad de 515 millones de pesetas, que, si bien tiene cierta importancia en el ámbito del Presupuesto de la Comunidad, carece de ella en el marco de las macromagnitudes de la economía nacional, resultando, consiguientemente, desproporcionada la limitación. </w:t>
      </w:r>
    </w:p>
    <w:p w:rsidR="006854DA" w:rsidRDefault="006854DA" w:rsidP="006854DA">
      <w:pPr>
        <w:pStyle w:val="TextoNormal"/>
      </w:pPr>
      <w:r>
        <w:t xml:space="preserve">De otro lado, la restricción impuesta dista mucho de encontrar el necesario equilibrio entre la unidad económica de la Nación y la diversidad jurídica que deriva de la autonomía; equilibrio entre ambos principios que debe ser buscado en estos supuestos, según señala la STC 88/1986 (fundamento jurídico 6º). Y es que, ciertamente, la limitación en cuestión no deja a las Comunidades Autónomas ningún ámbito de decisión que les permita adecuar los incrementos retributivos a los diferentes niveles de inflación existentes en las diversas zonas del Estado. De este modo, se les priva de toda posibilidad de intervenir en la cuantificación del derecho a una remuneración suficiente (art. 35.1 C.E.), y en la promoción de una distribución de la renta personal más equitativa, contenida en el art. 40.1 C.E.; derecho el primero que vincula a todos los poderes públicos y principio el segundo cuyo reconocimiento, respeto y protección deben informar la legislación positiva, de conformidad, respectivamente, con los arts. 53.1 y 53.3 de la Constitución. </w:t>
      </w:r>
    </w:p>
    <w:p w:rsidR="006854DA" w:rsidRDefault="006854DA" w:rsidP="006854DA">
      <w:pPr>
        <w:pStyle w:val="TextoNormal"/>
      </w:pPr>
      <w:r>
        <w:t xml:space="preserve">En consecuencia, estima que la limitación no es legítima en la medida en que impone un incremento único y uniforme para todas ellas, que además es el mismo que el dispuesto para el personal propio del Estado. De ahí, en suma, que concluya indicando que el incremento del 5 por 100 asumido por la Ley autonómica no puede considerarse inconstitucional. </w:t>
      </w:r>
    </w:p>
    <w:p w:rsidR="006854DA" w:rsidRDefault="006854DA" w:rsidP="006854DA">
      <w:pPr>
        <w:pStyle w:val="TextoNormal"/>
      </w:pPr>
      <w:r>
        <w:lastRenderedPageBreak/>
        <w:t xml:space="preserve">B) Acto seguido, se analiza la tacha de inconstitucionalidad que el recurso proyecta al art. 13.1 a) de la Ley autonómica por establecer unas cifras de sueldo y trienios superiores a las fijadas en el art. 31.1 a) de la Ley de Presupuestos del Estado, contradiciendo así el art. 24.1 de la Ley 30/1984, según el cual "las cuantías de las retribuciones básicas serán iguales en todas las Administraciones Públicas para cada uno de los grupos en que se clasifican los Cuerpos, Escalas, Categorías o Clases de funcionarios", precepto este último declarado norma básica del régimen estatutario de los funcionarios públicos por el art. 1.3 de la citada Ley 30/1984. </w:t>
      </w:r>
    </w:p>
    <w:p w:rsidR="006854DA" w:rsidRDefault="006854DA" w:rsidP="006854DA">
      <w:pPr>
        <w:pStyle w:val="TextoNormal"/>
      </w:pPr>
      <w:r>
        <w:t xml:space="preserve">Pues bien, comienza rebatiendo la afirmación del Abogado del Estado de que el carácter básico de dicha disposición había sido expresamente sancionado por la STC 99/1987 (fundamento jurídico 2º), ya que la declaración de conformidad a la Constitución del art. 1.3 de la Ley 30/1984 se efectuó al resolver las alegaciones que se realizaron respecto a una posible consideración de dicho art. 1.3 como objeto propio de una Ley de Bases de las recogidas en los arts. 82 y 83 de la Constitución. Sentado lo que antecede, sostiene el Letrado de la Asamblea madrileña que la delimitación estatal de las cuantías de las retribuciones básicas de todas las Administraciones Públicas no puede considerarse norma básica en el sistema de distribución de competencias en materia de función pública. Si, en efecto, la competencia sobre las bases pretende asegurar un "común denominador normativo, a partir del cual cada Comunidad, en defensa del propio interés general, podrá establecer las peculiaridades que le convengan" (STC 1/1982, fundamento jurídico 1º), y si las bases "resultan ser aspectos centrales nucleares del régimen jurídico de una determinada institución" (STC 76/1986, fundamento jurídico 4º), se hace evidente que no puede ser tildada de básica la norma que nos ocupa, toda vez que ni afecta a un aspecto central del régimen jurídico de la función pública, ni existen intereses generales que deban ser asegurados mediante dicho tipo de fijación. Y, de otra parte, tampoco cabe alegar que está involucrado el principio de igualdad respecto de los funcionarios públicos; pudiendo incluso afirmarse que lo que representaría una desigualdad real, dados los diferentes niveles del coste de la vida en las diversas zonas del país, sería precisamente la aportación estatal de retribuciones básicas uniformes para todas las Administraciones Públicas. La delimitación estatal tendría únicamente sentido para determinar un mínimo que garantizase un nivel de vida estable a los diversos funcionarios, pero sin que dicho argumento pueda ir en contra de la aprobación por las Comunidades Autónomas de unas retribuciones básicas para sus funcionarios inferiores a las aprobadas por el Estado. Así, pues, de todo lo anterior se deduce que el cuadro de cifras de sueldos y trienios contenido en el art. 13.1 a) de la Ley impugnada es conforme a la Constitución, por cuanto la fijación de la cuantía de las retribuciones básicas por el Estado no tiene carácter de base del régimen jurídico de la función pública. </w:t>
      </w:r>
    </w:p>
    <w:p w:rsidR="006854DA" w:rsidRDefault="006854DA" w:rsidP="006854DA">
      <w:pPr>
        <w:pStyle w:val="TextoNormal"/>
      </w:pPr>
      <w:r>
        <w:t xml:space="preserve">C) A continuación, se rebaten en el escrito de alegaciones las dos causas de inconstitucionalidad que el recurso plantea acerca del art. 13.1 b) de la Ley autonómica. En lo que concierne a la alegación de que, debido a la mayor cuantía de los sueldos y trienios contenidos en el art. 13.1 a) respecto de los previstos en los Presupuestos del Estado, las pagas extraordinarias también superaban lo estipulado en la Ley estatal, se dan por reproducidos los argumentos utilizados para sostener que no pueden considerarse bases del régimen estatutario de los funcionarios públicos la fijación por el Estado de retribuciones básicas en igual cuantía para todas las Administraciones Públicas. </w:t>
      </w:r>
    </w:p>
    <w:p w:rsidR="006854DA" w:rsidRDefault="006854DA" w:rsidP="006854DA">
      <w:pPr>
        <w:pStyle w:val="TextoNormal"/>
      </w:pPr>
      <w:r>
        <w:t xml:space="preserve">De otro lado, la parte actora sostiene la inconstitucionalidad del art. 13.1 b) de la Ley autonómica porque, al remitirse al art. 73 c) de la Ley 1/1986, de 10 de abril, de la función pública de la Comunidad de Madrid, no determina con precisión la cuantía de las pagas </w:t>
      </w:r>
      <w:r>
        <w:lastRenderedPageBreak/>
        <w:t xml:space="preserve">extraordinarias, puesto que dicho art. 73 c) sólo señala un nivel mínimo, lo que violaría el art. 31.1 b) de la Ley 33/1987 y el art. 24.2 de la Ley 30/1984, y, con ello, al ser este artículo norma básica del régimen estatutario de los funcionarios públicos, el art. 149.1.18ª de la Constitución. A este respecto, señala el Letrado de la Asamblea de Madrid que no puede considerarse básico un precepto - como el art. 24.2 de la Ley 30/1984- que impone una reserva de Ley presupuestaria al legislador autonómico en una materia de tan escasa importancia como es la fijación de pagas extraordinarias; o, a lo sumo, ha de estimarse válida la utilización de técnicas de remisión en las Leyes de Presupuestos de las Comunidades Autónomas para la fijación de las cuantías de las distintas retribuciones. </w:t>
      </w:r>
    </w:p>
    <w:p w:rsidR="006854DA" w:rsidRDefault="006854DA" w:rsidP="006854DA">
      <w:pPr>
        <w:pStyle w:val="TextoNormal"/>
      </w:pPr>
      <w:r>
        <w:t xml:space="preserve">D) Tampoco encuentra tacha alguna de inconstitucionalidad en los párrafos segundo y tercero del art. 13.1 d) de la Ley autonómica recurrida; pretendida inconstitucionalidad que el Abogado del Estado intentó fundamentar en el hecho de que la fijación de una cuantía mínima de los complementos específicos según pertenencia a Grupo se considera contraria al art. 23.2 b) de la Ley 30/1984. Sin embargo, este último artículo no tiene carácter básico, a pesar de lo señalado por el legislador estatal en el art. 1.3 de dicha Ley, habida cuenta de que la concreta definición que aquél efectúa del complemento específico no afecta a un aspecto central del régimen jurídico de la Función Pública, ni existen intereses generales que deban ser asegurados mediante dicha definición. </w:t>
      </w:r>
    </w:p>
    <w:p w:rsidR="006854DA" w:rsidRDefault="006854DA" w:rsidP="006854DA">
      <w:pPr>
        <w:pStyle w:val="TextoNormal"/>
      </w:pPr>
      <w:r>
        <w:t xml:space="preserve">Pero es que, además, aun cuando se afirmase su carácter básico, tampoco podrían reputarse inconstitucionales los párrafos en cuestión, puesto que de los mismos no cabe deducir que todos los puestos de trabajo deban recibir un complemento específico, sino únicamente que éste tendrá un carácter mínimo en caso de que se conceda, por lo que se respeta la legislación estatal. </w:t>
      </w:r>
    </w:p>
    <w:p w:rsidR="006854DA" w:rsidRDefault="006854DA" w:rsidP="006854DA">
      <w:pPr>
        <w:pStyle w:val="TextoNormal"/>
      </w:pPr>
      <w:r>
        <w:t>Concluye el escrito de alegaciones instando el levantamiento de la suspensión de los preceptos impugnados, aduciendo a tal respecto, de una parte, el carácter extraordinario que debe tener la suspensión de la aplicación de las Leyes; y, de otro lado, que, de no aceptarse, se irrogarían notables perjuicios tanto a los funcionarios de la Comunidad de Madrid como al funcionamiento de la Administración.</w:t>
      </w:r>
    </w:p>
    <w:p w:rsidR="006854DA" w:rsidRDefault="006854DA" w:rsidP="006854DA">
      <w:pPr>
        <w:pStyle w:val="TextoNormal"/>
      </w:pPr>
    </w:p>
    <w:p w:rsidR="006854DA" w:rsidRDefault="006854DA" w:rsidP="006854DA">
      <w:pPr>
        <w:pStyle w:val="TextoNormal"/>
      </w:pPr>
      <w:r w:rsidRPr="006854DA">
        <w:rPr>
          <w:rStyle w:val="NumeroAFNegritaCaracter"/>
        </w:rPr>
        <w:t>7</w:t>
      </w:r>
      <w:r>
        <w:t>. La Sección Cuarta, por providencia de 20 de junio de 1988, acordó oír a las partes personadas para que, en el plazo común de cinco días, expusieran lo que estimasen procedente acerca del mantenimiento o levantamiento de la suspensión de los preceptos impugnados.</w:t>
      </w:r>
    </w:p>
    <w:p w:rsidR="006854DA" w:rsidRDefault="006854DA" w:rsidP="006854DA">
      <w:pPr>
        <w:pStyle w:val="TextoNormal"/>
      </w:pPr>
    </w:p>
    <w:p w:rsidR="006854DA" w:rsidRDefault="006854DA" w:rsidP="006854DA">
      <w:pPr>
        <w:pStyle w:val="TextoNormal"/>
      </w:pPr>
      <w:r w:rsidRPr="006854DA">
        <w:rPr>
          <w:rStyle w:val="NumeroAFNegritaCaracter"/>
        </w:rPr>
        <w:t>8</w:t>
      </w:r>
      <w:r>
        <w:t>. Evacuado este trámite, por Auto del Pleno de cinco de julio de 1988 se acordó el mantenimiento de la suspensión de todos los preceptos impugnados.</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20 de mayo de 1997 fue señalado para deliberación y votación de la Sentencia el día 22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el presente recurso de inconstitucionalidad la representación del Estado impugna los arts. 12, 13.1 a), 13.1 b), así como los párrafos segundo y tercero del art.  13.1 d) de la Ley de la Asamblea de Madrid 4/1987, de Presupuestos Generales de la Co</w:t>
      </w:r>
      <w:r>
        <w:lastRenderedPageBreak/>
        <w:t>munidad de Madrid para 1988, por cuanto estima que los mismos infringen los arts.  149.1, 13ª y 18ª, y 156.1 C.E.</w:t>
      </w:r>
    </w:p>
    <w:p w:rsidR="006854DA" w:rsidRDefault="006854DA" w:rsidP="006854DA">
      <w:pPr>
        <w:pStyle w:val="TextoNormal"/>
      </w:pPr>
      <w:r>
        <w:t>La primera de las cuestiones planteadas en este proceso estriba en dilucidar si el art.  12 de la Ley de Presupuestos de la Comunidad de Madrid para 1988 ha vulnerado el orden constitucional de competencias, toda vez que, ignorando el tope máximo del 4 por 100 fijado por la Ley 33/1987 de Presupuestos Generales del Estado para 1988 (art. 28.1), establece en su primer párrafo que "el incremento del conjunto de las retribuciones íntegras del personal en activo de la Comunidad y sus Organismos Autónomos no sometido a la legislación laboral, aplicadas en las cuantías y de acuerdo con los regímenes retributivos vigentes en 1987, será del 5 por 100 por todos los conceptos...". Sostiene la parte actora que el incumplimiento por parte de la Comunidad Autónoma de la restricción retributiva establecida por el Estado entraña, de una parte, la vulneración del art. 149.1.13ª C.E., ya que dicha medida, al pretender contener la expansión de uno de los componentes esenciales del gasto público, se ha dictado en ejercicio de su competencia sobre las "bases y coordinación de la planificación general de la actividad económica"; y, de otro lado, alega que infringe asimismo el art. 156.1 C.E., dado que la exigencia de coordinación con la Hacienda estatal constituye un límite de la autonomía financiera de las Comunidades Autónomas.</w:t>
      </w:r>
    </w:p>
    <w:p w:rsidR="006854DA" w:rsidRDefault="006854DA" w:rsidP="006854DA">
      <w:pPr>
        <w:pStyle w:val="TextoNormal"/>
      </w:pPr>
      <w:r>
        <w:t>La cuestión así suscitada es prácticamente idéntica a la que resolvimos en la reciente STC 171/1996, esencialmente en su fundamento jurídico segundo. Pues bien, como entonces dijimos y ahora hemos de reiterar, la imposición de este tipo de topes máximos por parte del Estado halla justificación tanto en el título competencial contenido en el art. 149.1.13ª C.E. como en el principio de coordinación, que opera como límite de la autonomía financiera de las CC.AA. (art. 156.1 C.E.)  con el alcance previsto en el art. 2.1 b) L.O.F.C.A.  (SSTC 63/1986, 96/1990 y 237/1992).</w:t>
      </w:r>
    </w:p>
    <w:p w:rsidR="006854DA" w:rsidRDefault="006854DA" w:rsidP="006854DA">
      <w:pPr>
        <w:pStyle w:val="TextoNormal"/>
      </w:pPr>
      <w:r>
        <w:t>Consiguientemente, puesto que la norma autonómica recurrida contradice abiertamente lo dispuesto en una medida económica general de carácter presupuestario dirigida a contener la expansión relativa de uno de los componentes del gasto público y establecida a través de la Ley de Presupuestos Generales del Estado, no cabe sino declarar, como igualmente hicimos en la STC 171/1996, la inconstitucionalidad de la misma por vulnerar el art. 149.1 13ª C.E.</w:t>
      </w:r>
    </w:p>
    <w:p w:rsidR="006854DA" w:rsidRDefault="006854DA" w:rsidP="006854DA">
      <w:pPr>
        <w:pStyle w:val="TextoNormal"/>
      </w:pPr>
    </w:p>
    <w:p w:rsidR="006854DA" w:rsidRDefault="006854DA" w:rsidP="006854DA">
      <w:pPr>
        <w:pStyle w:val="TextoNormal"/>
      </w:pPr>
      <w:r w:rsidRPr="006854DA">
        <w:rPr>
          <w:rStyle w:val="NumeroAFNegritaCaracter"/>
        </w:rPr>
        <w:t>2</w:t>
      </w:r>
      <w:r>
        <w:t>. El Abogado del Estado, en segundo término, entiende que el art.  13.1 a) de la Ley autonómica impugnada incurre en inconstitucionalidad al vulnerar el art. 149.1.18ª C.E., que reserva al Estado las bases del régimen estatutario de los funcionarios.  La infracción se habría producido porque, al fijar dicha disposición para cada grupo, unos sueldos y trienios superiores a los establecidos en la Ley de Presupuestos del Estado, incumple así lo preceptuado en una norma de carácter básico, cual es la contenida en el primer inciso del art. 24.1 de la Ley 30/1984, de medidas para la reforma de la Función Pública, que reza así:</w:t>
      </w:r>
    </w:p>
    <w:p w:rsidR="006854DA" w:rsidRDefault="006854DA" w:rsidP="006854DA">
      <w:pPr>
        <w:pStyle w:val="TextoNormal"/>
      </w:pPr>
      <w:r>
        <w:t>"Las cuantías de las retribuciones básicas serán iguales en todas las Administraciones Públicas para cada uno de los grupos en que se clasifican los Cuerpos, Escalas, Categorías o Clases de funcionarios".</w:t>
      </w:r>
    </w:p>
    <w:p w:rsidR="006854DA" w:rsidRDefault="006854DA" w:rsidP="006854DA">
      <w:pPr>
        <w:pStyle w:val="TextoNormal"/>
      </w:pPr>
      <w:r>
        <w:t xml:space="preserve">Sostiene la parte actora que la naturaleza básica del precepto recién transcrito está fuera de toda duda, ya que el art. 1.3 de la Ley 30/1984 lo consideró explícitamente integrante de las bases del régimen estatutario de los funcionarios públicos; y la constitucionalidad de este art. 1.3 fue sancionada en la STC 99/1987.  Frente a esta posición, argumenta el Letrado de la Asamblea de Madrid que el citado art. 24.1 carece de carácter básico, y que, </w:t>
      </w:r>
      <w:r>
        <w:lastRenderedPageBreak/>
        <w:t>en modo alguno, puede considerarse que ésta sea una cuestión ya resuelta por la STC 99/1987, puesto que -según entiende- allí sólo se abordó la constitucionalidad del citado art. 1.3 desde una perspectiva más restringida, esto es, en contestación a la alegación de que se había confundido el concepto de "bases" del art. 149.1.18ª C.E. con el de "Ley de Bases" contemplado en el art. 82 C.E.</w:t>
      </w:r>
    </w:p>
    <w:p w:rsidR="006854DA" w:rsidRDefault="006854DA" w:rsidP="006854DA">
      <w:pPr>
        <w:pStyle w:val="TextoNormal"/>
      </w:pPr>
      <w:r>
        <w:t>Esta última apreciación no puede sino ser compartida por este Tribunal. Debe, en efecto, reconocerse que en la STC 99/1987 la declaración de que el art.  1.3 de la Ley 30/1984 se adecuaba a la Constitución se efectuaba únicamente tras rechazar los diversos motivos que entonces se utilizaron para combatirlo, a saber: en relación con la aducida confusión entre "lo básico" en el sentido del art. 149.1.18ª C.E. y la delegación legislativa en favor del Gobierno prevista en el art. 82 C.E., con el consiguiente vaciamiento de las competencias autonómicas de desarrollo legislativo en la materia; acerca de la pretendida imposibilidad de que el Estado, al amparo del art. 149.1.18ª C.E., dictase normas básicas respecto de la función pública local; y, en fin, en lo concerniente a la alegación de que no es factible dictar normas básicas para regular situaciones provisionales o coyunturales (STC 99/1987, fundamento jurídico 2º). Es cierto, pues, que en esta decisión no quedó prejuzgado en modo alguno si todas las normas que reciben en el art. 1.3 de la Ley 30/1984 el calificativo de "básicas" responden, o no, también materialmente a dicha naturaleza.  Por consiguiente, dado que la calificación que al respecto adopte el legislador estatal no vincula de forma absoluta a este Tribunal, ni tan siquiera cuando la misma no fue en su momento impugnada por la Comunidad Autónoma (por todas, STC 156/1995, fundamento jurídico 3º), es claro que para decidir acerca de la constitucionalidad de este precepto autonómico habremos previamente de dilucidar si la propia norma estatal que sirve de canon respeta el orden constitucional de competencias.</w:t>
      </w:r>
    </w:p>
    <w:p w:rsidR="006854DA" w:rsidRDefault="006854DA" w:rsidP="006854DA">
      <w:pPr>
        <w:pStyle w:val="TextoNormal"/>
      </w:pPr>
      <w:r>
        <w:t xml:space="preserve">Pues bien, en lo que atañe al art. 24.1 de la Ley 30/1984, pocas dudas hay que albergar acerca de que se trata de una norma materialmente básica.  Como tantas veces ha reiterado este Tribunal, una norma merece tal calificativo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(entre otras muchas, SSTC 1/1982, fundamento jurídico 1º; 44/1982,fundamento jurídico 2º; 69/1988,fundamento jurídico 5º; 248/1988,fundamento jurídico 4º; 13/1989,fundamento jurídico 3º; 141/1993,fundamento jurídico 3º y 197/1996,fundamento jurídico 5º).  Ahora bien, según precisamos en la STC 237/1992 refiriéndonos al sector material ahora concernido, las competencias que las Comunidades Autónomas ostenten sobre el régimen estatutario de sus funcionarios no pueden impedir la intervención estatal que, "en el marco del art. 149.1.18 C.E., asegure un trato uniforme de determinados problemas en orden a la consecución de los objetivos de la política económica general o sectorial, evitando que, dada la estrecha interdependencia de las actuaciones llevadas a cabo en las distintas partes del territorio nacional, se produzca un resultado disfuncional y disgregador" (fundamento jurídico 4º).  A la luz de esta línea jurisprudencial, resulta palmaria la adecuación al orden constitucional de competencias de un precepto que determina la nivelación de la cuantía de las retribuciones básicas en todas las Administraciones públicas (esto es, sueldos, trienios y pagas extraordinarias, según el art. 23.2 de la Ley 30/1984), pues no persigue otro objetivo que lograr una mínima y fundamental homogeneidad en un aspecto sustancial del régimen funcionarial, cual es el atinente a los derechos económicos. De hecho, en relación precisamente con el art. 24 de la </w:t>
      </w:r>
      <w:r>
        <w:lastRenderedPageBreak/>
        <w:t>Ley 30/1984, ya en la STC 63/1986 tuvimos la oportunidad de señalar que, indudablemente, entre las bases del régimen estatutario de los funcionarios a que se refiere el art. 149.1.18ª C.E. "cabe incluir previsiones relativas a las retribuciones de los funcionarios, comunes a todas las Administraciones públicas, lo que, a su vez, hallaría fundamento en los principios constitucionales de igualdad y solidaridad" (fundamento jurídico 11; y, en la misma línea, SSTC 96/1990, fundamento jurídico 3º y 237/1992, fundamento jurídico 4º).</w:t>
      </w:r>
    </w:p>
    <w:p w:rsidR="006854DA" w:rsidRDefault="006854DA" w:rsidP="006854DA">
      <w:pPr>
        <w:pStyle w:val="TextoNormal"/>
      </w:pPr>
      <w:r>
        <w:t>Por lo demás tampoco se aprecia que la norma estatal básica que ha sido cuestionada por la Comunidad Autónoma sea tan incisiva que menoscabe, anule o no deje margen al ejercicio de la competencia autonómica a fin de que esta adopte una política retributiva propia respecto de sus funcionarios. La necesidad de que las bases estatales respeten un margen suficiente de autonomía en este ámbito, imprescindible para que la Comunidad Autónoma de Madrid pueda desarrollar su competencia en materia funcionarial (art. 38 del Estatuto de Autonomía) debe entenderse adecuadamente satisfecha en la Ley 30/1984, dado que la exigida igualación de la cuantía deja libertad de opción en lo tocante a las retribuciones complementarias, de cuya relevancia en el conjunto tendremos oportunidad de hacer mención seguidamente. En el bien entendido, claro está, dentro del respeto por la normativa autonómica del límite fijado por el Estado al incremento del volumen total de las retribuciones por todos los conceptos de los empleados públicos. En definitiva, no cabe sino afirmar que la normativa estatal que nos ocupa ha sido dictada con adecuación a la competencia sobre las bases que la Constitución reserva al Estado en su art. 149.1 18ª pudiendo, por tanto, operar como canon de constitucionalidad (STC 163/1995 fundamento jurídico 4º, por todas)</w:t>
      </w:r>
    </w:p>
    <w:p w:rsidR="006854DA" w:rsidRDefault="006854DA" w:rsidP="006854DA">
      <w:pPr>
        <w:pStyle w:val="TextoNormal"/>
      </w:pPr>
      <w:r>
        <w:t>Por consiguiente, sentado lo anterior, y siendo evidente que el art.  13.1 a) de la Ley autonómica recurrida establece unas retribuciones en concepto de sueldo y trienios superiores a las fijadas en el art. 31.1 a) de la Ley de Presupuestos Generales del Estado, resulta no menos obvio que, con ello, se ha ignorado la exigencia básica contenida en el primer inciso del art. 24.1 de la Ley 30/1984, incurriendo así la disposición recurrida en inconstitucionalidad.</w:t>
      </w:r>
    </w:p>
    <w:p w:rsidR="006854DA" w:rsidRDefault="006854DA" w:rsidP="006854DA">
      <w:pPr>
        <w:pStyle w:val="TextoNormal"/>
      </w:pPr>
    </w:p>
    <w:p w:rsidR="006854DA" w:rsidRDefault="006854DA" w:rsidP="006854DA">
      <w:pPr>
        <w:pStyle w:val="TextoNormal"/>
      </w:pPr>
      <w:r w:rsidRPr="006854DA">
        <w:rPr>
          <w:rStyle w:val="NumeroAFNegritaCaracter"/>
        </w:rPr>
        <w:t>3</w:t>
      </w:r>
      <w:r>
        <w:t>. El art. 13.1b) de la Ley autonómica recurrida es impugnado, en primer término, desde la misma perspectiva cuantitativa en que se ha fundado el recurso dirigido contra el art. 13.1a), es decir, porque puestos en conexión ambos preceptos, la cuantía de las pagas extraordinarias objeto de regulación en el primero de ellos excede de la que, por referencia a sueldo y trienios, ha fijado el art. 31.1a) de la Ley de Presupuestos Generales del Estado para 1988.</w:t>
      </w:r>
    </w:p>
    <w:p w:rsidR="006854DA" w:rsidRDefault="006854DA" w:rsidP="006854DA">
      <w:pPr>
        <w:pStyle w:val="TextoNormal"/>
      </w:pPr>
      <w:r>
        <w:t>Mas en este concreto aspecto la vulneración del orden competencial, por infracción de la exigencia básica contenida en el art. 24.1 de la Ley 30/84, en cuanto referida a las pagas extraordinarias como integrantes de las retribuciones básicas no es imputable al art. 13.1b) en si mismo considerado, sino a la norma a que este precepto reenvía, es decir, al art. 13.1a) de la misma Ley autonómica, cuya inconstitucionalidad ya hemos declarado.</w:t>
      </w:r>
    </w:p>
    <w:p w:rsidR="006854DA" w:rsidRDefault="006854DA" w:rsidP="006854DA">
      <w:pPr>
        <w:pStyle w:val="TextoNormal"/>
      </w:pPr>
      <w:r>
        <w:t>En consecuencia, atendiendo al primer motivo impugnatorio aducido contra el precepto de la Ley autonómica que ahora nos ocupa (art. 13.1b), relativo a la cuantía de las pagas extraordinarias), no puede acogerse la pretensión de inconstitucionalidad ejercitada por el Abogado del Estado.</w:t>
      </w:r>
    </w:p>
    <w:p w:rsidR="006854DA" w:rsidRDefault="006854DA" w:rsidP="006854DA">
      <w:pPr>
        <w:pStyle w:val="TextoNormal"/>
      </w:pPr>
      <w:r>
        <w:t xml:space="preserve">Por lo que concierne, en cambio, al segundo motivo en que fundamenta su pretensión la representación del Estado, es decir, la vulneración del orden constitucional de distribución de competencias, por infracción del mandato contenido en el art. 24.2 de la Ley 30/84, ha </w:t>
      </w:r>
      <w:r>
        <w:lastRenderedPageBreak/>
        <w:t>de estimarse la pretensión de declaración de inconstitucionalidad del art. 13.1.b) de la Ley 4/87 de Madrid.</w:t>
      </w:r>
    </w:p>
    <w:p w:rsidR="006854DA" w:rsidRDefault="006854DA" w:rsidP="006854DA">
      <w:pPr>
        <w:pStyle w:val="TextoNormal"/>
      </w:pPr>
      <w:r>
        <w:t>En efecto, el citado art. 24.2, precepto materialmente básico por cuanto que, junto a otras finalidades, obedece al designio de hacer efectivo el mandato de igualdad para todas las Administraciones públicas de la cuantía de las retribuciones básicas, establece que la concreta cuantía de éstas, y por tanto, de las pagas extraordinarias que, como concepto retributivo específico forma parte de aquellas, deberá figurar en los Presupuestos de las Administraciones públicas. Pues bien, este mandato contenido en la norma básica estatal resulta incumplido por la Comunidad Autónoma de Madrid, cuando el art. 13.1 b) de la Ley de Presupuestos impugnada dispone que: "las pagas extraordinarias se percibirán de acuerdo con lo dispuesto en el art. 73 c) de la Ley 1/1986", precepto éste de la Ley reguladora de la Función pública autonómica, a cuyo tenor, las pagas extraordinarias serán dos al año, por un importe mínimo cada una de ellas de una mensualidad del sueldo y trienios.  Esta remisión al precepto material o sustantivo de la normativa autonómica sobre la función pública, referido a un importe mínimo, deja sin precisar el concreto importe o cuantía de las pagas extraordinarias, como concepto retributivo que integran las retribuciones básicas, cuya concreta determinación cuantitativa ha de verse adecuadamente reflejada en la correspondiente Ley de Presupuestos.</w:t>
      </w:r>
    </w:p>
    <w:p w:rsidR="006854DA" w:rsidRDefault="006854DA" w:rsidP="006854DA">
      <w:pPr>
        <w:pStyle w:val="TextoNormal"/>
      </w:pPr>
      <w:r>
        <w:t>Se impone, por ello, declarar que vulnera el orden constitucional de competencias el art. 13.1b) de la Ley autonómica, al ser contrario a la norma básica del Estado contenida en el art. 24.2 de la Ley 30/1984.</w:t>
      </w:r>
    </w:p>
    <w:p w:rsidR="006854DA" w:rsidRDefault="006854DA" w:rsidP="006854DA">
      <w:pPr>
        <w:pStyle w:val="TextoNormal"/>
      </w:pPr>
    </w:p>
    <w:p w:rsidR="006854DA" w:rsidRDefault="006854DA" w:rsidP="006854DA">
      <w:pPr>
        <w:pStyle w:val="TextoNormal"/>
      </w:pPr>
      <w:r w:rsidRPr="006854DA">
        <w:rPr>
          <w:rStyle w:val="NumeroAFNegritaCaracter"/>
        </w:rPr>
        <w:t>4</w:t>
      </w:r>
      <w:r>
        <w:t>. Finalmente, en el presente recurso se impugnan, asimismo, los párrafos segundo y tercero del art. 13.1 d) de la Ley de Presupuestos Generales de la Comunidad de Madrid para 1988, que son del siguiente tenor literal:</w:t>
      </w:r>
    </w:p>
    <w:p w:rsidR="006854DA" w:rsidRDefault="006854DA" w:rsidP="006854DA">
      <w:pPr>
        <w:pStyle w:val="TextoNormal"/>
      </w:pPr>
      <w:r>
        <w:t>"En ningún caso los complementos específicos de los funcionarios de la Comunidad para los que el Consejo de Gobierno ha aprobado las relaciones de puestos de trabajo serán inferiores a las siguientes cuantías:</w:t>
      </w:r>
    </w:p>
    <w:p w:rsidR="006854DA" w:rsidRDefault="006854DA" w:rsidP="006854DA">
      <w:pPr>
        <w:pStyle w:val="TextoNormal"/>
      </w:pPr>
      <w:r>
        <w:t>Grupo.........  Complemento Específico</w:t>
      </w:r>
    </w:p>
    <w:p w:rsidR="006854DA" w:rsidRDefault="006854DA" w:rsidP="006854DA">
      <w:pPr>
        <w:pStyle w:val="TextoNormal"/>
      </w:pPr>
      <w:r>
        <w:t>A...................... 270.000</w:t>
      </w:r>
    </w:p>
    <w:p w:rsidR="006854DA" w:rsidRDefault="006854DA" w:rsidP="006854DA">
      <w:pPr>
        <w:pStyle w:val="TextoNormal"/>
      </w:pPr>
      <w:r>
        <w:t>B...................... 260.000</w:t>
      </w:r>
    </w:p>
    <w:p w:rsidR="006854DA" w:rsidRDefault="006854DA" w:rsidP="006854DA">
      <w:pPr>
        <w:pStyle w:val="TextoNormal"/>
      </w:pPr>
      <w:r>
        <w:t>C...................... 250.000</w:t>
      </w:r>
    </w:p>
    <w:p w:rsidR="006854DA" w:rsidRDefault="006854DA" w:rsidP="006854DA">
      <w:pPr>
        <w:pStyle w:val="TextoNormal"/>
      </w:pPr>
      <w:r>
        <w:t>D...................... 245.000</w:t>
      </w:r>
    </w:p>
    <w:p w:rsidR="006854DA" w:rsidRDefault="006854DA" w:rsidP="006854DA">
      <w:pPr>
        <w:pStyle w:val="TextoNormal"/>
      </w:pPr>
      <w:r>
        <w:t>E...................... 240.000</w:t>
      </w:r>
    </w:p>
    <w:p w:rsidR="006854DA" w:rsidRDefault="006854DA" w:rsidP="006854DA">
      <w:pPr>
        <w:pStyle w:val="TextoNormal"/>
      </w:pPr>
      <w:r>
        <w:t>"En el supuesto de los puestos de trabajo aprobados para ser desempeñados por varios grupos, el complemento específico será el de mator cuantía".</w:t>
      </w:r>
    </w:p>
    <w:p w:rsidR="006854DA" w:rsidRDefault="006854DA" w:rsidP="006854DA">
      <w:pPr>
        <w:pStyle w:val="TextoNormal"/>
      </w:pPr>
      <w:r>
        <w:t>Al igual que lo acontecido en relación con los últimos preceptos analizados, se imputa a los recién transcritos la vulneración del art. 149.1.18ª C.E. por contrariar lo establecido en otra de las disposiciones de la Ley 30/1984 calificada de básica en su art. 1.3, a saber, el art. 23.3 b), según el cual:</w:t>
      </w:r>
    </w:p>
    <w:p w:rsidR="006854DA" w:rsidRDefault="006854DA" w:rsidP="006854DA">
      <w:pPr>
        <w:pStyle w:val="TextoNormal"/>
      </w:pPr>
      <w:r>
        <w:t>"Son retribuciones complementarias: (...).</w:t>
      </w:r>
    </w:p>
    <w:p w:rsidR="006854DA" w:rsidRDefault="006854DA" w:rsidP="006854DA">
      <w:pPr>
        <w:pStyle w:val="TextoNormal"/>
      </w:pPr>
      <w:r>
        <w:t>"b) El complemento específico destinado a retribuir condiciones particulares de algunos puestos de trabajo en atención a su especial dificultad técnica, dedicación, responsabilidad, incompatibilidad, peligrosidad o penosidad. En ningún caso podrá asignarse más de un complemento específico a cada puesto de trabajo".</w:t>
      </w:r>
    </w:p>
    <w:p w:rsidR="006854DA" w:rsidRDefault="006854DA" w:rsidP="006854DA">
      <w:pPr>
        <w:pStyle w:val="TextoNormal"/>
      </w:pPr>
      <w:r>
        <w:t xml:space="preserve">En lo esencial, entiende el Abogado del Estado que los impugnados párrafos del art.  13.1 d) de la Ley autonómica, en cuanto introducen el grupo como pauta para asegurar un mínimo de complemento específico, contrarían frontalmente la norma básica, toda vez que </w:t>
      </w:r>
      <w:r>
        <w:lastRenderedPageBreak/>
        <w:t>ésta considera rasgo consustancial a este tipo de retribuciones complementarias el hecho de que las mismas se fijen en referencia a las "condiciones particulares" que exija cada puesto de trabajo; razón por la cual sólo algunos de ellos llevan aparejada la percepción del complemento específico. Y, como también sucedió con las disposiciones recurridas que últimamente nos han ocupado, el Letrado de la Asamblea de Madrid centra sus alegaciones en negar que sea materialmente básico el citado precepto estatal, si bien en esta ocasión añade que, sea cual fuere su calificación, no cabría en ningún caso apreciar la inconstitucionalidad denunciada, puesto que el art. 13.1 d) no lo contradice en absoluto, al no poder inferirse del mismo que todos los puestos de trabajo deban tener un complemento específico (STC 99/1987, fundamento jurídico 3º)</w:t>
      </w:r>
    </w:p>
    <w:p w:rsidR="006854DA" w:rsidRDefault="006854DA" w:rsidP="006854DA">
      <w:pPr>
        <w:pStyle w:val="TextoNormal"/>
      </w:pPr>
      <w:r>
        <w:t>Pues bien, tampoco ahora puede compartirse la apreciación del representante de la Comunidad Autónoma de que la disposición estatal carece de carácter básico.  La definición de este concreto concepto retributivo está estrechamente relacionada con las decisiones fundamentales concernientes al propio modelo de función pública que descansa en el sistema de puestos de trabajo por el que optó el legislador estatal de la citada Ley 30/1984. Así es: la voluntad del legislador de alejarse de un sistema de estructura corporativa y de avanzar, en consecuencia, hacia un sistema abierto, mediante la implantación de la clasificación de los puestos de trabajo como "base sobre la que ha de articularse la auténtica carrera administrativa" (Exposición de Motivos de la Ley 30/1984), determinó la paralela modificación del anterior régimen retributivo.</w:t>
      </w:r>
    </w:p>
    <w:p w:rsidR="006854DA" w:rsidRDefault="006854DA" w:rsidP="006854DA">
      <w:pPr>
        <w:pStyle w:val="TextoNormal"/>
      </w:pPr>
      <w:r>
        <w:t>En este marco legal, las retribuciones básicas, en cuanto más directamente conectadas con el sistema de cuerpos funcionariales -dado que, al resultar en ellas determinante la clasificación por grupos (art. 23.2), vienen a reflejar la titulación y capacitación técnica exigidas para el acceso al Cuerpo (art.  25)-, pierden relieve en beneficio de las retribuciones complementarias. Así, pues, como pertinente trasunto del modelo de función pública que se pretendía instaurar, la Ley 30/1984, al regular las retribuciones, estableció "con claridad una primacía importante para aquellas que van ligadas al desempeño del puesto de trabajo" (Exposición de Motivos).  De ahí que el complemento específico que nos ocupa, en la medida en que está derechamente orientado a "retribuir las condiciones particulares de algunos puestos de trabajo" (art.  23.3 b]), se convierta en elemento relevante para perfilar el sistema de estructuración abierto por el que optó el legislador básico. En atención a lo dicho, ha de concluirse reiterando que el contenido del art. 23.3b) de la Ley 30/1984 se ajusta a la competencia estatal ex art. 149.1.18ª C.E., al poder encuadrarse entre esos "aspectos centrales, nucleares del régimen jurídico de una determinada institución" (STC 76/1986,fundamento jurídico 4º) en que las "bases", materialmente, consisten.</w:t>
      </w:r>
    </w:p>
    <w:p w:rsidR="006854DA" w:rsidRDefault="006854DA" w:rsidP="006854DA">
      <w:pPr>
        <w:pStyle w:val="TextoNormal"/>
      </w:pPr>
      <w:r>
        <w:t xml:space="preserve">Distinta consideración ha de merecer, la segunda alegación defendida por el Letrado de la Asamblea de Madrid. Ciertamente, al cotejar los párrafos impugnados del art. 13.1.d) de la Ley autonómica con la recién mencionada disposición básica, no se aprecia que aquéllos incurran en la abierta contradicción que resulta imprescindible, en supuestos como el presente, para sostener la inconstitucionalidad de las normas autonómicas. El precepto recurrido erige, sí, al grupo en factor determinante de un mínimo de complemento específico; pero esta circunstancia, por sí sola, no puede considerarse atentatoria de las bases y llevar, sin más, a la inconstitucionalidad del mismo. De hecho, la impugnación de la parte actora se apoya en buena medida en una determinada interpretación de la norma objeto de control, según la cual la misma supondría atribuir el complemento específico a todos los puestos de trabajo, desnaturalizándose así la concepción básica de esta retribución, en cuanto necesariamente conectada a algunos de dichos puestos en atención a sus particulares condiciones. Ésta no es, sin embargo, la única interpretación posible de la disposición </w:t>
      </w:r>
      <w:r>
        <w:lastRenderedPageBreak/>
        <w:t>autonómica, pues, como atinadamente apunta el representante de la Asamblea de Madrid, de ella no cabe forzosamente inferir, en modo alguno, que a todos los puestos de trabajo deba asignarse el reiterado complemento, sino que, estrictamente, se limita a a una cuantía mínima en el caso de que dicho concepto retributivo se asigne a determinados puestos de trabajo.</w:t>
      </w:r>
    </w:p>
    <w:p w:rsidR="006854DA" w:rsidRDefault="006854DA" w:rsidP="006854DA">
      <w:pPr>
        <w:pStyle w:val="TextoNormal"/>
      </w:pPr>
      <w:r>
        <w:t>Así interpretado el alcance del precepto impugnado, es claro que no se desvincula la concreta cuantía del complemento específico de las "condiciones particulares" que caractericen a cada puesto de trabajo receptor del mismo, por lo que no cabe entender que el art. 13.1d) de la Ley autonómica desvirtúe el concepto que de dicha retribución complementaria ha establecido la legislación básica.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el recurso de inconstitucionalidad y, en consecuencia:</w:t>
      </w:r>
    </w:p>
    <w:p w:rsidR="006854DA" w:rsidRDefault="006854DA" w:rsidP="006854DA">
      <w:pPr>
        <w:pStyle w:val="TextoNormal"/>
      </w:pPr>
      <w:r>
        <w:t>1º. Declarar la inconstitucionalidad y consiguiente nulidad de los arts.12, 13.1 a) y 13.1 b) de la Ley de la Asamblea de Madrid 4/1987, de 23 de diciembre, de Presupuestos Generales de la Comunidad de Madrid para 1988.</w:t>
      </w:r>
    </w:p>
    <w:p w:rsidR="006854DA" w:rsidRDefault="006854DA" w:rsidP="006854DA">
      <w:pPr>
        <w:pStyle w:val="TextoNormal"/>
      </w:pPr>
      <w:r>
        <w:t>2º. Declarar que el art. 13.1 d), párrafos 2º y 3º, de la citada Ley no es inconstitucional si se interpreta en los términos contenidos en el fundamento jurídico 4º de esta Sentencia.</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veintidós de mayo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0" w:name="SENTENCIA_1997_104"/>
      <w:r>
        <w:lastRenderedPageBreak/>
        <w:t>SENTENCIA 104/1997, de 2 de junio de 1997</w:t>
      </w:r>
    </w:p>
    <w:bookmarkEnd w:id="20"/>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ECLI:ES:TC:1997:104</w:t>
      </w:r>
    </w:p>
    <w:p w:rsidR="006854DA" w:rsidRDefault="006854DA" w:rsidP="006854DA">
      <w:pPr>
        <w:pStyle w:val="SntesisDescriptiva"/>
      </w:pPr>
    </w:p>
    <w:p w:rsidR="006854DA" w:rsidRDefault="006854DA" w:rsidP="006854DA">
      <w:pPr>
        <w:pStyle w:val="SntesisDescriptiva"/>
      </w:pPr>
      <w:r>
        <w:t>Recurso de amparo 1.104/1994. Contra Sentencia de la Sala de lo Social del T.S.J. de Galicia, dictada en recurso de suplicación, en autos seguidos por despido.</w:t>
      </w:r>
    </w:p>
    <w:p w:rsidR="006854DA" w:rsidRDefault="006854DA" w:rsidP="006854DA">
      <w:pPr>
        <w:pStyle w:val="SntesisDescriptiva"/>
      </w:pPr>
    </w:p>
    <w:p w:rsidR="006854DA" w:rsidRDefault="006854DA" w:rsidP="006854DA">
      <w:pPr>
        <w:pStyle w:val="SntesisAnaltica"/>
      </w:pPr>
      <w:r>
        <w:t>Vulneración del derecho a la tutela judicial efectiva: declaración de caducidad de la acción ejercitada por los ahora recurrentes lesiva del derecho.</w:t>
      </w:r>
    </w:p>
    <w:p w:rsidR="006854DA" w:rsidRDefault="006854DA" w:rsidP="006854DA">
      <w:pPr>
        <w:pStyle w:val="SntesisAnaltica"/>
      </w:pPr>
    </w:p>
    <w:p w:rsidR="006854DA" w:rsidRDefault="006854DA" w:rsidP="006854DA">
      <w:pPr>
        <w:pStyle w:val="Extracto"/>
      </w:pPr>
      <w:r>
        <w:t>1.</w:t>
      </w:r>
      <w:r>
        <w:tab/>
        <w:t>La caducidad de la acción constituye una de las causas legales que impiden un pronunciamiento sobre el fondo, siendo su cómputo -como, en general, el de todos los plazos sustantivos y procesales- una cuestión de estricta legalidad ordinaria que corresponde valorar a los órganos judiciales. No obstante, también ha mantenido reiteradamente este Tribunal que la interpretación de las normas legales que realizan aquéllos es revisable en amparo cuando la apreciación de la caducidad afecta a un derecho fundamental, como ocurre cuando determina, bien la inadmisión de la acción -como en el presente caso-, bien la pérdida de algún trámite procesal que impida la defensa, todo ello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[F.J. 2].</w:t>
      </w:r>
    </w:p>
    <w:p w:rsidR="006854DA" w:rsidRDefault="006854DA" w:rsidP="006854DA">
      <w:pPr>
        <w:pStyle w:val="Extracto"/>
      </w:pPr>
    </w:p>
    <w:p w:rsidR="006854DA" w:rsidRDefault="006854DA" w:rsidP="006854DA">
      <w:pPr>
        <w:pStyle w:val="Extracto"/>
      </w:pPr>
      <w:r>
        <w:t>2.</w:t>
      </w:r>
      <w:r>
        <w:tab/>
        <w:t xml:space="preserve">Tal respuesta de inadmisión se realiza a través de una interpretación sobre el carácter no subsanable de la omisión en el escrito de reclamación, que requiere, a su vez, ser ponderada desde la doctrina sobre la subsanación de defectos procesales reiteradamente mantenida por este Tribunal. Una vez más debemos recordar que, desde la perspectiva constitucional, se considera que los requisitos procesales no tienen sustantividad propia, sino que constituyen medios orientados a conseguir ciertas finalidades en el proceso, de forma que sus eventuales anomalías, cuya valoración corresponde a los órganos judiciales, no pueden, sin embargo, ser convertidas en meros obstáculos formales impeditivos de una respuesta judicial o de la continuación del proceso, resultando obligada una interpretación presidida por un criterio de proporcionalidad entre la finalidad y entidad real del defecto advertido y las consecuencias que de su apreciación puedan seguirse para la efectividad del derecho a la tutela judicial, perspectiva que favorece, por tanto, la subsanación del defecto siempre que sea posible, ya que, si bien del art. 24.1 C.E. no cabe deducir la imposición de un trámite de este tipo, sí impide este precepto la clausura de un procedimiento por defectos que pueden subsanarse sin perjuicio para otros derechos o intereses (entre otras muchas, SSTC 17/1995, 110/1985, 118/1987, 132/1987, 174/1988, 2/1989 y 240/1991). Específicamente en </w:t>
      </w:r>
      <w:r>
        <w:lastRenderedPageBreak/>
        <w:t>relación al tema que nos ocupa, este Tribunal ha mantenido de forma indubitada que la falta de acreditación de la representación procesal, si el defecto se reduce a aquélla, tiene carácter subsanable, de forma que no puede conllevar automáticamente la inadmisión del escrito sino hasta después de requeridos, y no aportados, los documentos omitidos (así, SSTC 163/1985, 117/1986, 132/1987, 59/1988, 174/1988, 6/1990, 92/1990, 213/1990, 133/1991 y 350/1993) [F.J. 4].</w:t>
      </w:r>
    </w:p>
    <w:p w:rsidR="006854DA" w:rsidRDefault="006854DA" w:rsidP="006854DA">
      <w:pPr>
        <w:pStyle w:val="Extracto"/>
      </w:pPr>
    </w:p>
    <w:p w:rsidR="006854DA" w:rsidRDefault="006854DA" w:rsidP="006854DA">
      <w:pPr>
        <w:pStyle w:val="Extracto"/>
      </w:pPr>
      <w:r>
        <w:t>3.</w:t>
      </w:r>
      <w:r>
        <w:tab/>
        <w:t>Con el mismo criterio puede controlarse la decisión del órgano judicial de negar toda eficacia al escrito de reclamación previa firmado por la Letrada sin acompañar en ese momento los poderes acreditativos de la representación (en este sentido, aunque sobre un supuesto referido a la conciliación previa, STC 350/1993). Aquellos poderes tienen como finalidad, efectivamente, la de asegurar que se presenta la reclamación en nombre de quien se afirma, pero ello no hace de su aportación un requisito sustancial, autónomo e insubsanable, máxime si se integra dentro de un trámite preprocesal dirigido a permitir a la Administración la emisión de una nueva declaración de voluntad que evite el proceso (SSTC 21/1986, 11/1988, 60/1989, 217/1991, 70/1992, 65/193 y 120/1993), finalidad ésta que, en el presente caso, no cabe duda de que fue materialmente satisfecha. En consecuencia, también aquí la representación puede ser posteriormente verificada mediante la aportación de los documentos correspondientes, sin que su omisión deje de ser un defecto subsanable por naturaleza y sin que, por tanto, pueda anudarse a ella automáticamente la pérdida de toda eficacia para el escrito presentado [F.J. 4].</w:t>
      </w:r>
    </w:p>
    <w:p w:rsidR="006854DA" w:rsidRDefault="006854DA" w:rsidP="006854DA">
      <w:pPr>
        <w:pStyle w:val="Extracto"/>
      </w:pPr>
    </w:p>
    <w:p w:rsidR="006854DA" w:rsidRDefault="006854DA" w:rsidP="006854DA">
      <w:pPr>
        <w:pStyle w:val="Extracto"/>
      </w:pPr>
      <w:r>
        <w:t>4.</w:t>
      </w:r>
      <w:r>
        <w:tab/>
        <w:t>La propia norma de procedimiento administrativo -aplicable a la presentación de la reclamación previa- prevé un trámite de subsanación de defectos (art. 71 L. P.A.), a tenor del cual la Administración ante la que se haya presentado el escrito podrá requerir la subsanación de la falta o el acompañamiento del escrito; trámite que, en su caso, le cabía emplear a la Xunta si deseaba que se acreditase la representación de la Letrada. En tal hipótesis, el plazo para ello no hubiera podido ser otro que el aludido de diez días de la L.P.A. y, caso de subsanarse satisfactoriamente la omisión, no se hubiera presentado ninguna duda acerca de que la fecha de presentación de la reclamación previa era la de la presentación del escrito, fecha a la que se retrotraerían los efectos de la subsanación como natural consecuencia de ésta. La decisión impugnada convierte de este modo en insubsanable una omisión que no lo hubiera sido en el caso de que la Xunta hubiera requerido los documentos y que, de hecho, no le planteó ninguna duda al Juzgado de lo Social respecto a la presentación en tiempo de la reclamación [F.J. 5].</w:t>
      </w:r>
    </w:p>
    <w:p w:rsidR="006854DA" w:rsidRDefault="006854DA" w:rsidP="006854DA">
      <w:pPr>
        <w:pStyle w:val="Extracto"/>
      </w:pPr>
    </w:p>
    <w:p w:rsidR="006854DA" w:rsidRDefault="006854DA" w:rsidP="006854DA">
      <w:pPr>
        <w:pStyle w:val="Extracto"/>
      </w:pPr>
      <w:r>
        <w:t>5.</w:t>
      </w:r>
      <w:r>
        <w:tab/>
        <w:t>Finalmente, tampoco se observa que las recurrentes hayan incurrido en una conducta maliciosa que, en otras ocasiones ha llevado a este Tribunal a modular la doctrina anteriormente recordada de la subsanabilidad de los defectos procesales (SSTC 95/1983, 132/1987, 46/1989 y 65/1993). Frente a lo sostenido por la Sentencia impugnada no cabe presumir, en este supuesto, que aquéllas o su Letrada persiguieran con su actuación una ampliación del plazo para reclamar por despido, teniendo presente que la reclamación previa no se presentó siquiera el último día de aquél [F.J. 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1.104/94, promovido por doña María del Carmen González Rodríguez, doña Dolores del Pilar Pérez Martínez, doña Dosinda Vázquez García, doña Adela González Fernández, doña María del Rosario Alvarez Antonio y doña Purificación Carral Gil, representadas por la Procuradora de los Tribunales doña María Luisa Argüelles Elcarte y asistidas del Letrado don José Francisco García Latorre, contra la Sentencia de la Sala de lo Social del Tribunal Superior de Justicia de Galicia, de 16 de septiembre de 1992. Han comparecido el Ministerio Fiscal y la Xunta de Galicia, representada por el Procurador de los Tribunales don Argimiro Vázquez Guillén. Ha sido Ponente el Magistrado don José Gabaldón López,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día 2 de abril de 1994, la Procuradora de los Tribunales doña María Luisa Argüelles Elcarte interpuso, en nombre y representación de doña María del Carmen González Rodríguez, doña Dolores del Pilar Pérez Martínez, doña Dosinda Vázquez García, doña Adela González Fernández, doña María del Rosario Alvarez Antonio y doña Purificación Carral Gil, recurso de amparo contra la Sentencia de la Sala de lo Social del Tribunal Superior de Justicia de Galicia, de 16 de septiembre de 1992, por entender que vulnera el derecho a la tutela judicial efectiva (art. 24.1 CE).</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de amparo tiene su origen en los siguientes hechos: </w:t>
      </w:r>
    </w:p>
    <w:p w:rsidR="006854DA" w:rsidRDefault="006854DA" w:rsidP="006854DA">
      <w:pPr>
        <w:pStyle w:val="TextoNormal"/>
      </w:pPr>
      <w:r>
        <w:t xml:space="preserve">a) Las recurrentes prestaron servicios en la Residencia de Tiempo Libre Carballino, dependiente de la Conselleria de Traballo y Servicios Sociais de la Xunta de Galicia, durante los años 1986 a 1991, mediante contratos temporales de obra y servicio determinado y fomento al empleo, coincidentes con la apertura anual de las temporadas de la mencionada Residencia. El día 1 de mayo no fueron llamadas para la nueva temporada, por lo que iniciaron procedimiento por despido. </w:t>
      </w:r>
    </w:p>
    <w:p w:rsidR="006854DA" w:rsidRDefault="006854DA" w:rsidP="006854DA">
      <w:pPr>
        <w:pStyle w:val="TextoNormal"/>
      </w:pPr>
      <w:r>
        <w:t xml:space="preserve">b) Para ello, presentaron reclamación administrativa previa ante la Delegación Provincial de Orense de la Conselleria de Traballo y Servicios Sociais de la Xunta de Galicia el día 21 de mayo de 1992. En dicha reclamación previa, las actoras anunciaban su intención de interponer demanda por despido nulo y subsidiariamente improcedente puesto que, considerándose trabajadoras fijas discontinuas, el no llamamiento a la temporada equivalía a un despido, como disponía la legislación laboral correspondiente. Se hacían constar las </w:t>
      </w:r>
      <w:r>
        <w:lastRenderedPageBreak/>
        <w:t xml:space="preserve">categorías profesionales, el salario y los datos personales de cada una de ellas. La reclamación iba firmada por la Abogada doña María Pilar Carbajales Lage. </w:t>
      </w:r>
    </w:p>
    <w:p w:rsidR="006854DA" w:rsidRDefault="006854DA" w:rsidP="006854DA">
      <w:pPr>
        <w:pStyle w:val="TextoNormal"/>
      </w:pPr>
      <w:r>
        <w:t xml:space="preserve">El día 4 de junio de 1992, aquélla presentó un escrito en el que, al objeto de acreditar la representación de las trabajadoras en la reclamación previa, acompañaba copias de la documentación correspondiente. Se presentó copia compulsada del otorgamiento de la representación, de fecha 21 de mayo de 1992, tal como se desprende de la copia presentada con la demanda judicial. </w:t>
      </w:r>
    </w:p>
    <w:p w:rsidR="006854DA" w:rsidRDefault="006854DA" w:rsidP="006854DA">
      <w:pPr>
        <w:pStyle w:val="TextoNormal"/>
      </w:pPr>
      <w:r>
        <w:t xml:space="preserve">La reclamación previa no fue contestada, por lo que se interpuso demanda judicial el día 22 de junio de 1992. </w:t>
      </w:r>
    </w:p>
    <w:p w:rsidR="006854DA" w:rsidRDefault="006854DA" w:rsidP="006854DA">
      <w:pPr>
        <w:pStyle w:val="TextoNormal"/>
      </w:pPr>
      <w:r>
        <w:t xml:space="preserve">c) La Sentencia del Juzgado de lo Social núm. 2 de Orense, de 24 de julio de 1992, estimó la demanda. Para ello, rechazó la excepción de caducidad de la acción por despido opuesta por la Xunta, que fijaba en el día 16 de junio de 1988 - fecha en que se convalidaron los contratos fijos discontinuos- el momento de cómputo de los veinte días, atendiendo el órgano judicial al hecho de que las actoras habían continuado prestando servicios con posterioridad a aquella fecha; calificó como relación laboral de fijo discontinuo la que ostentaban aquéllas y concluyó con la declaración de despido nulo para el no llamamiento del 1 de mayo de 1992, condenando a la Xunta a la readmisión y al pago de los salarios de tramitación. </w:t>
      </w:r>
    </w:p>
    <w:p w:rsidR="006854DA" w:rsidRDefault="006854DA" w:rsidP="006854DA">
      <w:pPr>
        <w:pStyle w:val="TextoNormal"/>
      </w:pPr>
      <w:r>
        <w:t xml:space="preserve">d) La Xunta interpuso recurso de suplicación, que fue estimado por la Sentencia de la Sala de lo Social del Tribunal Superior de Justicia de Galicia, de 16 de septiembre de 1992, al declarar caducada la acción por despido. La resolución judicial considera que la reclamación previa fue presentada el día 4 de junio de 1992, negando validez al escrito presentado el día 21 de mayo anterior, por no ir firmado por las actoras ni haberse acreditado entonces la representación de la Letrada, careciendo, por tanto, de eficacia interruptiva del plazo de caducidad de veinte días para reclamar por despido. El órgano judicial rechaza que se estuviera ante un defecto de carácter subsanable del art. 71 de la Ley de Procedimiento Administrativo, manteniendo que si se quiso corregir la omisión, ello debió hacerse en el plazo de veinte días. De entenderse lo contrario -afirma la Sentencia- los plazos de caducidad quedarían al arbitrio de los demandantes, sin más que presentar una reclamación a sabiendas de sus defectos formales y aplicarles, por propia iniciativa, el término de diez días para corregirlos. </w:t>
      </w:r>
    </w:p>
    <w:p w:rsidR="006854DA" w:rsidRDefault="006854DA" w:rsidP="006854DA">
      <w:pPr>
        <w:pStyle w:val="TextoNormal"/>
      </w:pPr>
      <w:r>
        <w:t>e) La vía judicial previa se agotó con la interposición de recurso de casación para la unificación de doctrina frente a la anterior Sentencia, recurso que fue inadmitido por Auto de la Sala de lo Social del Tribunal Supremo, de 2 de febrero de 1994, por no apreciar contradicción entre la Sentencia recurrida y las aportadas como contraste.</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Las recurrentes estiman que la decisión del Tribunal Superior de Justicia de Galicia ha vulnerado su derecho a la tutela judicial efectiva, impidiéndoles obtener una resolución sobre el fondo de la pretensión al declarar caducada la acción por despido. </w:t>
      </w:r>
    </w:p>
    <w:p w:rsidR="006854DA" w:rsidRDefault="006854DA" w:rsidP="006854DA">
      <w:pPr>
        <w:pStyle w:val="TextoNormal"/>
      </w:pPr>
      <w:r>
        <w:t xml:space="preserve">Alegan en su demanda que la Sentencia recurrida no toma en cuenta que, presentada la reclamación previa el 21 de mayo de 1992, aun cuando no se adjuntó el poder de la Letrada, aquél ya se había otorgado con la misma fecha, de modo que la representación a quien firmó ya estaba conferida. De otra parte y en todo caso, el defecto, de serlo, era subsanable tal como disponía el vigente art. 71 de la Ley de Procedimiento Administrativo, a lo cual se procedió por escrito presentado el 4 de junio siguiente aun a pesar de la falta de requerimiento por parte de la Administración. </w:t>
      </w:r>
    </w:p>
    <w:p w:rsidR="006854DA" w:rsidRDefault="006854DA" w:rsidP="006854DA">
      <w:pPr>
        <w:pStyle w:val="TextoNormal"/>
      </w:pPr>
      <w:r>
        <w:t>Manifiestan también que el Tribunal Superior de Justicia presupone la mala fe de las recurrentes para dilatar el plazo de presentación de la reclamación, así como que ha proce</w:t>
      </w:r>
      <w:r>
        <w:lastRenderedPageBreak/>
        <w:t xml:space="preserve">dido a una interpretación restrictiva y formalista de los presupuestos procesales. Respecto a este extremo, invocan jurisprudencia de este Tribunal relativa a la obligación de los órganos judiciales de rechazar toda interpretación formalista y desproporcionada de los presupuestos procesales que impida el acceso a la jurisdicción (STC 92/1990), así como a la subsanabilidad de los defectos procesales, puesto que éstos no tienen sustantividad propia sino que son sólo medios para conseguir ciertas finalidades en el procedimiento (SSTC de 12 de marzo de 1983 y de 21 de enero de 1987, junto con otras). </w:t>
      </w:r>
    </w:p>
    <w:p w:rsidR="006854DA" w:rsidRDefault="006854DA" w:rsidP="006854DA">
      <w:pPr>
        <w:pStyle w:val="TextoNormal"/>
      </w:pPr>
      <w:r>
        <w:t>Solicitan la nulidad de la Sentencia dictada por el Tribunal Superior de Justicia, así como del posterior Auto de inadmisión del recurso de casación para la unificación de doctrina, confirmando la Sentencia dictada por el Juzgado de lo Social, que declaró la nulidad del despido.</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Por providencia de 26 de septiembre de 1994, la Sección Tercera de la Sala Segunda acordó abrir el trámite del art. 50.3 LOTC, dando un plazo común de diez días a las demandantes de amparo y al Ministerio Fiscal para formular alegaciones en relación a la carencia de contenido constitucional de la demanda [art. 50.1 c) LOTC]. </w:t>
      </w:r>
    </w:p>
    <w:p w:rsidR="006854DA" w:rsidRDefault="006854DA" w:rsidP="006854DA">
      <w:pPr>
        <w:pStyle w:val="TextoNormal"/>
      </w:pPr>
      <w:r>
        <w:t xml:space="preserve">Por escrito registrado en este Tribunal el día 25 de octubre de 1994, las recurrentes insisten en que la Sentencia del Tribunal Superior ha vulnerado su derecho a obtener una resolución de fondo, al estimar caducada la acción por despido según una interpretación de las normas no conforme a la Constitución ni al sentido más favorable a su derecho, al no admitir la subsanación de un defecto susceptible de ella, invocando en su favor, junto con otras, la doctrina contenida en las SSTC 200/1988 y 232/1988. A su juicio, la idea que subyace en la jurisprudencia constitucional es que un defecto subsanable que no se corrige en su día por el Organismo a quien corresponde a pesar de poder hacerlo, no puede convertirse más adelante en insubsanable, ocasionando un perjuicio irreparable a un ciudadano, como puede ser la caducidad de la acción. </w:t>
      </w:r>
    </w:p>
    <w:p w:rsidR="006854DA" w:rsidRDefault="006854DA" w:rsidP="006854DA">
      <w:pPr>
        <w:pStyle w:val="TextoNormal"/>
      </w:pPr>
      <w:r>
        <w:t>Por su parte, el Ministerio Fiscal propuso la inadmisión de la demanda por concurrir la causa prevista en el art. 50.1 c) LOTC, ya que la apreciación de la caducidad de la acción constituye una cuestión de legalidad ordinaria que, en este caso, no ha sido interpretada con ausencia de lógica, enlazando con la jurisprudencia constitucional sobre la competencia de los Tribunales ordinarios para analizar los requisitos y presupuestos de los actos procesales.</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28 de noviembre de 1994, la Sección Tercera de la Sala Segunda acordó admitir a trámite el recurso de amparo, así como requerir al Tribunal Supremo y al Tribunal Superior de Justicia de Galicia la remisión de las actuaciones y el emplazamiento para la comparecencia en diez días ante este Tribunal de quienes hubieran sido parte en el procedimiento, con excepción de las recurrentes en amparo.</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Por providencia de 13 de febrero de 1995, la Sección Cuarta de la Sala Segunda acordó tener por personada en el procedimiento a la Xunta de Galicia, representada por el Procurador de los Tribunales don Argimiro Vázquez Guillén, así como dar vista de las actuaciones recibidas por un plazo común de veinte días al Ministerio Fiscal y a las partes para realizar las correspondientes alegaciones. </w:t>
      </w:r>
    </w:p>
    <w:p w:rsidR="006854DA" w:rsidRDefault="006854DA" w:rsidP="006854DA">
      <w:pPr>
        <w:pStyle w:val="TextoNormal"/>
      </w:pPr>
      <w:r>
        <w:t xml:space="preserve">Mediante escrito registrado en este Tribunal el 9 de marzo de 1995, las recurrentes en amparo reiteran que se ha vulnerado su derecho a obtener una resolución sobre el fondo, al apreciarse la caducidad de la acción por despido sin tener en cuenta los criterios de favor </w:t>
      </w:r>
      <w:r>
        <w:lastRenderedPageBreak/>
        <w:t xml:space="preserve">actionis, antiformalismo y subsanabilidad elaborados por la jurisprudencia constitucional respecto de los defectos procesales; insisten en que fue la propia Letrada la que procedió a aportar la acreditación de su representación sin esperar a ningún requerimiento de la Administración y en el plazo de diez días que preveía el art. 71 L.P.A. entonces vigente. Por otra parte, que la fecha de los poderes era la de la reclamación previa, oponiéndose así a lo manifestado por el Ministerio Fiscal en el informe aportado en el trámite del art. 50.3 LOTC, ya que en ningún momento existió falta de representación de las personas sino falta de presentación del poder conferido al efecto por no haberse podido aportar materialmente. </w:t>
      </w:r>
    </w:p>
    <w:p w:rsidR="006854DA" w:rsidRDefault="006854DA" w:rsidP="006854DA">
      <w:pPr>
        <w:pStyle w:val="TextoNormal"/>
      </w:pPr>
      <w:r>
        <w:t xml:space="preserve">Por escrito registrado en este Tribunal el 24 de febrero de 1995, el Procurador don Argimiro Vázquez Guillén, en representación de la Xunta de Galicia, solicita la desestimación del recurso de amparo. Alega que, según reiterada jurisprudencia constitucional, el cómputo de los plazos de caducidad constituye una cuestión de legalidad ordinaria, únicamente revisable en amparo si se ha apreciado de forma manifiestamente arbitraria o irrazonable, incursa en error patente o con un criterio hermenéutico desfavorable a la efectividad del derecho fundamental, siendo este último el reproche que las recurrentes dirigen a la Sentencia impugnada. Respecto a él, el representante de la Xunta manifiesta que el Tribunal Superior de Justicia ha aplicado una jurisprudencia reiterada según la cual la utilización del trámite preprocesal -reclamación previa- de forma inadecuada o innecesaria no interrumpe el plazo de caducidad de la acción de despido. Asimismo, que el caso concreto no constituía un defecto subsanable conforme al art. 71 L.P.A., aunque cabía corregirlo dentro de plazo, citando para ello algunas resoluciones judiciales que aplican este criterio, si bien ya en fase de tramitación procesal. En definitiva, no se habría vulnerado el derecho a la tutela judicial efectiva de las recurrentes, al haber apreciado el Tribunal Superior la excepción de caducidad de forma adecuada a lo que constituye la naturaleza y finalidad de aquélla. </w:t>
      </w:r>
    </w:p>
    <w:p w:rsidR="006854DA" w:rsidRDefault="006854DA" w:rsidP="006854DA">
      <w:pPr>
        <w:pStyle w:val="TextoNormal"/>
      </w:pPr>
      <w:r>
        <w:t>El Ministerio Fiscal interesa la estimación del amparo, recordando también para ello la doctrina constitucional que permite la revisión de las decisiones sobre caducidad cuando de aquéllas se deriva una vulneración de derechos fundamentales; cita al respecto nuestra STC 30/1993, según la cual aquellos derechos exigen que la interpretación de los requisitos legales se realice de la forma más favorable a su eficacia, lo que, entre otras cosas, supone que ha de haber proporcionalidad entre la causa legal de inadmisión y el resultado al que conduce, en concreto, a la falta de una resolución de fondo. A partir de esta premisa, el Ministerio Público discrepa, a la vista de las actuaciones remitidas, de la valoración realizada por el Tribunal Superior de Justicia: en primer lugar, porque la afirmación de que el escrito inicial de la reclamación previa no estuviese firmado por las actoras ni por persona que ostentase su representación, pierde consistencia unos días después cuando se acredita aquélla, por lo que no puede hablarse de falta de representación sino de ausencia de acreditación, que no puede tener los mismos efectos. Por otra parte, la interpretación realizada por el órgano judicial del art. 71 de la L.P.A. de 1958, vigente en aquel momento, rompe con la doctrina constitucional sobre la interpretación antiformalista de las normas procesales, llamando la atención sobre el hecho de que las trabajadoras podían haber sido requeridas para la firma, posibilidad prevista legalmente. El Ministerio Fiscal estima que la reclamación previa se presentó el día 21 de mayo de 1992, sin que el escrito del 4 de junio siguiente pueda tenerse por tal, ya que no aparecen en él ninguno de los pedimentos dirigidos a la Administración, rechazando la interpretación del órgano judicial por rigorista y desproporcionada en sus consecuencias a la vista de lo que se ventilaba en el proceso.</w:t>
      </w:r>
    </w:p>
    <w:p w:rsidR="006854DA" w:rsidRDefault="006854DA" w:rsidP="006854DA">
      <w:pPr>
        <w:pStyle w:val="TextoNormal"/>
      </w:pPr>
    </w:p>
    <w:p w:rsidR="006854DA" w:rsidRDefault="006854DA" w:rsidP="006854DA">
      <w:pPr>
        <w:pStyle w:val="TextoNormal"/>
      </w:pPr>
      <w:r w:rsidRPr="006854DA">
        <w:rPr>
          <w:rStyle w:val="NumeroAFNegritaCaracter"/>
        </w:rPr>
        <w:t>7</w:t>
      </w:r>
      <w:r>
        <w:t>. Por providencia de 29 de mayo de 1997, se señaló para la deliberación y votación de la presente Sentencia el día 2 del siguiente mes de junio.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resolución judicial impugnada declaró caducada la acción por despido, al entender que la reclamación administrativa previa a la demanda (art. 69 de la Ley de Procedimiento Laboral, en adelante, L.P.L.)  había sido presentada fuera del plazo de veinte días establecido legalmente para impugnar aquél. A esta conclusión llegó el Tribunal Superior tras apreciar que el escrito presentado el 21 de mayo de 1992 ante la Administración demandada carecía de eficacia interruptiva del plazo de caducidad, ya que, aun cuando había sido firmado por la Letrada de las actoras, no contenía la firma de éstas ni la acreditación de la representación de aquélla, de forma que sólo cabía calificar de verdadera reclamación previa al escrito presentado el día 4 de junio, en el que se hacía constar dicha representación, resultando que en dicha fecha ya había transcurrido el referido plazo de caducidad.</w:t>
      </w:r>
    </w:p>
    <w:p w:rsidR="006854DA" w:rsidRDefault="006854DA" w:rsidP="006854DA">
      <w:pPr>
        <w:pStyle w:val="TextoNormal"/>
      </w:pPr>
      <w:r>
        <w:t>Las recurrentes en amparo consideran que esta resolución judicial ha vulnerado su derecho a obtener una respuesta sobre el fondo de la pretensión (art. 24.1 C.E.), por haberse declarado la caducidad de su acción mediante una interpretación rigorista y desproporcionada, desfavorable para la efectividad del derecho fundamental. Alegan que el razonamiento del órgano judicial resulta restrictivo y formalista, puesto que la representación de la Letrada estaba ya conferida el 21 de mayo, de modo que la no presentación del poder sería un defecto cuya subsanabilidad está prevista en las normas administrativas, y a la que procedió la Letrada el día 4 de junio, dentro del plazo de diez días conferido por aquéllas. Manifiestan que ello no revela ninguna intención de alargar el plazo de caducidad de la acción por despido y que nunca existió falta de representación de la Letrada, concluyendo que, a su entender, el órgano judicial ha contrariado la doctrina constitucional sobre la obligación de los órganos judiciales de rechazar toda interpretación formalista y desproporcionada de los presupuestos procesales que impida obtener una respuesta sobre el fondo. Estas razones son compartidas por el Ministerio Fiscal, que interesa la estimación del recurso de amparo.</w:t>
      </w:r>
    </w:p>
    <w:p w:rsidR="006854DA" w:rsidRDefault="006854DA" w:rsidP="006854DA">
      <w:pPr>
        <w:pStyle w:val="TextoNormal"/>
      </w:pPr>
    </w:p>
    <w:p w:rsidR="006854DA" w:rsidRDefault="006854DA" w:rsidP="006854DA">
      <w:pPr>
        <w:pStyle w:val="TextoNormal"/>
      </w:pPr>
      <w:r w:rsidRPr="006854DA">
        <w:rPr>
          <w:rStyle w:val="NumeroAFNegritaCaracter"/>
        </w:rPr>
        <w:t>2</w:t>
      </w:r>
      <w:r>
        <w:t>. Para valorar si la decisión recurrida en amparo vulnera el art. 24.1 C.E., es preciso partir de la consolidada doctrina de este Tribunal, según la cual el derecho a la obtención de una respuesta sobre el fondo de la pretensión, como parte del derecho a la tutela judicial efectiva, se satisface también con una respuesta de inadmisión fundada en una causa legal, que haya sido apreciada razonablemente por el órgano judicial (así y entre otras muchas, SSTC 11/1982, 69/1984, 200/1988, 159/1990, 18/1994).  El control constitucional de las decisiones de inadmisión se realiza de forma especialmente intensa cuando aquéllas determinan la imposibilidad de obtener una primera respuesta judicial (SSTC 87/1986, 118/1987, 216/1987, 154/1992, 55/1995), a fin de impedir que ciertas interpretaciones relativas a los requisitos legalmente establecidos para acceder al proceso, eliminen u obstaculicen injustificadamente el derecho del ciudadano a que el órgano judicial conozca y se pronuncie sobre la cuestión a él sometida.</w:t>
      </w:r>
    </w:p>
    <w:p w:rsidR="006854DA" w:rsidRDefault="006854DA" w:rsidP="006854DA">
      <w:pPr>
        <w:pStyle w:val="TextoNormal"/>
      </w:pPr>
      <w:r>
        <w:t xml:space="preserve">La caducidad de la acción constituye una de las causas legales que impiden un pronunciamiento sobre el fondo, siendo su cómputo -como, en general, el de todos los plazos </w:t>
      </w:r>
      <w:r>
        <w:lastRenderedPageBreak/>
        <w:t>sustantivos y procesales- una cuestión de estricta legalidad ordinaria que corresponde valorar a los órganos judiciales. No obstante, también ha mantenido reiteradamente este Tribunal que la interpretación de las normas legales que realizan aquéllos es revisable en amparo cuando la apreciación de la caducidad afecta a un derecho fundamental, como ocurre cuando determina bien la inadmisión de la acción -como en el presente caso-, bien la pérdida de algún trámite procesal que impida la defensa, todo ello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w:t>
      </w:r>
    </w:p>
    <w:p w:rsidR="006854DA" w:rsidRDefault="006854DA" w:rsidP="006854DA">
      <w:pPr>
        <w:pStyle w:val="TextoNormal"/>
      </w:pPr>
    </w:p>
    <w:p w:rsidR="006854DA" w:rsidRDefault="006854DA" w:rsidP="006854DA">
      <w:pPr>
        <w:pStyle w:val="TextoNormal"/>
      </w:pPr>
      <w:r w:rsidRPr="006854DA">
        <w:rPr>
          <w:rStyle w:val="NumeroAFNegritaCaracter"/>
        </w:rPr>
        <w:t>3</w:t>
      </w:r>
      <w:r>
        <w:t>. Tal como se ha relatado en los antecedentes de hecho, las recurrentes iniciaron un procedimiento por despido, para cuya reclamación el art. 103 L.P.L. establece un plazo de caducidad de veinte días desde que aquél se hubiera producido.  Este plazo se suspende, como dispone el art. 73 L.P.L., al presentarse la reclamación previa preceptiva, la cual se tramita en la forma establecida en las leyes (art. 69 L.P.L.).  La remisión de la norma procesal laboral a las del procedimiento administrativo se correspondía, en el momento en que tuvieron lugar los hechos constitutivos de la presente demanda de amparo, con los arts. 145 y 146 en relación a los arts. 69 y 71 de la Ley de Procedimiento Administrativo de 17 de julio de 1958.</w:t>
      </w:r>
    </w:p>
    <w:p w:rsidR="006854DA" w:rsidRDefault="006854DA" w:rsidP="006854DA">
      <w:pPr>
        <w:pStyle w:val="TextoNormal"/>
      </w:pPr>
      <w:r>
        <w:t>Las trabajadoras presentaron el escrito de reclamación previa ante la Delegación Provincial en Orense de la Conselleria de Traballo e Servicios Sociais de la Xunta de Galicia, con fecha 21 de mayo de 1992, es decir, dentro del mencionado plazo de veinte días. En aquel escrito, se hacían constar los datos personales de las seis actoras, su número de DNI y domicilio, así como datos profesionales relativos a la categoría profesional que ostentaban y a los salarios percibidos; se exponían los hechos que motivaban la reclamación, constituidos por el no llamamiento en la fecha de apertura de la campaña y el despido que consideraban producido a consecuencia de ello conforme a la legislación laboral; se exponían los fundamentos jurídicos en que basaban su reclamación y, finalmente, suplicaban se tuviera por admitido el escrito y formulada con él reclamación previa a la vía jurisdiccional por despido nulo o, subsidiariamente, improcedente, solicitando que se aplicasen los efectos legales derivados de estas calificaciones. El escrito estaba firmado por la Letrada doña Pilar Carbajales Lage.</w:t>
      </w:r>
    </w:p>
    <w:p w:rsidR="006854DA" w:rsidRDefault="006854DA" w:rsidP="006854DA">
      <w:pPr>
        <w:pStyle w:val="TextoNormal"/>
      </w:pPr>
      <w:r>
        <w:t>El día 4 junio de 1992, la Letrada presentó un escrito ante el mismo Organo administrativo, en el que, tras referirse al escrito de reclamación previa presentado el día 21 de mayo, manifestaba que en aquel momento no obraba en su poder la documentación acreditativa de la representación, pese a lo cual, había procedido a firmarlo, con la intención de subsanar la omisión en el plazo más breve posible. Solicitaba que se tuviera por presentado, junto con las copias acreditativas de la representación procesal y por subsanada la omisión de poderes para el procedimiento por despido.</w:t>
      </w:r>
    </w:p>
    <w:p w:rsidR="006854DA" w:rsidRDefault="006854DA" w:rsidP="006854DA">
      <w:pPr>
        <w:pStyle w:val="TextoNormal"/>
      </w:pPr>
      <w:r>
        <w:t xml:space="preserve">No consta que la Administración manifestase la existencia de ningún defecto que requiriese de ser subsanado en el plazo de diez días, tal como preveía el art. 71 de la Ley de Procedimiento Administrativo, transcurriendo los plazos legales sin que hubiera contestado a lo solicitado en la reclamación previa, de modo que las actoras interpusieron demanda judicial el 22 de junio de 1992.  Con ella se acompañaban los poderes de representación </w:t>
      </w:r>
      <w:r>
        <w:lastRenderedPageBreak/>
        <w:t>otorgados con fecha 21 de mayo de 1992 a la Letrada doña María del Pilar Carbajales Lage, mediante comparecencia ante el Juzgado de Carballino.</w:t>
      </w:r>
    </w:p>
    <w:p w:rsidR="006854DA" w:rsidRDefault="006854DA" w:rsidP="006854DA">
      <w:pPr>
        <w:pStyle w:val="TextoNormal"/>
      </w:pPr>
    </w:p>
    <w:p w:rsidR="006854DA" w:rsidRDefault="006854DA" w:rsidP="006854DA">
      <w:pPr>
        <w:pStyle w:val="TextoNormal"/>
      </w:pPr>
      <w:r w:rsidRPr="006854DA">
        <w:rPr>
          <w:rStyle w:val="NumeroAFNegritaCaracter"/>
        </w:rPr>
        <w:t>4</w:t>
      </w:r>
      <w:r>
        <w:t>. Tras un primer pronunciamiento sobre el fondo que declaró la nulidad del despido, la Sentencia dictada en suplicación niega eficacia suspensiva del plazo para ejercitar la acción por despido al escrito presentado el día 21 de mayo, por no ir acompañado de la acreditación de la representación de la Letrada firmante, considerando como fecha de presentación de la reclamación previa la de 4 de junio -en que se aportaron los poderes- y declarando así caducada la acción por quedar aquella fecha fuera del plazo de veinte días conferido legalmente. La decisión del órgano judicial considera que la referida omisión no puede incluirse en los supuestos de subsanación a que se refería el art. 71 de la Ley de Procedimiento Administrativo vigente en aquel momento.</w:t>
      </w:r>
    </w:p>
    <w:p w:rsidR="006854DA" w:rsidRDefault="006854DA" w:rsidP="006854DA">
      <w:pPr>
        <w:pStyle w:val="TextoNormal"/>
      </w:pPr>
      <w:r>
        <w:t>De esta forma, la respuesta de inadmisión que impide un pronunciamiento sobre el fondo (la calificación como despido del no llamamiento), se realiza a través de una interpretación sobre el carácter no subsanable de la omisión en el escrito de reclamación que requiere, a su vez, ser ponderada desde la doctrina sobre la subsanación de defectos procesales reiteradamente mantenida por este Tribunal. Una vez más debemos recordar que, desde la perspectiva constitucional, se considera que los requisitos procesales no tienen sustantividad propia, sino que constituyen medios orientados a conseguir ciertas finalidades en el proceso, de forma que sus eventuales anomalías, cuya valoración corresponde a los órganos judiciales, no pueden, sin embargo, ser convertidas en meros obstáculos formales impeditivos de una respuesta judicial o de la continuación del proceso, resultando obligada una interpretación presidida por un criterio de proporcionalidad entre la finalidad y entidad real del defecto advertido y las consecuencias que de su apreciación puedan seguirse para la efectividad del derecho a la tutela judicial, perspectiva que favorece, por tanto, la subsanación del defecto siempre que sea posible ya que, si bien del art. 24.1 C.E. no cabe deducir la imposición de un trámite de este tipo, sí impide este precepto la clausura de un procedimiento por defectos que pueden subsanarse sin perjuicio para otros derechos o intereses (entre otras muchas, SSTC 17/1995, 110/1985, 118/1987, 132/1987, 174/1988, 2/1989, 240/1991). Específicamente en relación al tema que nos ocupa, este Tribunal ha mantenido de forma indubitada que la falta de acreditación de la representación procesal, si el defecto se reduce a aquélla, tiene carácter subsanable, de forma que no puede conllevar automáticamente la inadmisión del escrito sino hasta después de requeridos, y no aportados, los documentos omitidos (así, SSTC 163/1985, 117/1986, 132/1987, 59/1988, 174/1988, 6/1990, 92/1990, 213/1990, 133/1991, 350/1993).</w:t>
      </w:r>
    </w:p>
    <w:p w:rsidR="006854DA" w:rsidRDefault="006854DA" w:rsidP="006854DA">
      <w:pPr>
        <w:pStyle w:val="TextoNormal"/>
      </w:pPr>
      <w:r>
        <w:t xml:space="preserve">Con el mismo criterio puede controlarse la decisión del órgano judicial de negar toda eficacia al escrito de reclamación previa firmado por la Letrada sin acompañar en ese momento de los poderes acreditativos de la representación (en este sentido, aunque sobre un supuesto referido a la conciliación previa, STC 350/1993). Aquellos poderes tienen como finalidad, efectivamente, la de asegurar que se presenta la reclamación en nombre de quien se afirma, pero ello no hace de su aportación un requisito sustancial, autónomo e insubsanable, máxime si se integra dentro de un trámite preprocesal dirigido a permitir a la Administración la emisión de una nueva declaración de voluntad que evite el proceso (SSTC 21/1986, 11/1988, 60/1989, 217/1991, 70/1992, 65/193, 120/1993), finalidad ésta que, en el presente caso, no cabe duda de que fue materialmente satisfecha con el escrito presentado el día 21 de mayo.  En consecuencia, también aquí la representación puede ser posteriormente verificada mediante la aportación de los documentos correspondientes, sin </w:t>
      </w:r>
      <w:r>
        <w:lastRenderedPageBreak/>
        <w:t>que su omisión deje de ser un defecto subsanable por naturaleza y sin que, por tanto, pueda anudarse a ella automáticamente la pérdida de toda eficacia para el escrito presentado.</w:t>
      </w:r>
    </w:p>
    <w:p w:rsidR="006854DA" w:rsidRDefault="006854DA" w:rsidP="006854DA">
      <w:pPr>
        <w:pStyle w:val="TextoNormal"/>
      </w:pPr>
    </w:p>
    <w:p w:rsidR="006854DA" w:rsidRDefault="006854DA" w:rsidP="006854DA">
      <w:pPr>
        <w:pStyle w:val="TextoNormal"/>
      </w:pPr>
      <w:r w:rsidRPr="006854DA">
        <w:rPr>
          <w:rStyle w:val="NumeroAFNegritaCaracter"/>
        </w:rPr>
        <w:t>5</w:t>
      </w:r>
      <w:r>
        <w:t>. En la misma línea de argumentación debe también considerarse que, como se dijo anteriormente, la propia norma de procedimiento administrativo -aplicable a la presentación de la reclamación previa- prevé un trámite de subsanación de defectos (art.  71 L.P.A.), a tenor del cual la Administración ante la que se haya presentado el escrito podrá requerir la subsanación de la falta o el acompañamiento del escrito; trámite que, en su caso, le cabía emplear a la Xunta si deseaba que se acreditase la representación de la Letrada. En tal hipótesis, el plazo para ello no hubiera podido ser otro que el aludido de diez días de la L.P.A. y, caso de subsanarse satisfactoriamente la omisión, no se hubiera presentado ninguna duda acerca de que la fecha de presentación de la reclamación previa era la de 21 de mayo, a la que se retrotraerían los efectos de la subsanación como natural consecuencia de ésta. La decisión impugnada, como advierten las recurrentes en amparo, convierte de este modo en insubsanable una omisión que no lo hubiera sido en el caso de que la Xunta hubiera requerido los documentos y que, de hecho, no le planteó ninguna duda al Juzgado de lo Social respecto a la presentación en tiempo de la reclamación.</w:t>
      </w:r>
    </w:p>
    <w:p w:rsidR="006854DA" w:rsidRDefault="006854DA" w:rsidP="006854DA">
      <w:pPr>
        <w:pStyle w:val="TextoNormal"/>
      </w:pPr>
      <w:r>
        <w:t>La decisión judicial no procura, por tanto, la efectividad del derecho a la tutela judicial de las recurrentes, conclusión que se refuerza considerando que lo que se desprende con el escrito aportado el día 4 de junio es, precisamente, que la representación había sido conferida por comparecencia ante el Juzgado de Carballino con fecha de 21 de mayo, es decir, la misma en que se presentó el escrito de la reclamación previa.  Resulta por tanto evidente, como ponen de manifiesto tanto las recurrentes como el Ministerio Fiscal, que nunca hubo una falta de representación, sino una omisión en su acreditación, lo que abunda en la desproporción en que incurre la decisión judicial, desde la perspectiva constitucional, al negar toda eficacia suspensiva del plazo de caducidad para reclamar por despido al escrito presentado en aquella fecha, asimilándole a los supuestos en que la reclamación previa se presenta de forma inadecuada o resulta improcedente, circustancias que no concurren en este caso.</w:t>
      </w:r>
    </w:p>
    <w:p w:rsidR="006854DA" w:rsidRDefault="006854DA" w:rsidP="006854DA">
      <w:pPr>
        <w:pStyle w:val="TextoNormal"/>
      </w:pPr>
    </w:p>
    <w:p w:rsidR="006854DA" w:rsidRDefault="006854DA" w:rsidP="006854DA">
      <w:pPr>
        <w:pStyle w:val="TextoNormal"/>
      </w:pPr>
      <w:r w:rsidRPr="006854DA">
        <w:rPr>
          <w:rStyle w:val="NumeroAFNegritaCaracter"/>
        </w:rPr>
        <w:t>6</w:t>
      </w:r>
      <w:r>
        <w:t>. Finalmente, tampoco se observa que las recurrentes hayan incurrido en una conducta maliciosa que, en otras ocasiones ha llevado a este Tribunal a modular la doctrina anteriormente recordada de la subsanabilidad de los defectos procesales (SSTC 95/1983, 132/1987, 46/1989, 65/1993). Frente a lo sostenido por la Sentencia impugnada no cabe presumir, en este supuesto, que aquéllas o su Letrada persiguieran con su actuación una ampliación del plazo para reclamar por despido, teniendo presente que la reclamación previa no se presentó siquiera el último día de aquél.</w:t>
      </w:r>
    </w:p>
    <w:p w:rsidR="006854DA" w:rsidRDefault="006854DA" w:rsidP="006854DA">
      <w:pPr>
        <w:pStyle w:val="TextoNormal"/>
      </w:pPr>
      <w:r>
        <w:t xml:space="preserve">Como fácilmente se desprende de la lectura del escrito de 21 de mayo, cuyo contenido se ha recordado en el fundamento jurídico tercero, ya en él se aportaron los datos personales y profesionales de las reclamantes, los hechos que motivaban su presentación, la fundamentación jurídica que avalaba la petición y la expresión de su finalidad, de donde se desprende con toda claridad que no se trataba de un escrito de mero trámite, que posteriormente hubiera que formalizar o completar con el pretexto de acreditar la representación de la Letrada.  Tal conclusión se refuerza a la vista del escrito de 4 de junio, con el que únicamente se aportan los poderes correspondientes, otorgados el 21 de mayo apud acta ante el Juzgado de Primera Instancia, sin que se incluya en su contenido ningún otro dato o extremo relevante para resolver sobre lo solicitado en la reclamación previa. Es más, este segundo escrito confirma que la representación estaba ya conferida cuando se </w:t>
      </w:r>
      <w:r>
        <w:lastRenderedPageBreak/>
        <w:t>presentó el primero, lo que difícilmente permite concluir que las recurrentes quisieran servirse de la subsanación a la que procedió la Letrada como forma de ampliar plazo ninguno.</w:t>
      </w:r>
    </w:p>
    <w:p w:rsidR="006854DA" w:rsidRDefault="006854DA" w:rsidP="006854DA">
      <w:pPr>
        <w:pStyle w:val="TextoNormal"/>
      </w:pPr>
    </w:p>
    <w:p w:rsidR="006854DA" w:rsidRDefault="006854DA" w:rsidP="006854DA">
      <w:pPr>
        <w:pStyle w:val="TextoNormal"/>
      </w:pPr>
      <w:r w:rsidRPr="006854DA">
        <w:rPr>
          <w:rStyle w:val="NumeroAFNegritaCaracter"/>
        </w:rPr>
        <w:t>7</w:t>
      </w:r>
      <w:r>
        <w:t>. Los anteriores razonamientos conducen a entender que la Sentencia del Tribunal Superior de Justicia ha vulnerado el derecho a la tutela judicial efectiva de las recurrentes, al impedir un pronunciamiento sobre la pretensión tras estimar caducada la acción por despido según una interpretación desfavorable para la efectividad de aquel derecho y contraria a la doctrina constitucional sobre la subsanabilidad de los defectos procesales. Ahora bien, a efectos de justificar el alcance del fallo, debe precisarse que la lesión no resulta reprochable al Auto del Tribunal Supremo que inadmitió el recurso de casación para la unificación de doctrina interpuesto contra la Sentencia impugnada y que ha servido, en este caso, sólo para agotar la vía judicial previa al amparo. Por otra parte y como precisa el Ministerio Fiscal, no cabe declarar la nulidad de la totalidad de la Sentencia impugnada y la firmeza de la de instancia, ya que el reproche constitucional se limita a la declaración de caducidad de la acción, lo que obliga a este Tribunal, en consecuencia, a devolver las actuaciones al Tribunal Superior para que éste dicte una nueva Sentencia que no incluya aquélla.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el recurso de amparo interpuesto por doña María del Carmen González Rodríguez, doña Dolores del Pilar Pérez Martínez, doña Dosinda Vázquez García, doña María del Rosario Alvarez Antonio y doña Purificación Carral Gil y, en consecuencia</w:t>
      </w:r>
    </w:p>
    <w:p w:rsidR="006854DA" w:rsidRDefault="006854DA" w:rsidP="006854DA">
      <w:pPr>
        <w:pStyle w:val="TextoNormal"/>
      </w:pPr>
      <w:r>
        <w:t>1º. Reconocer su derecho fundamental a la tutela judicial efectiva y a obtener una respuesta sobre el fondo de la pretensión.</w:t>
      </w:r>
    </w:p>
    <w:p w:rsidR="006854DA" w:rsidRDefault="006854DA" w:rsidP="006854DA">
      <w:pPr>
        <w:pStyle w:val="TextoNormal"/>
      </w:pPr>
      <w:r>
        <w:t>2º. Anular la Sentencia de la Sala de lo Social del Tribunal Superior de Justicia de Galicia, de 16 de septiembre de 1992, que se limitó a pronunciar la caducidad de la acción.</w:t>
      </w:r>
    </w:p>
    <w:p w:rsidR="006854DA" w:rsidRDefault="006854DA" w:rsidP="006854DA">
      <w:pPr>
        <w:pStyle w:val="TextoNormal"/>
      </w:pPr>
      <w:r>
        <w:t>3º. Restablecer a las recurrentes en su derecho, y para ello reponer las actuaciones al momento procesal oportuno a fin de que el Tribunal Superior de Justicia se pronuncie sobre la cuestión planteada.</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dos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1" w:name="SENTENCIA_1997_105"/>
      <w:r>
        <w:lastRenderedPageBreak/>
        <w:t>SENTENCIA 105/1997, de 2 de junio de 1997</w:t>
      </w:r>
    </w:p>
    <w:bookmarkEnd w:id="21"/>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ECLI:ES:TC:1997:105</w:t>
      </w:r>
    </w:p>
    <w:p w:rsidR="006854DA" w:rsidRDefault="006854DA" w:rsidP="006854DA">
      <w:pPr>
        <w:pStyle w:val="SntesisDescriptiva"/>
      </w:pPr>
    </w:p>
    <w:p w:rsidR="006854DA" w:rsidRDefault="006854DA" w:rsidP="006854DA">
      <w:pPr>
        <w:pStyle w:val="SntesisDescriptiva"/>
      </w:pPr>
      <w:r>
        <w:t>Recurso de amparo 1.216/1994. Contra Auto del Juzgado   de lo Social núm. 1 de Madrid que acordó el aplazamiento de la ejecución de la Sentencia recaída hasta la sustanciación del recurso de suplicación interpuesto por los demandantes.</w:t>
      </w:r>
    </w:p>
    <w:p w:rsidR="006854DA" w:rsidRDefault="006854DA" w:rsidP="006854DA">
      <w:pPr>
        <w:pStyle w:val="SntesisDescriptiva"/>
      </w:pPr>
    </w:p>
    <w:p w:rsidR="006854DA" w:rsidRDefault="006854DA" w:rsidP="006854DA">
      <w:pPr>
        <w:pStyle w:val="SntesisAnaltica"/>
      </w:pPr>
      <w:r>
        <w:t>Supuesta vulneración de los derechos a la tutela judicial efectiva y a la libertad sindical: ejecución provisional de Sentencia laboral.</w:t>
      </w:r>
    </w:p>
    <w:p w:rsidR="006854DA" w:rsidRDefault="006854DA" w:rsidP="006854DA">
      <w:pPr>
        <w:pStyle w:val="SntesisAnaltica"/>
      </w:pPr>
    </w:p>
    <w:p w:rsidR="006854DA" w:rsidRDefault="006854DA" w:rsidP="006854DA">
      <w:pPr>
        <w:pStyle w:val="Extracto"/>
      </w:pPr>
      <w:r>
        <w:t>1.</w:t>
      </w:r>
      <w:r>
        <w:tab/>
        <w:t>La ejecutividad inmediata de la Sentencia dictada en los procedimientos de tutela de derechos fundamentales, aun cuando se interponga recurso contra aquélla, forma parte de las especialidades que conforman esta modalidad procesal. De modo que a las razones ya expuestas sobre el fundamento de la denominada ejecución provisional en el proceso laboral se añade en este caso, significativamente, la garantía de reparación inmediata que aquélla supone cuando el órgano judicial ha declarado la existencia de la lesión de un derecho fundamental. Una finalidad a la que ningún reproche constitucional cabe hacer habida cuenta del papel que cumplen, con carácter general, las normas que integran la protección jurisdiccional de los derechos fundamentales, precisamente en atención a lo que éstos representan en el diseño constitucional [ F.J. 3].</w:t>
      </w:r>
    </w:p>
    <w:p w:rsidR="006854DA" w:rsidRDefault="006854DA" w:rsidP="006854DA">
      <w:pPr>
        <w:pStyle w:val="Extracto"/>
      </w:pPr>
    </w:p>
    <w:p w:rsidR="006854DA" w:rsidRDefault="006854DA" w:rsidP="006854DA">
      <w:pPr>
        <w:pStyle w:val="Extracto"/>
      </w:pPr>
      <w:r>
        <w:t>2.</w:t>
      </w:r>
      <w:r>
        <w:tab/>
        <w:t>Ni siquiera el derecho a la ejecución de las resoluciones firmes -directamente derivado del art. 24.1 C.E.- se presenta como un derecho absoluto -como, por otra parte, no lo es ningún derecho fundamental (SSTC 11/1981, 2/1982, 91/1983, 120/1990 ó 181/1990)-, ya que, como ha manifestado este Tribunal, no lesionan aquel derecho las decisiones judiciales de inejecutar una Sentencia que se han fundado en una causa legal y no resulten irrazonables, inmotivadas, fundadas en causas inexistentes o entendidas restrictivamente (SSTC 33/1987, 92/1988, 107/1992, 39/1994 y 292/1994), y de las que no derive indefensión o desconocimiento de alguna garantía sustancial para la obtención de la tutela judicial (SSTC 151/1993, 245/1993). Tampoco, pues, del art. 301 L.P.L. cabe deducir que esté constitucionalmente proscrita toda consideración, por parte del órgano judicial, de circunstancias excepcionales que limiten el derecho contenido en él o hagan imposible su ejercicio, preservando tanto los derechos procesales de la otra parte, si es el caso, como las funciones de los Tribunales ordinarios en la fijación del alcance de sus propios fallos (SSTC 242/1992, 79/1993, 92/1993 y 152/1993). En este caso, el órgano judicial consideró que existían circunstancias excepcionales a tener en cuenta frente al indiscutido derecho de los actores. Por lo que aquí interesa, atendió a las repercusiones que se derivaban de la reposición de aquéllos en la situación previa a la selección antisindical, especialmente al temporal incremento de plantilla -tras la reducción operada por un expediente de regulación de empleo que había sido autorizado, según se desprende de la documentación aportada-, que podía afectar a los derechos económicos del resto de los tra</w:t>
      </w:r>
      <w:r>
        <w:lastRenderedPageBreak/>
        <w:t>bajadores puesto que los presupuestos anuales (que, al parecer, sostenían el Consorcio empleador) se habían reducido en función de la reducción misma de plantilla operada con la regulación de empleo. Atendió también el juzgador a la  circunstancia de la confección de la nueva lista de trabajadores afectados por aquél, de la que razonablemente cabe pensar que se habría de derivar la selección de otros trabajadores que hasta el momento habían permanecido en la empresa, selección en sí misma provisional en espera de lo que se decidiera en el recurso de suplicación pero que, sin embargo, produciría efectos propios de difícil reversibilidad [FR.J.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1.216/94, promovido por doña María Concepción Arroyo González, doña María José Cabo Patiño, doña Sara Valera Amate, don Felipe Manuel Carrasco Gala, doña Mª Nieves Cenzual Muñoz, don José Antonio Cortés Amunarriz, doña Isabel Díaz Ortega, doña Teresa Díez Matias, doña Olga de Julián Vidal, doña Ascensión de las Heras Ladera, don Santiago Garde Gómez, doña María Pilar Garro Abadía, don Alberto Merayo Calleja, don Antonio Montalbo Soriano, doña Silvia Navarro Cendón, doña Mª Soledad Perales Hernández, doña Paz Posadas Moreno, doña Begoña Gómez Delgado, doña Mª Teresa Salguero Parias, doña Mª del Mar López Martínez, doña Mª Jesús Ovejero García, doña Ascensión Díaz Sánchez Blanca, don Francisco Calderón Rosa y don Aníbal Gastón Troiano, representados por la Procuradora de los Tribunales doña María José Millán Valero y asistidos del Letrado don Luis Suárez Machota, contra el Auto del Juzgado de lo Social núm. 1 de Madrid, de 14 de marzo de 1993. Ha comparecido el Ministerio Fiscal y el Consorcio para el Realojamiento de la Población Marginada de Madrid, representado por el Procurador de los Tribunales don Laurentino Mateos García. Ha sido Ponente el Magistrado don Tomás S. Vives Antón,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Mediante escrito presentado en este Tribunal el 13 de abril de 1994, la Procuradora de los Tribunales doña María José Millán Valero interpuso, en nombre y representación de doña María Concepción Arroyo González y doña María José Cabo Patiño, doña Sara Valera Amate, don Felipe Manuel Carrasco Gala, doña Mª Nieves Cenzual Muñoz, don José </w:t>
      </w:r>
      <w:r>
        <w:lastRenderedPageBreak/>
        <w:t>Antonio Cortés Amunarriz, doña Isabel Díaz Ortega, doña Teresa Díez Matias, doña Olga de Julián Vidal, doña Ascensión de las Heras Ladera, don Santiago Garde Gómez, doña María Pilar Garro Abadía, don Alberto Merayo Calleja, don Antonio Montalbo Soriano, doña Silvia Navarro Cendón, doña Mª Soledad Perales Hernández, doña Paz Posadas Moreno, doña Begoña Gómez Delgado, doña Mª Teresa Salguero Parias, doña Mª del Mar López Martínez, doña Mª Jesús Ovejero García, doña Ascensión Díaz Sánchez Blanca, don Francisco Calderón Rosa y don Aníbal Gastón Troiano, recurso de amparo contra el Auto del Juzgado de lo Social núm. 1 de Madrid, de 14 de marzo de 1994, por entender que vulnera los derechos a la tutela judicial efectiva (art. 24.1 C.E.) y de libertad sindical (art. 28.1 C.E.).</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de amparo a que se hace referencia en el encabezamiento tiene su origen en los siguientes hechos: </w:t>
      </w:r>
    </w:p>
    <w:p w:rsidR="006854DA" w:rsidRDefault="006854DA" w:rsidP="006854DA">
      <w:pPr>
        <w:pStyle w:val="TextoNormal"/>
      </w:pPr>
      <w:r>
        <w:t xml:space="preserve">a) Los recurrentes en amparo interpusieron en su día demanda contra el Consorcio para el Realojamiento de la Población Marginada de Madrid y contra el Comité de Empresa de aquél a través de la modalidad procesal de tutela de derechos fundamentales (arts. 175 y siguientes de la Ley de Procedimiento Laboral (en adelante, L.P.L.), por considerar que la lista de trabajadores afectados por el expediente de regulación de empleo pactado por los demandados vulneraba su derecho de libertad sindical. </w:t>
      </w:r>
    </w:p>
    <w:p w:rsidR="006854DA" w:rsidRDefault="006854DA" w:rsidP="006854DA">
      <w:pPr>
        <w:pStyle w:val="TextoNormal"/>
      </w:pPr>
      <w:r>
        <w:t xml:space="preserve">La Sentencia del Juzgado de lo Social núm. 1 de Madrid, de 25 de octubre de 1993, estimó la demanda. Dicha resolución judicial manifestaba que en la confección de la lista de los trabajadores afectados por el expediente de regulación de empleo y, sin causa aparentemente razonable, se había incluido a trabajadores sin afiliación sindical o bien afiliados a la Unión General de Trabajadores, no afectando sin embargo más que a un trabajador (en situación de incapacidad laboral) afiliado a Comisiones Obreras. Para el órgano judicial debía acogerse en este extremo la presunción de trato discriminatorio fundado en la afiliación o no a determinado sindicato, de modo que, no habiéndose acreditado ni por la empresa ni por el Comité otras razones a las que hubiera atendido la confección de la lista, cabía concluir que la selección realizada vulneraba el derecho de libertad sindical. </w:t>
      </w:r>
    </w:p>
    <w:p w:rsidR="006854DA" w:rsidRDefault="006854DA" w:rsidP="006854DA">
      <w:pPr>
        <w:pStyle w:val="TextoNormal"/>
      </w:pPr>
      <w:r>
        <w:t xml:space="preserve">La Sentencia del Juzgado de lo Social declaraba la existencia de dicha lesión y con ella la nulidad de la conducta de los demandados, condenando a reponer a los actores en la situación anterior a la firma del Acuerdo de regulación, así como a una nueva designación de trabajadores afectados según motivos racionales y no como consecuencia de su militancia en ninguna central sindical. En aplicación de la norma procesal correspondiente, condenó también al abono de distintas indemnizaciones a los trabajadores afectados (art. 180.1 L.P.L.). </w:t>
      </w:r>
    </w:p>
    <w:p w:rsidR="006854DA" w:rsidRDefault="006854DA" w:rsidP="006854DA">
      <w:pPr>
        <w:pStyle w:val="TextoNormal"/>
      </w:pPr>
      <w:r>
        <w:t>b) Recurrida esta Sentencia en suplicación por las partes condenadas, el Consorcio empleador presentó escrito en el Juzgado de lo Social el 8 de noviembre de 1993. En dicho escrito solicitaba un aplazamiento de la ejecución provisional de la Sentencia que reconoce el art. 301 L.P.L., acogiéndose al inciso de este precepto que puntualiza que dicha ejecución se hará "según la naturaleza de la pretensión reconocida". En él manifestaba que la inmediata ejecución podría producir perjuicios desproporcionados de imposible o difícil reparación, debido a varios motivos. Así, que la negociación de una nueva lista produciría alteraciones laborales sumamente importantes en la plantilla, con o sin acuerdo del Comité; que los actores habrían de devolver las indemnizaciones recibidas por extinción de contrato, teniendo en cuenta que se encontraban ya percibiendo la prestación por desempleo; que la situación se vería agravada si no se lograba acuerdo en la confección de una nueva lista respecto de un expediente cuya causa legal no había sido cuestionada. Alegaba asi</w:t>
      </w:r>
      <w:r>
        <w:lastRenderedPageBreak/>
        <w:t xml:space="preserve">mismo la empresa las dificultades que se derivarían del incremento temporal de la plantilla tras la readmisión de los trabajadores en orden al pago de salarios, habida cuenta que el presupuesto anual asignado por la Administración se había reducido tras la homologación del expediente, así como que se había tenido que hacer frente al pago de las indemnizaciones por extinción de contrato. Finalmente, señalaba que cabía esperar una pronta resolución del recurso de suplicación, cuya tramitación es urgente en estos supuestos. En atención a todo ello, solicitaba aplazar la ejecución de la Sentencia a la vista de las consecuencias que podría tener tanto en las relaciones laborales subsistentes como en el futuro del Consorcio. </w:t>
      </w:r>
    </w:p>
    <w:p w:rsidR="006854DA" w:rsidRDefault="006854DA" w:rsidP="006854DA">
      <w:pPr>
        <w:pStyle w:val="TextoNormal"/>
      </w:pPr>
      <w:r>
        <w:t xml:space="preserve">c) Unos días más tarde, el 18 de noviembre, los trabajadores cuya demanda había estimado la Sentencia, solicitaron su ejecución provisional al amparo del art. 301 L.P.L., a tenor del cual "Las Sentencias que recaigan en los procesos de conflictos colectivos, en los de impugnación de los convenios colectivos y en los de tutela de los derechos de libertad sindical y demás derechos fundamentales, serán ejecutivas desde que se dicten, según la naturaleza de la pretensión reconocida, no obstante el recurso que contra ellas pudiera interponerse". Solicitaban por tanto la reposición de los trabajadores a la situación anterior a la firma del acuerdo y el pago de la indemnización fijada en la Sentencia. </w:t>
      </w:r>
    </w:p>
    <w:p w:rsidR="006854DA" w:rsidRDefault="006854DA" w:rsidP="006854DA">
      <w:pPr>
        <w:pStyle w:val="TextoNormal"/>
      </w:pPr>
      <w:r>
        <w:t xml:space="preserve">d) El 22 de noviembre de 1993 recayó Auto del Juzgado de lo Social acordando el aplazamiento de la ejecución de la Sentencia hasta la resolución del recurso de suplicación, con base en los siguientes argumentos: </w:t>
      </w:r>
    </w:p>
    <w:p w:rsidR="006854DA" w:rsidRDefault="006854DA" w:rsidP="006854DA">
      <w:pPr>
        <w:pStyle w:val="TextoNormal"/>
      </w:pPr>
      <w:r>
        <w:t xml:space="preserve">"PRIMERO.- Si bien el art. 301 de la Ley de Procedimiento Laboral establece que las Sentencias que recaigan en procesos de tutela de derechos de libertad sindical serán ejecutivas, desde que se soliciten. Sin embargo esta regla no puede considerarse total y absoluta, puesto que dicho artículo abre un resquicio ya que añade: "según la naturaleza de la pretensión reconocida". En esta cuestión efectivamente, tal como se alega en el escrito de la parte demandada, existen circunstancias excepcionales como el incremento de la actual plantilla de 69 trabajadores en 32 más, la confección de una nueva lista, la dificultad o imposibilidad del Consorcio para hacer frente al pago de los salarios de los trabajadores que restan, debido a la reducción del presupuesto anual, que se elabora con la representación de las tres Administraciones públicas. Asimismo, deben tenerse en cuenta que los actores ya han percibido las indemnizaciones fijadas en el Expediente de Regulación de Empleo, que tendrían que devolver. Asimismo ya se encuentran percibiendo prestación por desempleo. </w:t>
      </w:r>
    </w:p>
    <w:p w:rsidR="006854DA" w:rsidRDefault="006854DA" w:rsidP="006854DA">
      <w:pPr>
        <w:pStyle w:val="TextoNormal"/>
      </w:pPr>
      <w:r>
        <w:t xml:space="preserve">SEGUNDO.- Por tanto teniendo en cuenta todas estas circunstancias así como que el asunto está pendiente de resolución por el Tribunal Superior de Justicia de Madrid, la cual tiene carácter urgente (art. 176.1 de la L.P.L.), procede suspender la ejecución hasta la pronta resolución de este pleito, teniéndose en cuenta además que constituyendo una de las excepciones formuladas en el juicio oral, la de inadecuación de procedimiento, es importante que se resuelva esta cuestión previamente por el Tribunal Superior de Justicia de Madrid", </w:t>
      </w:r>
    </w:p>
    <w:p w:rsidR="006854DA" w:rsidRDefault="006854DA" w:rsidP="006854DA">
      <w:pPr>
        <w:pStyle w:val="TextoNormal"/>
      </w:pPr>
      <w:r>
        <w:t xml:space="preserve">e) Contra este Auto interpusieron los actores recurso de reposición, en el que alegaban distintas infracciones. En primer término, la del art. 24.1 C.E. por vulneración del derecho de defensa, al haberse dictado el Auto que deja sin efecto la ejecución provisional acogiendo los argumentos del Centro empleador sin que se les hubiese dado traslado del escrito que remitió aquél al Juzgado. Alegaban, en segundo lugar, infracción del art. 301 L.P.L. por entender que cuando este precepto modaliza la ejecución provisional -que posibilita, en todo caso, en los procedimientos de tutela de derechos fundamentales-, "según la naturaleza de la pretensión reconocida", no establece una requisito para reconocer o no </w:t>
      </w:r>
      <w:r>
        <w:lastRenderedPageBreak/>
        <w:t xml:space="preserve">aquel derecho a la ejecución provisional, sino que lo condiciona según que la pretensión haya sido declarativa o de condena puesto que las primeras no son en sí mismas ejecutables. En consecuencia, el art. 301 L.P.L. establece un principio absoluto de ejecutividad de la Sentencia recurrida, así como que la ejecución se efectuará con arreglo a la naturaleza de la acción y, en consecuencia, de la Sentencia. La tercera alegación se refería a la infracción del art. 53.2 C.E. en relación al 28 y al 55, recordando la razón de ser de la ejecución provisional en este tipo de procedimientos y cómo el derecho fundamental cuya vulneración se ha reconocido no puede permanecer suspendido. Finalmente, que la argumentación del empleador era de orden económico y no podía amparar la suspensión de los derechos fundamentales, planteando la conveniencia de adelantar el pago de unos salarios que deberían ser de todas formas abonados si la Sentencia se confirmarse en suplicación, así como la necesidad de ello para el caso de que también esta segunda volviese a ser recurrida en su día. </w:t>
      </w:r>
    </w:p>
    <w:p w:rsidR="006854DA" w:rsidRDefault="006854DA" w:rsidP="006854DA">
      <w:pPr>
        <w:pStyle w:val="TextoNormal"/>
      </w:pPr>
      <w:r>
        <w:t>El Auto del Juzgado de lo Social de 14 de marzo de 1994 desestimó el recurso de reposición y confirmó íntegramente la decisión recurrida.</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Contra esta última resolución judicial interponen los actores recurso de amparo por considerar que vulnera sus derechos a la tutela judicial efectiva (art. 24.1 C.E.) y de libertad sindical (art. 28.1 C.E.) en atención a las siguientes consideraciones: </w:t>
      </w:r>
    </w:p>
    <w:p w:rsidR="006854DA" w:rsidRDefault="006854DA" w:rsidP="006854DA">
      <w:pPr>
        <w:pStyle w:val="TextoNormal"/>
      </w:pPr>
      <w:r>
        <w:t xml:space="preserve">Estiman los recurrentes que se ha producido una lesión del derecho a la tutela judicial efectiva -sin perjuicio de que se impugne una decisión judicial que inicialmente había sido emitida sin oír a una de las partes, con evidente detrimento de sus intereses-, por cuanto la ejecutividad inmediata que el art. 301 L.P.L. reconoce a las sentencias recaídas en los procedimientos laborales de tutela de derechos fundamentales constituye una garantía en desarrollo del art. 53.2 C.E., a tenor del cual la protección procesal de las lesiones de aquellos derechos se realizará a través de un procedimiento basado en los principios de preferencia y sumariedad. Es en relación a esta protección que la norma procesal laboral dispone la ejecutividad inmediata de la sentencia que estima lesionado el derecho, con independencia de que se recurra contra ella, asimilándose así al recurso con un solo efecto que la Ley 62/1978, de Protección Jurisdiccional de los Derechos Fundamentales de la Persona, dispone en el orden contencioso. La excepción que esta ejecutividad inmediata supone a la regla general tiene su razón de ser en la protección del derecho fundamental vulnerado, cuyo ejercicio no puede ser suspendido por la interposición de los recursos correspondientes. </w:t>
      </w:r>
    </w:p>
    <w:p w:rsidR="006854DA" w:rsidRDefault="006854DA" w:rsidP="006854DA">
      <w:pPr>
        <w:pStyle w:val="TextoNormal"/>
      </w:pPr>
      <w:r>
        <w:t xml:space="preserve">En segundo lugar, consideran los recurrentes que el Auto impugnado carece de motivación suficiente, al no fundamentar el aplazamiento de la ejecución y remitirse sin más al Auto anterior cuya reposición resuelve. </w:t>
      </w:r>
    </w:p>
    <w:p w:rsidR="006854DA" w:rsidRDefault="006854DA" w:rsidP="006854DA">
      <w:pPr>
        <w:pStyle w:val="TextoNormal"/>
      </w:pPr>
      <w:r>
        <w:t>Alegan, finalmente, vulneración del derecho de libertad sindical (art. 28.1 C.E.) por cuanto el Auto recurrido tiene como consecuencia la suspensión durante la tramitación del recurso de suplicación del ejercicio del derecho de libertad sindical en su vertiente negativa de no sufrir represalia en su empleo por no pertenecer a un sindicato o no ser favorable a sus acuerdos.</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26 de septiembre de 1994 la Sección acordó admitir a trámite de la demanda de amparo, con excepción de don Aníbal Gastón Troiano y de don Carlos Luis Villacampa Orus, por no haber sido parte en el proceso antecedente ni haber acreditado tener interés legítimo para interponer recurso de amparo. Acordó también requerir del Juzgado correspondiente la remisión de las actuaciones y el emplazamiento para la compa</w:t>
      </w:r>
      <w:r>
        <w:lastRenderedPageBreak/>
        <w:t xml:space="preserve">recencia en el plazo de diez días de quienes hubieran sido parte en el procedimiento excepto la parte recurrente en amparo. </w:t>
      </w:r>
    </w:p>
    <w:p w:rsidR="006854DA" w:rsidRDefault="006854DA" w:rsidP="006854DA">
      <w:pPr>
        <w:pStyle w:val="TextoNormal"/>
      </w:pPr>
      <w:r>
        <w:t>También por providencia de 26 de septiembre de 1994 la Sección acordó formar pieza separada para la tramitación del incidente sobre suspensión según dispone el art. 56 LOTC, concediendo un plazo común de tres días a la parte recurrente y al Ministerio Fiscal para alegar lo que estimasen conveniente sobre dicha suspensión.</w:t>
      </w:r>
    </w:p>
    <w:p w:rsidR="006854DA" w:rsidRDefault="006854DA" w:rsidP="006854DA">
      <w:pPr>
        <w:pStyle w:val="TextoNormal"/>
      </w:pPr>
    </w:p>
    <w:p w:rsidR="006854DA" w:rsidRDefault="006854DA" w:rsidP="006854DA">
      <w:pPr>
        <w:pStyle w:val="TextoNormal"/>
      </w:pPr>
      <w:r w:rsidRPr="006854DA">
        <w:rPr>
          <w:rStyle w:val="NumeroAFNegritaCaracter"/>
        </w:rPr>
        <w:t>5</w:t>
      </w:r>
      <w:r>
        <w:t>. Tras las correspondientes alegaciones de la parte recurrente y del Ministerio Fiscal, recayó Auto de la Sala Segunda, de 7 de noviembre de 1994, denegando la suspensión del Auto recurrido solicitada a este Tribunal. Las razones jurídicas de esta decisión se fundaron en que los recurrentes no estaban solicitando realmente la suspensión de la eficacia de la resolución impugnada, sino que el Tribunal Constitucional le reconociese así una ejecución provisional de la Sentencia de instancia que el órgano judicial nunca otorgó, lo cual excede el marco de la suspensión prevista en el art. 56 LOTC.</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Por providencia de 3 de abril de 1995 se acordó tener por personado al Procurador don Laurentino Mateos García, en nombre y representación del Consorcio para el Realojo de la Población Marginada de Madrid. Y a tenor de lo dispuesto en el art. 52 LOTC, dar vista de las actuaciones recibidas por un plazo común de veinte días al Ministerio Fiscal y a las partes personadas para presentar las alegaciones que estimasen convenientes. </w:t>
      </w:r>
    </w:p>
    <w:p w:rsidR="006854DA" w:rsidRDefault="006854DA" w:rsidP="006854DA">
      <w:pPr>
        <w:pStyle w:val="TextoNormal"/>
      </w:pPr>
      <w:r>
        <w:t xml:space="preserve">Los recurrentes solicitaron se dieran por reproducidas todas las alegaciones contenidas en el escrito de interposición del recurso de amparo. </w:t>
      </w:r>
    </w:p>
    <w:p w:rsidR="006854DA" w:rsidRDefault="006854DA" w:rsidP="006854DA">
      <w:pPr>
        <w:pStyle w:val="TextoNormal"/>
      </w:pPr>
      <w:r>
        <w:t xml:space="preserve">El Consorcio empleador solicitó en su escrito la desestimación del amparo alegando que los recurrentes no habían especificado en qué consiste la vulneración del derecho a la tutela judicial efectiva que estiman producida, habiéndose limitado aquéllos, a juicio del Consorcio, a hacer referencia a una serie de preceptos legales supuestamente infringidos pero sin concretar las lesiones de derechos fundamentales. Manifiestan también su desacuerdo con la falta de motivación del Auto impugnado, toda vez que éste se ha remitido al anterior confirmándole en todos sus extremos, conteniendo aquél suficiente motivación en su fundamentación jurídica. Entiende el Consorcio empleador que el art. 301 L.P.L. permitía al órgano judicial una ponderación de las circunstancias alegadas por la entidad condenada a la hora de suspender la ejecución de la sentencia, sin que se derivasen perjuicios para los afectados puesto que ya habían recibido su indemnización por extinción de contrato. Finalmente, que la petición hecha al Tribunal Constitucional por los recurrentes de que se acuerde la ejecutividad inmediata del Auto impugnado resulta de imposible cumplimiento, ya que con posterioridad ha recaído Sentencia del Tribunal Superior de Justicia de Madrid, de fecha 11 de octubre de 1994, que ha revocado la Sentencia cuya ejecución provisional se solicitó. </w:t>
      </w:r>
    </w:p>
    <w:p w:rsidR="006854DA" w:rsidRDefault="006854DA" w:rsidP="006854DA">
      <w:pPr>
        <w:pStyle w:val="TextoNormal"/>
      </w:pPr>
      <w:r>
        <w:t>Por su parte, el Ministerio Fiscal interesa la estimación del recurso considerando arbitraria la interpretación del órgano judicial, ya que las razones esgrimidas por aquél no tienen cabida en el art. 301 L.P.L. cuando éste reconoce el derecho a la ejecución provisional en una serie de procedimientos "según la naturaleza de la pretensión". Expresión ésta que, según señala el Ministerio Público, hace referencia al carácter declarativo o de otra naturaleza de lo reconocida en la Sentencia (convenio colectivo, conflictos colectivos u otras reclamaciones, como es el caso), pero que no guarda ninguna relación con las circunstancias consideradas por el órgano judicial.</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7</w:t>
      </w:r>
      <w:r>
        <w:t>. Por providencia de fecha 29 de mayo de 1997, se señaló para la deliberación y votación de la presente Sentencia el día 2 de junio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cuestión que los recurrentes someten a este Tribunal consiste en determinar si la decisión judicial de no ejecutar provisionalmente la Sentencia que declaraba lesivo del derecho a la libertad sindical el criterio empleado para seleccionar a los trabajadores afectados por un expediente de regulación de empleo, vulnera el derecho a la ejecución de las resoluciones judiciales (art. 24.1 C.E.), así como el de libertad sindical (art. 28.1 C.E.)  por producir su suspensión durante la tramitación del recurso de suplicación interpuesto por la empresa. Manifiestan también que se ha lesionado su derecho de defensa (art. 24.1 C.E.)  al haberse emitido inicialmente la resolución judicial sin oír a una de las partes. Finalmente, estiman afectado su derecho a la tutela judicial efectiva (art.  24.1 C.E.)  por falta de motivación del Auto impugnado que, dictado en reposición, confirmó íntegramente el recurrido.</w:t>
      </w:r>
    </w:p>
    <w:p w:rsidR="006854DA" w:rsidRDefault="006854DA" w:rsidP="006854DA">
      <w:pPr>
        <w:pStyle w:val="TextoNormal"/>
      </w:pPr>
      <w:r>
        <w:t>La queja principal planteada en amparo se refiere a la denegación de la ejecución provisional de la Sentencia dictada en el procedimiento de tutela de derechos fundamentales (arts.  175 y siguientes de la Ley de Procedimiento Laboral, en adelante L.P.L.)  instado por los recurrentes, por la que el Juzgado de lo Social núm. 1 de Madrid estimó la demanda de aquéllos y declaró lesivo del derecho de libertad sindical el criterio empleado para la selección de los trabajadores afectados por el expediente de regulación de empleo pactado entre la empresa y el Comité, al existir indicios no rebatidos de que únicamente se habían incluido a trabajadores no afiliados a sindicato alguno o afiliados a un determinado sindicato. La Sentencia declaraba con ello la nulidad del acto y condenaba a reponer a los actores en la situación anterior a la firma del acuerdo de regulación, a la confección de una nueva lista según motivos racionales y no basados en la afiliación sindical, así como al pago de ciertas indemnizaciones (art. 180.1 L.P.L.).</w:t>
      </w:r>
    </w:p>
    <w:p w:rsidR="006854DA" w:rsidRDefault="006854DA" w:rsidP="006854DA">
      <w:pPr>
        <w:pStyle w:val="TextoNormal"/>
      </w:pPr>
      <w:r>
        <w:t>Recurrida en suplicación, cabía frente a dicha Sentencia su ejecución provisional, según el art. 301 L.P.L. Sin embargo, atendiendo a la petición de la empresa de que aquélla no tuviera lugar a la vista de los perjuicios desproporcionados y de imposible o difícil reparación que alegó ante el órgano judicial, éste suspendió la ejecución hasta que recayera la Sentencia de suplicación. El Juzgado fundó su decisión en que el art. 301 L.P.L. no establece un derecho total y absoluto, sino que abre un resquicio al órgano judicial al posibilitar la ejecución provisional "según la naturaleza de la pretensión reconocida". Y acogiéndose a él, estimó que, tal como la empresa había manifestado, debía considerarse la existencia de circunstancias excepcionales, como el incremento de plantilla que se produciría con la readmisión de los actores, la confección de una nueva lista de trabajadores afectados por el expediente, las dificultades del Consorcio para hacer frente al pago de salarios debido a la reducción del presupuesto anual señalado por la Administración, así como que los trabajadores habían cobrado las indemnizaciones del expediente de regulación -que deberían devolver-, y que se encontraban ya recibiendo la prestación por desempleo. Consideró también el órgano judicial otras razones de índole procesal, como la urgencia con la que según la ley debía resolverse el recurso de suplicación, teniendo también en cuenta que, constituyendo una de las excepciones formuladas en el juicio oral la de inadecuación de procedimiento, era importante que se resolviese previamente tal cuestión por el Tribu</w:t>
      </w:r>
      <w:r>
        <w:lastRenderedPageBreak/>
        <w:t>nal Superior de Justicia. Decidió así suspender la ejecución de la Sentencia hasta la resolución de la suplicación, lo que de hecho equivale a denegar la ejecución provisional.</w:t>
      </w:r>
    </w:p>
    <w:p w:rsidR="006854DA" w:rsidRDefault="006854DA" w:rsidP="006854DA">
      <w:pPr>
        <w:pStyle w:val="TextoNormal"/>
      </w:pPr>
      <w:r>
        <w:t>Los recurrentes en amparo alegan que la decisión del órgano judicial ha desconocido la obligación impuesta por el art. 301 L.P.L., teniendo en cuenta que la ejecutividad inmediata de las Sentencias dictadas en los procedimientos de tutela de derechos fundamentales constituye una de las garantías específicas de la protección jurisdiccional de aquéllos, en desarrollo de los principios de preferencia y sumariedad impuestos por el art. 53.2 C.E. Razonan que la ejecución inmediata tiene su razón de ser en la protección de aquellos derechos, cuya vigencia y ejercicio no pueden ser cuestionados por los recursos que se interpongan, siendo incongruente que el órgano judicial aprecie un atentado a tal derecho para permitir de hecho y a continuación que el recurso logre el propósito proscrito al suspenderlo. Es por ello por lo que también estiman lesionado el derecho de libertad sindical, ya que la denegación de la ejecutividad inmediata de la Sentencia que reconoce la lesión constitucional supone suspender hasta que recaiga Sentencia en suplicación el pleno ejercicio del derecho a no sufrir represalias en el empleo por pertenecer o no a un sindicato.</w:t>
      </w:r>
    </w:p>
    <w:p w:rsidR="006854DA" w:rsidRDefault="006854DA" w:rsidP="006854DA">
      <w:pPr>
        <w:pStyle w:val="TextoNormal"/>
      </w:pPr>
    </w:p>
    <w:p w:rsidR="006854DA" w:rsidRDefault="006854DA" w:rsidP="006854DA">
      <w:pPr>
        <w:pStyle w:val="TextoNormal"/>
      </w:pPr>
      <w:r w:rsidRPr="006854DA">
        <w:rPr>
          <w:rStyle w:val="NumeroAFNegritaCaracter"/>
        </w:rPr>
        <w:t>2</w:t>
      </w:r>
      <w:r>
        <w:t>. Con carácter general, este Tribunal ha manifestado que el derecho a la ejecución provisional de las Sentencias no es un derecho fundamental comprendido en el art. 24.1 C.E., sino que viene establecido, en su caso, por el legislador y se encuentra sometido a ciertos requisitos sobre su procedencia o improcedencia que deben ser valorados por los órganos judiciales (STC 80/1990, 87/1996 ATC 103/1993).</w:t>
      </w:r>
    </w:p>
    <w:p w:rsidR="006854DA" w:rsidRDefault="006854DA" w:rsidP="006854DA">
      <w:pPr>
        <w:pStyle w:val="TextoNormal"/>
      </w:pPr>
      <w:r>
        <w:t>Sin embargo, por lo que se refiere específicamente al procedimiento laboral, la denominada ejecución provisional presenta una serie de particularidades cuya finalidad consiste tanto en evitar recursos meramente dilatorios de la parte condenada como dotar de eficacia inmediata a la resolución que estima la pretensión del trabajador, considerando la situación en la que ha podido quedar. Actúa por tanto como mecanismo compensador de la desigual posición material existente entre las partes, en el contexto de un proceso como el laboral, dirigido precisamente a garantizar la igualdad efectiva y no meramente formal de aquéllas (SSTC 3/1983, 14/1983, 114/1983, 20/1984 y 125/1995) y en el que prima esencialmente la resolución de instancia y la apariencia de certidumbre creada por ella. Este Tribunal ha entendido que las cargas que la ejecución provisional suponen para la parte condenada no son desproporcionadas ni lesivas de su derecho a la tutela judicial, precisamente por la finalidad que cumplen en relación a los derechos reconocidos al trabajador en la Sentencia de instancia (SSTC 80/1990, 61/1992 y AATC 767/1986 y 103/1993).</w:t>
      </w:r>
    </w:p>
    <w:p w:rsidR="006854DA" w:rsidRDefault="006854DA" w:rsidP="006854DA">
      <w:pPr>
        <w:pStyle w:val="TextoNormal"/>
      </w:pPr>
      <w:r>
        <w:t>En este orden de cosas, la Ley de Procedimiento Laboral (arts. 287 y ss.)  regula una serie de supuestos con acusadas especialidades respecto de la ejecución provisional común, cada uno de ellos con sus condiciones, alcance y margen conferido al órgano judicial en la configuración del título ejecutivo, fijando una serie de obligaciones cuyo incumplimiento ha sido estimado en ciertos supuestos por este Tribunal como lesivo del derecho a la ejecución de las Sentencias (así, SSTC 234/1992 y 104/1994).  Tales obligaciones son autónomas respecto de lo que después se resuelva en la Sentencia definitiva, de forma que las eventuales vulneraciones del art. 24.1 C.E. que puedan producirse en esta fase, no quedan vinculadas al desarrollo posterior del procedimiento (SSTC 234/1992, 104/1994, 87/1996), lo que en este caso sirve para rechazar la alegación de la empresa de que la Sentencia de instancia fue posteriormente revocada en suplicación.</w:t>
      </w:r>
    </w:p>
    <w:p w:rsidR="006854DA" w:rsidRDefault="006854DA" w:rsidP="006854DA">
      <w:pPr>
        <w:pStyle w:val="TextoNormal"/>
      </w:pPr>
      <w:r>
        <w:t xml:space="preserve">Pues bien, de entre todos los supuestos previstos en la L.P.L., el que recoge el art. 301 presenta características propias, ya que reconoce en realidad la ejecutividad inmediata de </w:t>
      </w:r>
      <w:r>
        <w:lastRenderedPageBreak/>
        <w:t>la Sentencia aun cuando ésta no sea firme, al establecer que "Las Sentencias que recaigan en los procesos de conflicto colectivo, en los de impugnación de los convenios colectivos y en los de tutela de los derechos de libertad sindical y demás derechos fundamentales, serán ejecutivas desde que se dicten, según la naturaleza de la pretensión reconocida, no obstante el recurso que contra ellas pudiera interponerse". Tal es el precepto que ha determinado la presente demanda de amparo, por lo que ha de considerarse si el hecho de que la resolución impugnada haya recaído en un procedimiento de tutela de derechos fundamentales en el que se reconoció la existencia de una lesión de la libertad sindical tiene, en este caso, una significación específica y relevante en el momento de valorar, desde la perspectiva constitucional, la decisión judicial que ha denegado su ejecutividad provisional.</w:t>
      </w:r>
    </w:p>
    <w:p w:rsidR="006854DA" w:rsidRDefault="006854DA" w:rsidP="006854DA">
      <w:pPr>
        <w:pStyle w:val="TextoNormal"/>
      </w:pPr>
    </w:p>
    <w:p w:rsidR="006854DA" w:rsidRDefault="006854DA" w:rsidP="006854DA">
      <w:pPr>
        <w:pStyle w:val="TextoNormal"/>
      </w:pPr>
      <w:r w:rsidRPr="006854DA">
        <w:rPr>
          <w:rStyle w:val="NumeroAFNegritaCaracter"/>
        </w:rPr>
        <w:t>3</w:t>
      </w:r>
      <w:r>
        <w:t>. La ejecutividad inmediata de la Sentencia dictada en los procedimientos de tutela de derechos fundamentales, aun cuando se interponga recurso contra aquélla, forma parte de las especialidades que conforman esta modalidad procesal. De modo que a las razones ya expuestas sobre el fundamento de la denominada ejecución provisional en el proceso laboral se añade en este caso, significativamente, la garantía de reparación inmediata que aquélla supone cuando el órgano judicial ha declarado la existencia de la lesión de un derecho fundamental.  Una finalidad a la que ningún reproche constitucional cabe hacer habida cuenta del papel que cumplen, con carácter general, las normas que integran la protección jurisdiccional de los derechos fundamentales, precisamente en atención a lo que éstos representan en el diseño constitucional.</w:t>
      </w:r>
    </w:p>
    <w:p w:rsidR="006854DA" w:rsidRDefault="006854DA" w:rsidP="006854DA">
      <w:pPr>
        <w:pStyle w:val="TextoNormal"/>
      </w:pPr>
      <w:r>
        <w:t>De esta forma, el control de la resolución judicial que deniega esta especial ejecución provisional requiere un mayor rigor, al estar en juego derechos fundamentales de orden material (STC 112/1996, fundamento jurídico 2º).  Establecidas por el legislador las especialidades procesales que articulan la protección jurisdiccional de aquéllos, son los órganos judiciales ordinarios los que asumen en primer término la tarea de aplicarlas para la plena efectividad y reparación real de tales derechos. Estamos así ante decisiones judiciales especialmente cualificadas, con carácter general, en función del derecho material sobre el que recaen, sin que a éste Tribunal, garante último de los derechos fundamentales a través del recurso de amparo, pueda resultarle indiferente aquella cualificación cuando se impugnan ante él este tipo de resoluciones. Así, no toda decisión judicial que deniega la ejecución provisional de una Sentencia que ha estimado la lesión de un derecho fundamental resulta necesariamente aceptable, ya que en ella no sólo se encuentra en juego el derecho a dicha ejecución, sino que puede producir un efecto derivado o reflejo sobre la reparación del derecho fundamental cuya vulneración ya ha sido declarada por el mismo órgano judicial.  Por ello, con independencia de lo que más tarde se dirá, resulta exigible del órgano judicial que tenga en cuenta el mencionado efecto cuando, a su juicio, concurren circunstancias extraordinarias que limitan o imposibilitan la reparación inmediata del derecho fundamental que la ejecución provisional entraña.</w:t>
      </w:r>
    </w:p>
    <w:p w:rsidR="006854DA" w:rsidRDefault="006854DA" w:rsidP="006854DA">
      <w:pPr>
        <w:pStyle w:val="TextoNormal"/>
      </w:pPr>
      <w:r>
        <w:t>Puede por tanto afirmarse que, en el presente caso, el Juzgado venía obligado en su decisión a considerar que no estaba ante una ejecución provisional ordinaria sino ante la de una Sentencia en la que él mismo había declarado la existencia de una conducta lesiva de la libertad sindical; que la nulidad de tal conducta conllevaba, como la norma legal impone y él había dispuesto, la reposición de los trabajadores al momento anterior a la selección efectuada de forma antisindical y, en consecuencia, a la plena efectividad del derecho de aquéllos a no sufrir perjuicios en el empleo por razones de afiliación sindical o de no afiliación; y, finalmente, que dicha plena efectividad tenía carácter prioritario, al recono</w:t>
      </w:r>
      <w:r>
        <w:lastRenderedPageBreak/>
        <w:t>cerse legalmente el derecho a la ejecutividad inmediata de las Sentencias dictadas en procedimiento de tutela de derechos fundamentales.</w:t>
      </w:r>
    </w:p>
    <w:p w:rsidR="006854DA" w:rsidRDefault="006854DA" w:rsidP="006854DA">
      <w:pPr>
        <w:pStyle w:val="TextoNormal"/>
      </w:pPr>
    </w:p>
    <w:p w:rsidR="006854DA" w:rsidRDefault="006854DA" w:rsidP="006854DA">
      <w:pPr>
        <w:pStyle w:val="TextoNormal"/>
      </w:pPr>
      <w:r w:rsidRPr="006854DA">
        <w:rPr>
          <w:rStyle w:val="NumeroAFNegritaCaracter"/>
        </w:rPr>
        <w:t>4</w:t>
      </w:r>
      <w:r>
        <w:t>. Dicho lo anterior, debe también tenerse presente que el derecho que reconoce el art. 301 L.P.L. no es un derecho absoluto. Y ello con independencia de que, como bien afirma el Ministerio Fiscal, la interpretación que el órgano judicial ha realizado del inciso de aquel precepto que condiciona la ejecutividad a la "naturaleza de la pretensión reconocida", no sea, en su opinión, la más ajustada al sentido del derecho reconocido.</w:t>
      </w:r>
    </w:p>
    <w:p w:rsidR="006854DA" w:rsidRDefault="006854DA" w:rsidP="006854DA">
      <w:pPr>
        <w:pStyle w:val="TextoNormal"/>
      </w:pPr>
      <w:r>
        <w:t>Debe tenerse en cuenta que ni siquiera el derecho a la ejecución de las resoluciones firmes -directamente derivado del art. 24.1 C.E.- se presenta como un derecho absoluto -como, por otra parte, no lo es ningún derecho fundamental (SSTC 11/1981, 2/1982, 91/1983, 120/1990 ó 181/1990)-, ya que, como ha manifestado este Tribunal, no lesionan aquel derecho las decisiones judiciales de inejecutar una Sentencia que se han fundado en una causa legal y no resulten irrazonables, inmotivadas, fundadas en causas inexistentes o entendidas restrictivamente (SSTC 33/1987, 92/1988, 107/1992, 39/1994, 292/1994), y de las que no derive indefensión o desconocimiento de alguna garantía sustancial para la obtención de la tutela judicial (SSTC 151/1993, 245/1993).</w:t>
      </w:r>
    </w:p>
    <w:p w:rsidR="006854DA" w:rsidRDefault="006854DA" w:rsidP="006854DA">
      <w:pPr>
        <w:pStyle w:val="TextoNormal"/>
      </w:pPr>
      <w:r>
        <w:t>Tampoco, pues, del art. 301 L.P.L. cabe deducir que esté constitucionalmente proscrita toda consideración, por parte del órgano judicial, de circunstancias excepcionales que limiten el derecho contenido en él o hagan imposible su ejercicio, preservando tanto los derechos procesales de la otra parte, si es el caso, como las funciones de los Tribunales ordinarios en la fijación del alcance de sus propios fallos (SSTC 242/92, 79/93, 92/93 y 152/93).</w:t>
      </w:r>
    </w:p>
    <w:p w:rsidR="006854DA" w:rsidRDefault="006854DA" w:rsidP="006854DA">
      <w:pPr>
        <w:pStyle w:val="TextoNormal"/>
      </w:pPr>
      <w:r>
        <w:t>En este caso, el órgano judicial consideró que existían circunstancias excepcionales a tener en cuenta frente al indiscutido derecho de los actores.  Por lo que aquí interesa, atendió a las repercusiones que se derivaban de la reposición de aquéllos en la situación previa a la selección antisindical, especialmente al temporal incremento de plantilla -tras la reducción operada por un expediente de regulación de empleo que había sido autorizado, según se desprende de la documentación aportada-, que podía afectar a los derechos económicos del resto de los trabajadores puesto que los presupuestos anuales (que, al parecer, sostenían el Consorcio empleador) se habían reducido en función de la reducción misma de plantilla operada con la regulación de empleo.  Atendió también el juzgador a la circunstancia de la confección de la nueva lista de trabajadores afectados por aquél, de la que razonablemente cabe pensar que se habría de derivar la selección de otros trabajadores que hasta el momento habían permanecido en la empresa, selección en sí misma provisional en espera de lo que se decidiera en el recurso de suplicación pero que, sin embargo, produciría efectos propios de difícil reversibilidad.</w:t>
      </w:r>
    </w:p>
    <w:p w:rsidR="006854DA" w:rsidRDefault="006854DA" w:rsidP="006854DA">
      <w:pPr>
        <w:pStyle w:val="TextoNormal"/>
      </w:pPr>
      <w:r>
        <w:t>Todos los anteriores son argumentos cuyo peso en la decisión judicial de denegar en este caso la ejecución provisional de la Sentencia no permite, desde la perspectiva constitucional, afirmar la irrazonabilidad de aquélla. El efecto derivado para los recurrentes de dejar en suspenso la reparación inmediata de la lesión sindical declarada por el órgano judicial, no constituye una vulneración constitucional de su derecho a la ejecución por cuanto se ha fundado en una causa legal y en la existencia en este supuesto de circunstancias de carácter excepcional que podían repercutir desproporcionadamente en los derechos e intereses de terceros, produciendo efectos más allá del estricto ámbito temporal de la ejecución provisional. Por lo tanto, la respuesta del órgano judicial, aún enjuiciada desde el mayor rigor que impone el hecho de estar en juego la reparación de un derecho fundamental, no alcanza a lesionar el art. 24.1 C.E.</w:t>
      </w:r>
    </w:p>
    <w:p w:rsidR="006854DA" w:rsidRDefault="006854DA" w:rsidP="006854DA">
      <w:pPr>
        <w:pStyle w:val="TextoNormal"/>
      </w:pPr>
    </w:p>
    <w:p w:rsidR="006854DA" w:rsidRDefault="006854DA" w:rsidP="006854DA">
      <w:pPr>
        <w:pStyle w:val="TextoNormal"/>
      </w:pPr>
      <w:r w:rsidRPr="006854DA">
        <w:rPr>
          <w:rStyle w:val="NumeroAFNegritaCaracter"/>
        </w:rPr>
        <w:t>5</w:t>
      </w:r>
      <w:r>
        <w:t>. Alegan los recurrentes en amparo que la decisión del Juzgado de lo Social vulnera también su derecho de libertad sindical (art. 28.1 C.E.), precisamente porque, al denegar la ejecución provisional, el órgano judicial suspende hasta que recaiga Sentencia en suplicación la efectividad del derecho a no sufrir represalias en el empleo por el hecho de pertenecer o no a un sindicato. Un efecto que, a su entender, resulta incongruente una vez que el mismo órgano judicial ya había declarado la lesión de citado derecho fundamental y no podía, por tanto, amparar la supresión temporal de aquél.</w:t>
      </w:r>
    </w:p>
    <w:p w:rsidR="006854DA" w:rsidRDefault="006854DA" w:rsidP="006854DA">
      <w:pPr>
        <w:pStyle w:val="TextoNormal"/>
      </w:pPr>
      <w:r>
        <w:t>Ya hemos dicho anteriormente que en estos supuestos nos encontramos ante resoluciones judiciales especialmente cualificadas por el derecho material sobre el que recaen -con independencia de que la declaración firme de la lesión no se haya producido todavía-, de donde resulta exigible un mayor rigor en su control ya que, según los casos, pueden producir efectos derivados o reflejos sobre el propio derecho fundamental en litigio. Mas, por otra parte, la denegación de la ejecución provisional no comporta, necesariamente y en todo caso, una lesión del derecho material invocado (aquí, de la libertad sindical). Sin embargo, correspondiendo legalmente al órgano judicial procurar en este caso la reparación inmediata de la lesión declarada por él mismo, el desconocimiento de la obligación legal de forma arbitraria, infundada o al margen de la prioridad de tal reparación en los términos ya expuestos, podría, según los casos, determinar una irrazonable prolongación en el tiempo de la lesión.  Consecuencia ésta que podría resultar vulneradora del derecho fundamental de libertad sindical, del que sí forma parte la prohibición de las represalias y discriminaciones en el empleo por razones de afiliación.</w:t>
      </w:r>
    </w:p>
    <w:p w:rsidR="006854DA" w:rsidRDefault="006854DA" w:rsidP="006854DA">
      <w:pPr>
        <w:pStyle w:val="TextoNormal"/>
      </w:pPr>
      <w:r>
        <w:t>No obstante, en el presente supuesto hemos concluido que las circunstancias extraordinarias consideradas por el órgano judicial, permiten no cuestionar constitucionalmente su decisión, de forma que de una respuesta judicial correcta en términos constitucionales según los criterios precisados para estos casos, no puede, en consecuencia, derivarse tampoco ninguna lesión refleja del derecho material en juego, por lo que debe rechazarse que la Sentencia impugnada lesione el art.  28.1 C.E.</w:t>
      </w:r>
    </w:p>
    <w:p w:rsidR="006854DA" w:rsidRDefault="006854DA" w:rsidP="006854DA">
      <w:pPr>
        <w:pStyle w:val="TextoNormal"/>
      </w:pPr>
    </w:p>
    <w:p w:rsidR="006854DA" w:rsidRDefault="006854DA" w:rsidP="006854DA">
      <w:pPr>
        <w:pStyle w:val="TextoNormal"/>
      </w:pPr>
      <w:r w:rsidRPr="006854DA">
        <w:rPr>
          <w:rStyle w:val="NumeroAFNegritaCaracter"/>
        </w:rPr>
        <w:t>6</w:t>
      </w:r>
      <w:r>
        <w:t>. Los recurrentes en amparo estiman, asimismo, vulnerado su derecho a no sufrir indefensión (art. 24.1 C.E.), como consecuencia de haberse dictado la resolución judicial (Auto de 22 de noviembre de 1993) sin oír a una de las partes, con evidente detrimento de sus intereses. La genérica alegación de los recurrentes cabe referirla, a la vista del resto de la documentación aportada, al hecho de que el Juzgado no les dio traslado del escrito de la empresa en el que ésta solicitaba la suspensión de la ejecución provisional y exponía los motivos de dicha solicitud.</w:t>
      </w:r>
    </w:p>
    <w:p w:rsidR="006854DA" w:rsidRDefault="006854DA" w:rsidP="006854DA">
      <w:pPr>
        <w:pStyle w:val="TextoNormal"/>
      </w:pPr>
      <w:r>
        <w:t xml:space="preserve">Este Tribunal tiene reiteradamente manifestado que el derecho a no sufrir indefensión garantiza el principio de contradicción en el proceso, preservando el derecho de las partes de alegar y probar en él cuanto consideren conveniente para la defensa de sus intereses y derechos (por todas, SSTC 48/1984, 48/1986, 98/1987). Según esta misma doctrina, la indefensión constitucionalmente relevante requiere que del acto judicial se derive un perjuicio real del derecho. En este supuesto los recurrentes fueron oídos en reposición y, de otro lado, la genérica alegación que realizan de que la resolución judicial fue dictada sin oír a una de las partes, no permite concretar aquel perjuicio ni deducir sin más su relevancia constitucional, sin que se haya acreditado en qué consiste el detrimento de su defensa que estiman producido, ni qué perjuicios se han ocasionado a su derecho constitucional que no hubieran tenido lugar de haber actuado el órgano judicial de otra manera. A la vista </w:t>
      </w:r>
      <w:r>
        <w:lastRenderedPageBreak/>
        <w:t>de todo ello, no puede, en términos constitucionales, considerarse lesiva del derecho a no sufrir indefensión la actuación del Juzgado de lo Social.</w:t>
      </w:r>
    </w:p>
    <w:p w:rsidR="006854DA" w:rsidRDefault="006854DA" w:rsidP="006854DA">
      <w:pPr>
        <w:pStyle w:val="TextoNormal"/>
      </w:pPr>
    </w:p>
    <w:p w:rsidR="006854DA" w:rsidRDefault="006854DA" w:rsidP="006854DA">
      <w:pPr>
        <w:pStyle w:val="TextoNormal"/>
      </w:pPr>
      <w:r w:rsidRPr="006854DA">
        <w:rPr>
          <w:rStyle w:val="NumeroAFNegritaCaracter"/>
        </w:rPr>
        <w:t>7</w:t>
      </w:r>
      <w:r>
        <w:t>. Finalmente, los recurrentes invocan el art. 24.1 C.E.  por considerar que la resolución judicial que impugnan en amparo es inmotivada ya que, aun cuando se remita al Auto previo cuya reposición resuelve, su sumaria fundamentación constituye una desconsideración absoluta para la argumentación vertida en el recurso, que no ha sido refutada, analizada, discutida ni motivada en su improcedencia.</w:t>
      </w:r>
    </w:p>
    <w:p w:rsidR="006854DA" w:rsidRDefault="006854DA" w:rsidP="006854DA">
      <w:pPr>
        <w:pStyle w:val="TextoNormal"/>
      </w:pPr>
      <w:r>
        <w:t>La exigencia de motivación de las resoluciones judiciales garantiza, desde la exclusiva perspectiva constitucional, que aquéllas se han fundado en Derecho y no constituyen un acto de mera voluntad del juzgador, excluyendo así el arbitrismo judicial y posibilitando el correspondiente control de tales resoluciones (por todas, SSTC 24/1990, 154/1995). Resulta también doctrina reiteradamente mantenida por este Tribunal que lo anterior no impone a órgano judicial una determinada extensión o intensidad en la exposición de su razonamiento (SSTC 14/1981, 28/1994), ni la contestación pormenorizada a todas las alegaciones de las partes siempre que se resuelvan las cuestiones planteadas (así, 95/90), siendo también admisible la motivación por remisión, que no por ello deja de serlo ni de satisfacer las finalidades arriba recordadas (por todas, SSTC 174/1987, 146/1990, 175/1992, AATC 688/1986, 956/1988).</w:t>
      </w:r>
    </w:p>
    <w:p w:rsidR="006854DA" w:rsidRDefault="006854DA" w:rsidP="006854DA">
      <w:pPr>
        <w:pStyle w:val="TextoNormal"/>
      </w:pPr>
      <w:r>
        <w:t>En el presente supuesto, el Auto recurrido en amparo fue dictado en reposición, procediendo a confirmar al anterior en todos sus extremos tras examinar el contenido de los escritos presentados por cada una de las dos partes. De manera que no cabe duda alguna de que el órgano judicial tomó en cuenta los argumentos de los recurrentes, si bien no consideró que sirvieran para alterar la decisión adoptada en la resolución anterior, que fue confirmada íntegramente y cuya suficiente motivación no ha sido cuestionada en el recurso de amparo. Se está, pues, a presencia de una motivación por remisión a la que, según el criterio arriba recordado, nada cabe objetar por parte de este Tribunal.</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presente recurso de amparo.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dos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2" w:name="SENTENCIA_1997_106"/>
      <w:r>
        <w:lastRenderedPageBreak/>
        <w:t>SENTENCIA 106/1997, de 2 de junio de 1997</w:t>
      </w:r>
    </w:p>
    <w:bookmarkEnd w:id="22"/>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ECLI:ES:TC:1997:106</w:t>
      </w:r>
    </w:p>
    <w:p w:rsidR="006854DA" w:rsidRDefault="006854DA" w:rsidP="006854DA">
      <w:pPr>
        <w:pStyle w:val="SntesisDescriptiva"/>
      </w:pPr>
    </w:p>
    <w:p w:rsidR="006854DA" w:rsidRDefault="006854DA" w:rsidP="006854DA">
      <w:pPr>
        <w:pStyle w:val="SntesisDescriptiva"/>
      </w:pPr>
      <w:r>
        <w:t>Recurso de amparo 1.824/1994. Contra Sentencia de la    Audiencia Provincial de Navarra dictada en autos de audiencia al  rebelde.</w:t>
      </w:r>
    </w:p>
    <w:p w:rsidR="006854DA" w:rsidRDefault="006854DA" w:rsidP="006854DA">
      <w:pPr>
        <w:pStyle w:val="SntesisDescriptiva"/>
      </w:pPr>
    </w:p>
    <w:p w:rsidR="006854DA" w:rsidRDefault="006854DA" w:rsidP="006854DA">
      <w:pPr>
        <w:pStyle w:val="SntesisAnaltica"/>
      </w:pPr>
      <w:r>
        <w:t>Supuesta vulneración del derecho a la tutela judicial efectiva: denegación de audiencia al rebelde no lesiva del derecho.</w:t>
      </w:r>
    </w:p>
    <w:p w:rsidR="006854DA" w:rsidRDefault="006854DA" w:rsidP="006854DA">
      <w:pPr>
        <w:pStyle w:val="SntesisAnaltica"/>
      </w:pPr>
    </w:p>
    <w:p w:rsidR="006854DA" w:rsidRDefault="006854DA" w:rsidP="006854DA">
      <w:pPr>
        <w:pStyle w:val="Extracto"/>
      </w:pPr>
      <w:r>
        <w:t>1.</w:t>
      </w:r>
      <w:r>
        <w:tab/>
        <w:t>Como hemos declarado reiteradamente (SSTC 50/1991 y 107/1995, entre otras), el hecho de haber sido admitida a trámite la demanda por este Tribunal no excluye en modo alguno el examen de sus presupuestos procesales, ya que la comprobación de los mismos para la viabilidad de la acción, de oficio o a instancia de parte, puede llevarse a cabo en la Sentencia que ponga fin al proceso constitucional [F.J. 2].</w:t>
      </w:r>
    </w:p>
    <w:p w:rsidR="006854DA" w:rsidRDefault="006854DA" w:rsidP="006854DA">
      <w:pPr>
        <w:pStyle w:val="Extracto"/>
      </w:pPr>
    </w:p>
    <w:p w:rsidR="006854DA" w:rsidRDefault="006854DA" w:rsidP="006854DA">
      <w:pPr>
        <w:pStyle w:val="Extracto"/>
      </w:pPr>
      <w:r>
        <w:t>2.</w:t>
      </w:r>
      <w:r>
        <w:tab/>
        <w:t>Para resolver el presente proceso será preciso examinar la Sentencia de la Audiencia Provincial de Navarra por la que se denegó a la sociedad recurrente de amparo la audiencia como rebelde, pues siendo tal audiencia remedio procesal idóneo para reparar la indefensión de quien no comparece en el proceso en que es condenado, es en dicha vía donde corresponde apreciarla. En el bien entendido de que se hayan cumplido los requisitos legales a los que se subordina su procedencia como cauce que permite acordar, excepcionalmente, la rescisión de una Sentencia firme [F.J. 3].</w:t>
      </w:r>
    </w:p>
    <w:p w:rsidR="006854DA" w:rsidRDefault="006854DA" w:rsidP="006854DA">
      <w:pPr>
        <w:pStyle w:val="Extracto"/>
      </w:pPr>
    </w:p>
    <w:p w:rsidR="006854DA" w:rsidRDefault="006854DA" w:rsidP="006854DA">
      <w:pPr>
        <w:pStyle w:val="Extracto"/>
      </w:pPr>
      <w:r>
        <w:t>3.</w:t>
      </w:r>
      <w:r>
        <w:tab/>
        <w:t>Cabe estimar que la motivación de la resolución judicial impugnada, aunque escueta, satisface la exigencia del mencionado derecho constitucional. Y otro tanto cabe decir, en segundo término, respecto al fundamento de la denegación de la audiencia al rebelde, pues se basa en la concurrencia de una causa legal impeditiva de la instancia pretendida; sin que su aplicación al caso, por último, pueda considerarse en modo alguno manifiestamente irrazonable o arbitraria, ni tampoco incursa en error patente (STC 148/1994). Aunque no es ocioso agregar en relación con la causa legal impeditiva aplicada por la Audiencia Provincial dos extremos relevantes que se desprenden de los documentos obrantes en las actuaciones: De un lado, que la sociedad recurrente no había sido disuelta y, de otro, que su domicilio social se estableció en Burlada (Navarra), calle San Francisco, 13, bajo. Esto es, precisamente en el local de negocios objeto del arrendamiento según el contrato celebrado en su día y que fue, además, el indicado en la demanda de desahucio como domicilio de la demandada. Lo que ha de conducir en definitiva, por las razones expuestas, a la denegación del amparo solicitado [F.J.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lastRenderedPageBreak/>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1.824/94, promovido por "Comercial LOYSA, S.L.", representada por el Procurador de los Tribunales don Rafael Ortiz de Solórzano, más adelante sustituido por su compañero don Julián Sanz Aragón, y bajo la dirección del Letrado don Francisco Javier López Leoz, frente a la Sentencia de la Sección Primera de la Audiencia Provincial de Navarra de 26 de abril de 1994, dictada en el rollo 280/93 de audiencia al rebelde. Ha sido parte en el presente proceso don Miguel Ángel Unzu Lapeyra, representado por el Procurador de los Tribunales don José Manuel Dorremochea Aramburu, y bajo la dirección del Letrado don Jesús Ezponda. Ha intervenido el Ministerio Fiscal, y ha sido Ponente el Magistrado don Julio Diego González Campos,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Por medio de escrito que tuvo entrada en el Registro de este Tribunal el 26 de mayo de 1994, procedente del Juzgado de Guardia de Madrid, el Procurador de los Tribunales don Rafael Ortiz de Solórzano, en nombre y representación de la mercantil "Comercial LOYSA, S.L.", interpuso recurso de amparo frente a la </w:t>
      </w:r>
    </w:p>
    <w:p w:rsidR="006854DA" w:rsidRDefault="006854DA" w:rsidP="006854DA">
      <w:pPr>
        <w:pStyle w:val="TextoNormal"/>
      </w:pPr>
      <w:r>
        <w:t>Sentencia de la Sección Primera de la Audiencia Provincial de Navarra de 26 de abril de 1994, dictada en el rollo 280/93 de audiencia al rebelde.</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en que se fundamenta la demanda de amparo, brevemente expuestos, son los siguientes: </w:t>
      </w:r>
    </w:p>
    <w:p w:rsidR="006854DA" w:rsidRDefault="006854DA" w:rsidP="006854DA">
      <w:pPr>
        <w:pStyle w:val="TextoNormal"/>
      </w:pPr>
      <w:r>
        <w:t xml:space="preserve">A) Don Miguel Angel Unzu Lapeyra, en su condición de propietario y arrendador de un local de negocio, condición que adquirió en calidad de sucesor de doña Alejandra Doménech Tejedor, formuló demanda de desahucio por falta de pago de la merced arrendaticia frente a la actual recurrente de amparo, demanda que, tramitada como juicio núm. 279/93, correspondió conocer al Juzgado de Primera Instancia núm. 1 de Pamplona, señalándose en ella como domicilio de la demandada, a efectos de notificaciones, el local objeto del contrato de arrendamiento. </w:t>
      </w:r>
    </w:p>
    <w:p w:rsidR="006854DA" w:rsidRDefault="006854DA" w:rsidP="006854DA">
      <w:pPr>
        <w:pStyle w:val="TextoNormal"/>
      </w:pPr>
      <w:r>
        <w:t>B) La citación a juicio de la demandada, fue tramitada mediante exhorto al Juzgado de Paz de Burlada (Navarra); en su cumplimiento, consta en las actuaciones diligencia de dicho Juzgado de Paz en la que literalmente se afirma: "Para hacer constar que no se puede llevar a efecto la diligencia interesada por haber desaparecido de aquí hace tiempo, doy fe. Burlada, a 20 de abril de 1993". En atención a este dato, el Juzgado de Primera Instan</w:t>
      </w:r>
      <w:r>
        <w:lastRenderedPageBreak/>
        <w:t xml:space="preserve">cia, por providencia de 5 de mayo de 1993, tuvo a la demandada en ignorado paradero, y acordó notificar en estrados la citación a juicio; incomparecida la ahora recurrente en amparo, incluso tras una segunda citación en estrados -a instancia del demandante-, se dictó Sentencia, de 17 de junio de 1993, declarando la resolución del contrato y haber lugar al desahucio del local. Dicha Sentencia fue publicada mediante edicto en el "Boletín Oficial de Navarra" el 19 de julio de 1993. Firme la Sentencia, el lanzamiento tuvo lugar el 28 de septiembre de 1993. </w:t>
      </w:r>
    </w:p>
    <w:p w:rsidR="006854DA" w:rsidRDefault="006854DA" w:rsidP="006854DA">
      <w:pPr>
        <w:pStyle w:val="TextoNormal"/>
      </w:pPr>
      <w:r>
        <w:t xml:space="preserve">C) Entretanto, y con fecha 3 de septiembre de 1993, la demandante de amparo interpuso una autodenominada demanda de juicio declarativo de menor cuantía por la que se solicitaba la declaración de nulidad de la Sentencia de 17 de junio, con base en la supuesta indefensión padecida al no haber sido regularmente citada para comparecer en el juicio de desahucio. Pese a que, por providencia de 28 de septiembre, el Juzgado considerara inadmisible tal demanda de nulidad -conforme a lo preceptuado en el art. 240.1 L.O.P.J.-, fue trasladada al demandante para que por tres días formulara sus alegaciones sobre la pretendida nulidad, tras lo cual, por Auto de 18 de octubre de 1993, fue desestimada tal solicitud por ser ya firme la Sentencia cuya nulidad se interesaba. </w:t>
      </w:r>
    </w:p>
    <w:p w:rsidR="006854DA" w:rsidRDefault="006854DA" w:rsidP="006854DA">
      <w:pPr>
        <w:pStyle w:val="TextoNormal"/>
      </w:pPr>
      <w:r>
        <w:t>D) Pocos días antes de que se desestimara tal solicitud de nulidad, el 4 de octubre de 1993, la recurrente solicitó se le diera audiencia como rebelde. Sustanciado el incidente, la Sentencia de la Sección Primera de la Audiencia Provincial de Navarra de 26 de abril de 1994, objeto del presente recurso, declaró no haber lugar a la audiencia pretendida, por no acreditarse la circunstancia 3ª de los arts. 777 y 785 de la Ley de Enjuiciamiento Civil (L.E.C.), entendiendo además que la denunciada superchería con que la demandante de desahucio supuestamente actuó, sólo podía enjuiciarse en el recurso extraordinario de revisión previsto en los arts. 1.796 y ss. L.E.C.</w:t>
      </w:r>
    </w:p>
    <w:p w:rsidR="006854DA" w:rsidRDefault="006854DA" w:rsidP="006854DA">
      <w:pPr>
        <w:pStyle w:val="TextoNormal"/>
      </w:pPr>
    </w:p>
    <w:p w:rsidR="006854DA" w:rsidRDefault="006854DA" w:rsidP="006854DA">
      <w:pPr>
        <w:pStyle w:val="TextoNormal"/>
      </w:pPr>
      <w:r w:rsidRPr="006854DA">
        <w:rPr>
          <w:rStyle w:val="NumeroAFNegritaCaracter"/>
        </w:rPr>
        <w:t>3</w:t>
      </w:r>
      <w:r>
        <w:t>. Fundamenta la recurrente su demanda de amparo en la indefensión que dice haber padecido al haberse seguido el juicio de desahucio sin que fuera regularmente citada al mismo, por lo que fue tramitado y concluido inaudita parte.</w:t>
      </w:r>
    </w:p>
    <w:p w:rsidR="006854DA" w:rsidRDefault="006854DA" w:rsidP="006854DA">
      <w:pPr>
        <w:pStyle w:val="TextoNormal"/>
      </w:pPr>
    </w:p>
    <w:p w:rsidR="006854DA" w:rsidRDefault="006854DA" w:rsidP="006854DA">
      <w:pPr>
        <w:pStyle w:val="TextoNormal"/>
      </w:pPr>
      <w:r w:rsidRPr="006854DA">
        <w:rPr>
          <w:rStyle w:val="NumeroAFNegritaCaracter"/>
        </w:rPr>
        <w:t>4</w:t>
      </w:r>
      <w:r>
        <w:t>. Por sucesivas providencias de la Sección Cuarta de 6 de junio y 5 de diciembre de 1994, se requirió a la recurrente la subsanación de ciertas carencias de documentación y alegación, y al Juzgado de Primera Instancia núm. 1 de Pamplona la remisión al Tribunal de testimonio de las actuaciones habidas en el juicio de desahucio.</w:t>
      </w:r>
    </w:p>
    <w:p w:rsidR="006854DA" w:rsidRDefault="006854DA" w:rsidP="006854DA">
      <w:pPr>
        <w:pStyle w:val="TextoNormal"/>
      </w:pPr>
    </w:p>
    <w:p w:rsidR="006854DA" w:rsidRDefault="006854DA" w:rsidP="006854DA">
      <w:pPr>
        <w:pStyle w:val="TextoNormal"/>
      </w:pPr>
      <w:r w:rsidRPr="006854DA">
        <w:rPr>
          <w:rStyle w:val="NumeroAFNegritaCaracter"/>
        </w:rPr>
        <w:t>5</w:t>
      </w:r>
      <w:r>
        <w:t>. Con fecha 27 de marzo de 1995, la Sección Cuarta del Tribunal acordó admitir a trámite la demanda de amparo, así como requerir a la Sección Primera de la Audiencia Provincial de Navarra la remisión de testimonio de las actuaciones allí habidas en el rollo de audiencia al rebelde, interesando al propio tiempo el emplazamiento de cuantos, con excepción de la solicitante de amparo, hubieran sido parte en el procedimiento judicial, para que pudieran comparecer en el presente proceso constitucional.</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Por providencia de 4 de mayo de 1995, la Sección Cuarta acordó tener por personado y parte en el procedimiento al Procurador de los Tribunales don Julián Sanz Aragón, en nombre y representación de la recurrente y en sustitución de su compañero don Rafael Ortiz de Solórzano, y asimismo tener en igual calidad a don José Manuel Dorremochea Aramburu en nombre y representación de don Miguel Angel Unzu Lapeyra, como solicitara en escrito de 24 de abril anterior. </w:t>
      </w:r>
    </w:p>
    <w:p w:rsidR="006854DA" w:rsidRDefault="006854DA" w:rsidP="006854DA">
      <w:pPr>
        <w:pStyle w:val="TextoNormal"/>
      </w:pPr>
      <w:r>
        <w:lastRenderedPageBreak/>
        <w:t>Por nuevo proveido de 15 de junio de 1995, a tenor de lo dispuesto en el art. 52 LOTC, se acordó dar vista de las actuaciones remitidas al Ministerio Fiscal y partes personadas a fin de que, en el plazo común de veinte días, formularan cuantas alegaciones estimasen pertinentes.</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escrito que tuvo entrada en este Tribunal el 14 de julio de 1995, la representación de la recurrente evacuó el trámite conferido, reiterando el relato de hechos, alegaciones y suplico ya formulados en el escrito de interposición del recurso de amparo.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Con fecha 11 de julio de 1995 tienen entrada en el Tribunal las alegaciones presentadas en nombre de don Miguel Angel Unzu Lapeyra, en las que se viene a sostener la inadmisibilidad del recurso presentado de contrario, con expresa imposición de las costas causadas. </w:t>
      </w:r>
    </w:p>
    <w:p w:rsidR="006854DA" w:rsidRDefault="006854DA" w:rsidP="006854DA">
      <w:pPr>
        <w:pStyle w:val="TextoNormal"/>
      </w:pPr>
      <w:r>
        <w:t>Se sostiene tal conclusión, en síntesis, en los siguientes argumentos: 1º) el lugar donde se intentó la citación al juicio de desahucio era justamente el legalmente señalado a dicho propósito; 2º) no se agotó debidamente la vía judicial ordinaria, al no haber sido interpuestos por el recurrente los procedentes recursos de apelación y revisión; 3º) cualquier eventual lesión padecida por la recurrente en sus derechos fundamentales no le sería directa e inmediatamente imputable a los órganos judiciales intervinientes; 4º) la Sentencia objeto de recurso, denegatoria de audiencia a la demandada rebelde, no hizo sino interpretar correctamente las condiciones de que depende la concesión de dicha audiencia, y particularmente la establecida en el art. 785.3 L.E.C.; asimismo, la audiencia al rebelde sólo corresponde, legalmente, al demandado de buena fe, condición que niega a la entidad recurrente; y 5º) no existió lesión alguna del derecho fundamental alegado por cuanto, en todo caso, la supuesta indefensión nacería de la negligencia e inactividad de la recurrente, que, por ende, no acreditó en momento alguno reunir las condiciones de que depende la concesión de la audiencia a la rebelde.</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6 de julio de 1995 tuvieron entrada las alegaciones del Ministerio Fiscal, con las que se interesa se dicte Sentencia estimando el recurso, por entender que la resolución impugnada vulnera el derecho fundamental a la tutela judicial efectiva sin indefensión consagrado en el art. 24.1 C.E.. </w:t>
      </w:r>
    </w:p>
    <w:p w:rsidR="006854DA" w:rsidRDefault="006854DA" w:rsidP="006854DA">
      <w:pPr>
        <w:pStyle w:val="TextoNormal"/>
      </w:pPr>
      <w:r>
        <w:t xml:space="preserve">Tras dar por reproducidos los antecedentes de hecho del presente proceso, recuerda el Fiscal la abundante doctrina del Tribunal a propósito de la exigencia de agotar las posibilidades razonables de notificación personal antes de que resulte constitucionalmente admisible el remedio último de la notificación edictal (SSTC 72/1988, 234/1988, 16/1989, 196/1989, 9/1991 y 103/1994, entre otras). La aplicación de dicha doctrina al presente recurso, entiende el Fiscal que conduce a su estimación, por cuanto la diligencia del Juzgado de Paz en la que se hace constar que la recurrente había desaparecido hacía tiempo de su domicilio, ni explica en qué razones se basa para llegar a tal conclusión, ni consta quién realice tal afirmación, ni en calidad de qué puede atestiguar dicho dato. A su vez, el Juzgado de Primera Instancia parte de esa diligencia incontrastada para directamente, sin agotar otras posibilidades legales de citación personal, decidir la procedencia de la notificación en estrados. A juicio del Fiscal, con ello se incumplieron exigencias como la de que no conste el domicilio de la interesada o se ignore su paradero, haciéndolo constar así por diligencia, que requiere del previo cumplimiento de los trámites previstos en los arts. 1.573 y 1.574 L.E.C. Al no hacerlo así el Juzgado, no agotando otros modos de citación </w:t>
      </w:r>
      <w:r>
        <w:lastRenderedPageBreak/>
        <w:t>efectiva previstos en la Ley, no pudo tampoco tener fundadamente la convicción de la inutilidad de esas otras formas de comunicación que aseguraran en mayor grado su recepción por el destinatario y con ello la protección de su derecho de defensa (SSTC 234/1988, 174/1990 y 97/1992). Esta omisión, a juicio del Fiscal, situó a la recurrente en posición de indefensión, lo que conduce a su vez al otorgamiento del amparo interesado.</w:t>
      </w:r>
    </w:p>
    <w:p w:rsidR="006854DA" w:rsidRDefault="006854DA" w:rsidP="006854DA">
      <w:pPr>
        <w:pStyle w:val="TextoNormal"/>
      </w:pPr>
    </w:p>
    <w:p w:rsidR="006854DA" w:rsidRDefault="006854DA" w:rsidP="006854DA">
      <w:pPr>
        <w:pStyle w:val="TextoNormal"/>
      </w:pPr>
      <w:r w:rsidRPr="006854DA">
        <w:rPr>
          <w:rStyle w:val="NumeroAFNegritaCaracter"/>
        </w:rPr>
        <w:t>10</w:t>
      </w:r>
      <w:r>
        <w:t>. Por providencia de 29 de mayo de 1997, se señaló para deliberación y votación de la presente Sentencia el día 2 del siguiente mes de junio.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sociedad recurrente denuncia la indefensión resultante de haber sido citada en estrados como demandada en el juicio de desahucio por falta de pago de un local de negocios del cual era arrendataria, sito en Burlada; citación que sólo fue precedida de un infructuoso intento de notificación personal en el local arrendado, en cuya diligencia se hizo constar por el Juzgado de Paz de dicha localidad que no pudo practicarse "por haber desaparecido de aquí hace tiempo".  Dictándose así la Sentencia de 17 de junio de 1993, por la que el Juzgado de Primera Instancia núm. 1 de Pamplona declaró resuelto el contrato de arrendamiento y haber lugar al desahucio del local de negocios; resolución judicial que fue notificada mediante edicto y a la que siguió el lanzamiento, practicado el 28 de septiembre del mismo año. Aunque para precisar el objeto del presente recurso ha de tenerse presente que la queja de indefensión no se dirige contra la resolución judicial a la que se ha hecho mención sino contra la Sentencia de 26 de abril de 1994, en la que la Sección Primera de la Audiencia Provincial de Navarra denegó la audiencia al rebelde solicitada por la hoy recurrente de amparo.</w:t>
      </w:r>
    </w:p>
    <w:p w:rsidR="006854DA" w:rsidRDefault="006854DA" w:rsidP="006854DA">
      <w:pPr>
        <w:pStyle w:val="TextoNormal"/>
      </w:pPr>
    </w:p>
    <w:p w:rsidR="006854DA" w:rsidRDefault="006854DA" w:rsidP="006854DA">
      <w:pPr>
        <w:pStyle w:val="TextoNormal"/>
      </w:pPr>
      <w:r w:rsidRPr="006854DA">
        <w:rPr>
          <w:rStyle w:val="NumeroAFNegritaCaracter"/>
        </w:rPr>
        <w:t>2</w:t>
      </w:r>
      <w:r>
        <w:t>. Antes de entrar en el enjuiciamiento de la lesión constitucional que se denuncia es preciso, sin embargo, entrar a considerar los defectos de los que adolece la demanda de amparo, según lo alegado por la representación de quien fuera demandante en el proceso de desahucio seguido en el Juzgado núm. 1 de Pamplona. Pues como hemos declarado reiteradamente (SSTC 50/1991 y 107/1995, entre otras), el hecho de haber sido admitida a trámite la demanda por este Tribunal no excluye en modo alguno dicho examen ya que la comprobación de los presupuestos procesales para la viabilidad de la acción, de oficio o a instancia de parte, puede llevarse a cabo en la Sentencia que ponga fin al proceso constitucional.</w:t>
      </w:r>
    </w:p>
    <w:p w:rsidR="006854DA" w:rsidRDefault="006854DA" w:rsidP="006854DA">
      <w:pPr>
        <w:pStyle w:val="TextoNormal"/>
      </w:pPr>
      <w:r>
        <w:t>Al respecto, junto a otras consideraciones que en puridad pertenecen al examen de la indefensión que la sociedad recurrente dice haber padecido, se ha denunciado por dicha representación la falta de agotamiento por la sociedad recurrente de amparo de los recursos utilizables en la vía judicial ordinaria [art. 44.1 a) LOTC]. Alegando, en esencia, que una vez que la sociedad tuvo conocimiento de la Sentencia de desahucio dictada el 17 de junio de 1993 mediante la publicación de su fallo en el "Boletín Oficial de Navarra" el 19 de julio del mismo año, no interpuso el correspondiente recurso de apelación (art. 1.583 L.E.C.)  ni tampoco, si se pretendía denunciar un supuesto comportamiento fraudulento del demandante, el recurso de revisión previsto en el art. 1.796.4 L.E.C.</w:t>
      </w:r>
    </w:p>
    <w:p w:rsidR="006854DA" w:rsidRDefault="006854DA" w:rsidP="006854DA">
      <w:pPr>
        <w:pStyle w:val="TextoNormal"/>
      </w:pPr>
      <w:r>
        <w:t xml:space="preserve">Esta alegación, sin embargo, incurre en una cierta contradicción, pues si se imputa a la sociedad recurrente de amparo el no haber utilizado el recurso de apelación ello presupone que la Sentencia de desahucio aun no había ganado firmeza y, por tanto, dicho recurso </w:t>
      </w:r>
      <w:r>
        <w:lastRenderedPageBreak/>
        <w:t>todavía era viable, mientras que el recurso de revisión, por el contrario, sólo procede contra Sentencias firmes (art. 1.797 L.E.C.). Pero con independencia de este planteamiento, ha de rechazarse la objeción formulada en cuanto a la utilización del recurso de revisión puesto que la demanda de amparo no se basa en una imputación de fraude procesal al demandante en el proceso a quo sino en una supuesta indefensión derivada del comportamiento del órgano jurisdiccional al emplazarle para que compareciera en el juicio de desahucio. Y en cuanto a la posibilidad de interponer el recurso de apelación, es cierto que la sociedad ahora recurrente en amparo ha admitido, tanto al formular una petición de nulidad de actuaciones ante el Juzgado de Primera Instancia núm. 1 de Pamplona como al solicitar la audiencia al rebelde ante la Audiencia Provincial de Navarra, que tuvo conocimiento del proceso de desahucio que se había seguido en su contra y del fallo de la Sentencia que le puso término al publicarse éste en el "Boletín Oficial de Navarra" del 19 de julio de 1993, por lo que pudo formular la apelación dentro del plazo indicado en dicho edicto. Aunque no es menos cierto que tal objeción sólo sería admisible si en este proceso constitucional la queja por indefensión se hubiera dirigido contra dicha Sentencia, lo que no es el caso como ya se ha dicho al determinar el concreto objeto del recurso de amparo y se expondrá con mayor detenimiento en el siguiente fundamento jurídico. Por lo que no cabe acoger, en suma, la alegada falta de agotamiento de la vía judicial previa por parte de la sociedad recurrente.</w:t>
      </w:r>
    </w:p>
    <w:p w:rsidR="006854DA" w:rsidRDefault="006854DA" w:rsidP="006854DA">
      <w:pPr>
        <w:pStyle w:val="TextoNormal"/>
      </w:pPr>
    </w:p>
    <w:p w:rsidR="006854DA" w:rsidRDefault="006854DA" w:rsidP="006854DA">
      <w:pPr>
        <w:pStyle w:val="TextoNormal"/>
      </w:pPr>
      <w:r w:rsidRPr="006854DA">
        <w:rPr>
          <w:rStyle w:val="NumeroAFNegritaCaracter"/>
        </w:rPr>
        <w:t>3</w:t>
      </w:r>
      <w:r>
        <w:t>. Pasando ya al examen del fondo del recurso, para enjuiciar la indefensión que se alega en la demanda de amparo conviene exponer el iter procesal seguido por la sociedad recurrente. Pues como antes se ha dicho, tal queja no se dirige contra la Sentencia dictada en rebeldía por el Juzgado de Primera Instancia núm. 1 de Pamplona con fecha 17 de junio de 1993, por la que se acordó el desahucio por falta de pago del local de negocios arrendado por la sociedad hoy recurrente, sino contra la posterior Sentencia de la Audiencia Provincial de Navarra de 26 de abril de 1994, que declaró no haber lugar a la audiencia al rebelde solicitada contra la anterior resolución judicial. Y conviene reparar, asimismo, en que la solicitud de audiencia al rebelde, presentada ante la Audiencia Provincial de Navarra el 4 de octubre de 1993, fue precedida de una pretensión ante el Juzgado de Primera Instancia núm. 1 de Pamplona para que se declarase la nulidad de actuaciones del juicio de desahucio concluido por la antes mencionada Sentencia. Pretensión que fue formulada el 3 de septiembre de 1993 y rechazada definitivamente por Auto de 18 de octubre de dicho año, tras una previa providencia de inadmisión de 28 de septiembre.</w:t>
      </w:r>
    </w:p>
    <w:p w:rsidR="006854DA" w:rsidRDefault="006854DA" w:rsidP="006854DA">
      <w:pPr>
        <w:pStyle w:val="TextoNormal"/>
      </w:pPr>
      <w:r>
        <w:t xml:space="preserve">De otra parte, ha de tenerse presente que la sociedad ahora demandante en este proceso constitucional reconoce haber tenido conocimiento de la resolución judicial acordando el desahucio por haberse publicado el fallo en el "Boletín Oficial de Navarra" del 19 de julio de 1993, como ya se ha anticipado.  Lo que dio lugar a que primero instase la nulidad de actuaciones, planteada ante el Juzgado de Primera Instancia núm. 1 de Pamplona y, más tarde, a que acudiera a la vía procesal de audiencia al rebelde ante la Audiencia Provincial de Navarra aun estando pendiente una definitiva respuesta judicial a aquella pretensión inicial. De suerte que la indefensión que la recurrente imputa al órgano judicial por un defectuoso emplazamiento como demandada en el proceso de desahucio ha servido de fundamento tanto para la improcedente nulidad de actuaciones inicialmente solicitada, por cuanto la Sentencia dictada por el Juzgado núm. 1 de Pamplona ya era firme (art. 240.2 L.O.P.J.), como para el posterior remedio de la audiencia al rebelde, que bajo determinados presupuestos sí es, en cambio, una vía idónea para reparar la lesión del derecho que el </w:t>
      </w:r>
      <w:r>
        <w:lastRenderedPageBreak/>
        <w:t>art. 24.1 C.E. reconoce cuando el proceso se ha desarrollado sin intervención del demandado (STC 15/1996, con referencia a las SSTC 330/1993 y 134/1995).</w:t>
      </w:r>
    </w:p>
    <w:p w:rsidR="006854DA" w:rsidRDefault="006854DA" w:rsidP="006854DA">
      <w:pPr>
        <w:pStyle w:val="TextoNormal"/>
      </w:pPr>
      <w:r>
        <w:t>En el presente proceso constitucional también se ha hecho valer una vez más la indefensión que la sociedad recurrente dice haber padecido, aun cuando tal queja se dirija en la demanda de amparo contra la Sentencia dictada por la Audiencia de Navarra que ha denegado la audiencia al rebelde. Pero este planteamiento del problema necesariamente conlleva una consecuencia: que tanto la indefensión que alega la recurrente como la existencia de una falta de diligencia imputable a la misma que haría que tal indefensión no fuera materialmente real y efectiva, según ha sostenido el Ministerio Fiscal, no puedan ser examinadas ahora en relación con el inicial proceso de desahucio, ya que en otro caso se produciría una artificial y extemporánea prolongación de la queja por el cauce del recurso de audiencia al rebelde. Pues el iter procesal que antes se ha descrito pone de relieve con claridad que si bien la sociedad recurrente conoció desde el 19 de julio de 1993 el fallo de la Sentencia acordando el desahucio del local de negocios y pudo interponer recurso de apelación dentro del plazo señalado en el edicto publicado en el "Boletín Oficial de Navarra", no lo hizo. Formulando en cambio una improcedente pretensión de nulidad de actuaciones el 3 de septiembre de 1993, esto es, cuando ya era firme dicha resolución judicial y se había acordado por el Juzgado de Primera Instancia núm. 1 de Pamplona el lanzamiento del local de negocios mediante la providencia de 29 de julio del mismo año.</w:t>
      </w:r>
    </w:p>
    <w:p w:rsidR="006854DA" w:rsidRDefault="006854DA" w:rsidP="006854DA">
      <w:pPr>
        <w:pStyle w:val="TextoNormal"/>
      </w:pPr>
      <w:r>
        <w:t>Por tanto, para resolver el presente proceso será preciso examinar la Sentencia de la Audiencia Provincial de Navarra por la que se denegó a la sociedad recurrente de amparo la audiencia como rebelde, pues siendo tal audiencia remedio procesal idóneo para reparar la indefensión de quien no comparece en el proceso en que es condenado, es en dicha vía donde corresponde apreciarla. En el bien entendido de que se hayan cumplido los requisitos legales a los que se subordina su procedencia como cauce que permite acordar, excepcionalmente, la rescisión de una Sentencia firme.</w:t>
      </w:r>
    </w:p>
    <w:p w:rsidR="006854DA" w:rsidRDefault="006854DA" w:rsidP="006854DA">
      <w:pPr>
        <w:pStyle w:val="TextoNormal"/>
      </w:pPr>
    </w:p>
    <w:p w:rsidR="006854DA" w:rsidRDefault="006854DA" w:rsidP="006854DA">
      <w:pPr>
        <w:pStyle w:val="TextoNormal"/>
      </w:pPr>
      <w:r w:rsidRPr="006854DA">
        <w:rPr>
          <w:rStyle w:val="NumeroAFNegritaCaracter"/>
        </w:rPr>
        <w:t>4</w:t>
      </w:r>
      <w:r>
        <w:t>. Dichos requisitos legales, sin embargo, no concurren en el presente caso según lo resuelto en la Sentencia que aquí se impugna. Pues tras indicar en su tercer fundamento de Derecho los presupuestos que se establecen de los arts.  777 y 778 L.E.C.  para que sea procedente la audiencia al rebelde -entre ellos el de acreditar "haber estado constantemente fuera del pueblo en que se ha seguido el juicio (Pamplona), desde que fue emplazado para él hasta la publicación de la Sentencia (circunstancia 2ª)" así como que se "acredite asimismo que se hallaba ausente del pueblo de su última residencia (Burlada) al tiempo de publicarse en él los edictos para emplazarle (circunstancia 3ª del 777, y 3ª del 785, aún más rigurosa)"-, dicha Sentencia ha estimado que esta última circunstancia "no se ha probado ni intentado". De suerte que sólo nos corresponde apreciar si esta decisión judicial se ajusta o no a las exigencias que se derivan del derecho a la tutela judicial efectiva que el art. 24.1 C.E. reconoce (STC 143/1984).</w:t>
      </w:r>
    </w:p>
    <w:p w:rsidR="006854DA" w:rsidRDefault="006854DA" w:rsidP="006854DA">
      <w:pPr>
        <w:pStyle w:val="TextoNormal"/>
      </w:pPr>
      <w:r>
        <w:t xml:space="preserve">En primer lugar, cabe estimar que la motivación de la resolución judicial impugnada, aunque escueta, satisface la exigencia del mencionado derecho constitucional. Y otro tanto cabe decir, en segundo término, respecto al fundamento de la denegación de la audiencia al rebelde, pues se basa en la concurrencia de una causa legal impeditiva de la instancia pretendida; sin que su aplicación al caso, por último, pueda considerarse en modo alguno manifiestamente irrazonable o arbitraria, ni tampoco incursa en error patente (STC 148/1994, fundamento jurídico 4º, por todas). Aunque no es ocioso agregar en relación con la causa legal impeditiva aplicada por la Audiencia Provincial de Pamplona dos extremos relevantes que se desprenden de los documentos obrantes en las actuaciones: de un </w:t>
      </w:r>
      <w:r>
        <w:lastRenderedPageBreak/>
        <w:t>lado, que la sociedad recurrente no había sido disuelta y, de otro, que su domicilio social se estableció en Burlada (Navarra), calle San Francisco, 13, bajo. Esto es, precisamente en el local de negocios objeto del arrendamiento según el contrato celebrado el 1 de agosto de 1983 y que fue, además, el indicado en la demanda de desahucio como domicilio de la demandada. Lo que ha de conducir en definitiva, por las razones expuestas, a la denegación del amparo solicitado.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dos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3" w:name="SENTENCIA_1997_107"/>
      <w:r>
        <w:lastRenderedPageBreak/>
        <w:t>SENTENCIA 107/1997, de 2 de junio de 1997</w:t>
      </w:r>
    </w:p>
    <w:bookmarkEnd w:id="23"/>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ECLI:ES:TC:1997:107</w:t>
      </w:r>
    </w:p>
    <w:p w:rsidR="006854DA" w:rsidRDefault="006854DA" w:rsidP="006854DA">
      <w:pPr>
        <w:pStyle w:val="SntesisDescriptiva"/>
      </w:pPr>
    </w:p>
    <w:p w:rsidR="006854DA" w:rsidRDefault="006854DA" w:rsidP="006854DA">
      <w:pPr>
        <w:pStyle w:val="SntesisDescriptiva"/>
      </w:pPr>
      <w:r>
        <w:t>Recurso de amparo 2.026/1996. Contra Auto de la Audiencia Provincial de Santa Cruz de Tenerife, confirmatorio en súplica de otro anterior, denegatorio de libertad provisional.</w:t>
      </w:r>
    </w:p>
    <w:p w:rsidR="006854DA" w:rsidRDefault="006854DA" w:rsidP="006854DA">
      <w:pPr>
        <w:pStyle w:val="SntesisDescriptiva"/>
      </w:pPr>
    </w:p>
    <w:p w:rsidR="006854DA" w:rsidRDefault="006854DA" w:rsidP="006854DA">
      <w:pPr>
        <w:pStyle w:val="SntesisAnaltica"/>
      </w:pPr>
      <w:r>
        <w:t>Supuesta vulneración del derecho a la tutela judicial efectiva:  motivación suficiente de las resoluciones dictadas en relación con la situación personal del procesado.</w:t>
      </w:r>
    </w:p>
    <w:p w:rsidR="006854DA" w:rsidRDefault="006854DA" w:rsidP="006854DA">
      <w:pPr>
        <w:pStyle w:val="SntesisAnaltica"/>
      </w:pPr>
    </w:p>
    <w:p w:rsidR="006854DA" w:rsidRDefault="006854DA" w:rsidP="006854DA">
      <w:pPr>
        <w:pStyle w:val="Extracto"/>
      </w:pPr>
      <w:r>
        <w:t>1.</w:t>
      </w:r>
      <w:r>
        <w:tab/>
        <w:t>Si bien no puede extenderse nuestra revisión a resoluciones judiciales de prisión anteriores a las impugnadas aunque se refieran al mismo imputado en el mismo procedimiento, sí podrán ser tenidas en cuenta cuando su fundamentación integre por remisión la de aquellas que se cuestionan. Y en este caso, las circunstancias concurrentes en la instrucción ponen de relieve la imposibilidad de aislar las sucesivas resoluciones adoptadas respecto de la prisión provisional del procesado puesto que la fundamentación expresa de los Autos de la Audiencia que se impugnan ha de integrarse necesariamente con la que se contenía en el anterior Auto, denegatorio, por primera vez, de la petición de libertad, el cual fue acordado atendiendo a las circunstancias de un procesado detenido tras ocho años en situación de rebeldía y expresando en la fundamentación todos los hechos determinantes de la medida, a los que agregaba el del aseguramiento contra la elusión de la acción de la justicia de quien lo había efectuado durante tan dilatado período [F.J. 6].</w:t>
      </w:r>
    </w:p>
    <w:p w:rsidR="006854DA" w:rsidRDefault="006854DA" w:rsidP="006854DA">
      <w:pPr>
        <w:pStyle w:val="Extracto"/>
      </w:pPr>
    </w:p>
    <w:p w:rsidR="006854DA" w:rsidRDefault="006854DA" w:rsidP="006854DA">
      <w:pPr>
        <w:pStyle w:val="Extracto"/>
      </w:pPr>
      <w:r>
        <w:t>2.</w:t>
      </w:r>
      <w:r>
        <w:tab/>
        <w:t>Los Autos impugnados expresan su fundamento en una finalidad constitucionalmente legítima cual es la conjuración del riesgo de fuga y han tenido en cuenta las circunstancias particulares del caso y del imputado en el momento de acordar la medida, según la información de que entonces disponía el Instructor, pues cuando el Juez adoptó la decisión no habían pasado aún dos meses desde la reapertura de la instrucción y el único dato descollante era el de la indiciaria comisión de un delito calificable como grave por parte de ciudadano extranjero en rebeldía desde hacía ocho años. Que en esta tesitura el Juzgado optara por la prisión y no por la libertad y sustentara su opción en la conjuración de un riesgo de fuga apoyado también en la gravedad de las imputaciones y de las penas que podían imponerse (extremo este último posteriormente avalado por la Sentencia condenatoria en primera instancia), no puede calificarse en este caso concreto como una decisión ilógica o injustificada y excesivamente preservadora del proceso en detrimento de la libertad. Y toda esa motivación se inocorpora, según lo dicho, a las resoluciones recurridas [F.J. 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 xml:space="preserve">La Sala Segunda del Tribunal Constitucional compuesta por don José Gabaldón López, Presidente, don Fernando García-Mon y González-Regueral, don Julio Diego González </w:t>
      </w:r>
      <w:r>
        <w:lastRenderedPageBreak/>
        <w:t>Campos, don Rafael de Mendizábal Allende,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2.026/96, interpuesto por don Rómulo Gutiérrez Fernández, representado por la Procuradora de los Tribunales doña Gracia López Fernández y asistido por el Letrado don Francisco de Borja Domínguez Rufino, contra el Auto de la Audiencia Provincial de Santa Cruz de Tenerife de 30 de abril de 1996, confirmatorio en súplica del de 8 de abril, denegatorio de libertad provisional. Ha intervenido el Ministerio Fiscal y ha sido Ponente el Magistrado don José Gabaldón López,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el Juzgado de Guardia el día 16 de mayo de 1996, y en este Tribunal el día siguiente, doña Gracia López Fernández, Procuradora de los Tribunales, interpone recurso de amparo en nombre de don Rómulo Gutiérrez Fernández contra las resoluciones de las que se hace mérito en el encabezamiento.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relevantes para el examen de la pretensión de amparo son, en síntesis, los siguientes: </w:t>
      </w:r>
    </w:p>
    <w:p w:rsidR="006854DA" w:rsidRDefault="006854DA" w:rsidP="006854DA">
      <w:pPr>
        <w:pStyle w:val="TextoNormal"/>
      </w:pPr>
      <w:r>
        <w:t xml:space="preserve">a) El recurrente, de nacionalidad venezolana, se encontraba en el momento de interponer la demanda de amparo provisionalmente privado de libertad, desde el 19 de agosto de 1995, por decisión tomada en el sumario 29/1986, en el que se investigaban unos hechos que podrían ser constitutivos de delitos contra la salud pública y contrabando. Junto a la nulidad de un Auto de intervención telefónica solicitó su libertad a la Audiencia Provincial de Santa Cruz de Tenerife, que era el órgano judicial que conocía ya de la causa. Mediante Auto de 8 de abril de 1996 le fue denegada con la siguiente fundamentación: "En cuanto a la solicitud de libertad del procesado, no ha lugar a modificar, por ahora, la situación de prisión en la que se encuentra, teniendo en cuenta la gravedad del delito y la pena que en su día pudiera corresponderle". </w:t>
      </w:r>
    </w:p>
    <w:p w:rsidR="006854DA" w:rsidRDefault="006854DA" w:rsidP="006854DA">
      <w:pPr>
        <w:pStyle w:val="TextoNormal"/>
      </w:pPr>
      <w:r>
        <w:t>b) La decisión denegatoria fue confirmada en súplica (Auto de 30 de abril) con el siguiente razonamiento: "El recurso de súplica debe ser desestimado, pues sus alegaciones en nada desvirtúan los razonamientos tenidos en cuenta por ésta Sala para dictar el Auto recurrido, que es compartido plenamente por el Ministerio Fiscal en su informe de veintiséis de abril del corriente". En éste, el Fiscal se había remitido a otro informe anterior (de 27 de marzo de 1996) contrario a la modificación de la situación de prisisión porque, había "estado declarado rebelde por esta causa, lo que hace temer que eluda nuevamente la acción de la justicia".</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w:t>
      </w:r>
      <w:r>
        <w:t xml:space="preserve">. La demanda de amparo denuncia la vulneración de distintos derechos constitucionales en los cuatro motivos en que se articula. El primero de ellos se refiere a la vulneración del derecho a la presunción de inocencia en relación con su actual permanencia en prisión, pues, por una parte, la prueba de cargo existente en autos, "nimia o indiciaria", sería nula conforme a la jurisprudencia de la Audiencia Nacional, del Tribunal Supremo y del Tribunal Constitucional, y, por otra, la privación de libertad imposibilita al recurrente la obtención de medios de prueba de descargo. La segunda invocación lo es del derecho a un proceso sin dilaciones indebidas: la dilación consistiría en los ocho meses y medio que dura ya la instrucción complementaria, en la que se enmarca una diligencia de transcripción frustrada a los dos meses de su ordenación. El tercer motivo considera vulnerado el derecho a la libertad, pues, de cara al mantenimiento de la prisión, no existiría ni fumus boni iuris, ni alarma social, ni, siquiera, la alegada gravedad de las penas amenazantes, que podrían devenir en una mera expulsión. Estima además la representación del recurrente que la actividad de éste -comercio con países europeos- descartaría el riesgo de fuga por las negativas consecuencias profesionales que tendría su condición de prófugo, y que, en todo caso, el aseguramiento de su presencia en juicio se podría conseguir con la mera confiscación del pasaporte y la comparecencia diaria ante la Sala. La cuarta y última alegación tiene por contenido la falta de motivación de los Autos impugnados, que serían de carácter estereotipado y que no harían referencia alguna al cambio de circunstancias que supone el transcurso de ocho meses desde que se decretó la prisión. </w:t>
      </w:r>
    </w:p>
    <w:p w:rsidR="006854DA" w:rsidRDefault="006854DA" w:rsidP="006854DA">
      <w:pPr>
        <w:pStyle w:val="TextoNormal"/>
      </w:pPr>
      <w:r>
        <w:t>Por todo ello, se solicita de este Tribunal que otorgue el amparo, declarando la nulidad de los Autos de 8 y 30 de abril de 1996 dictados por la Sección Segunda de la Audiencia Provincial de Santa Cruz de Tenerife. Por otrosí se solicita la suspensión de las resoluciones judiciales impugnadas.</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la Sección Cuarta (Sala Segunda) de este Tribunal de 21 de octubre de 1996 se acordó admitir a trámite la presente demanda de amparo y, en aplicación de lo dispuesto en el art. 51 de la LOTC, dirigir comunicación a la Sección Segunda de la Audiencia Provincial de Santa Cruz de Tenerife a fin de que remitiera certificación o fotocopia adverada de las actuaciones correspondientes al Sumario núm. 29/86 del Juzgado de Instrucción núm. 1 de Granadilla de Abona, en el que recayeron los Autos impugnados; debiendo previamente emplazarse, para que en el plazo de diez días pudieran comparecer en el recurso de amparo y defender sus derechos, a quienes hubieran sido parte en el procedimiento, excepto la parte recurrente en amparo.</w:t>
      </w:r>
    </w:p>
    <w:p w:rsidR="006854DA" w:rsidRDefault="006854DA" w:rsidP="006854DA">
      <w:pPr>
        <w:pStyle w:val="TextoNormal"/>
      </w:pPr>
    </w:p>
    <w:p w:rsidR="006854DA" w:rsidRDefault="006854DA" w:rsidP="006854DA">
      <w:pPr>
        <w:pStyle w:val="TextoNormal"/>
      </w:pPr>
      <w:r w:rsidRPr="006854DA">
        <w:rPr>
          <w:rStyle w:val="NumeroAFNegritaCaracter"/>
        </w:rPr>
        <w:t>5</w:t>
      </w:r>
      <w:r>
        <w:t>. Por Auto de 24 de febrero de 1997, la Sala Segunda de este Tribunal acordó no suspender la ejecución de los Autos impugnados, razonando que "si atendiéramos la solicitud de suspensión de los Autos estaríamos pronunciándonos sobre algunas de las pretensiones ejercitadas en este amparo, con lo que nos anticiparíamos indebidamente a la Sentencia".</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17 de marzo de 1997, la Sección Tercera (Sala Segunda) de este Tribunal acordó dar vista de las actuaciones recibidas a la parte recurrente y al Ministerio Fiscal por plazo común de veinte días, dentro de los cuales podrían presentar las alegaciones que estimaran pertinentes, conforme determina el art. 52.1 LOTC.</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escrito registrado el 15 de abril de 1997, la representación procesal del actor señala que los días 2 y 13 de diciembre de 1996 se celebró el juicio oral del procedi</w:t>
      </w:r>
      <w:r>
        <w:lastRenderedPageBreak/>
        <w:t>miento seguido ante la Audiencia Provincial de Santa Cruz de Tenerife, dictándose Sentencia condenatoria para el actor. No obstante, agrega, dicha circunstancia no debe influir en la decisión del recurso de amparo, ya que los Autos impugnados, y ahora recurridos en amparo, vulneraron los derechos a la presunción de inocencia y a la tutela judicial efectiva.</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Por escrito registrado el 22 de abril de 1997 el Fiscal ante el Tribunal Constitucional formula sus alegaciones, interesando la desestimación del amparo solicitado. Comienza señalando que el primer motivo aducido en la demanda, referido al derecho a la presunción de inocencia, carece de trascendencia en el orden constitucional. Reservada la institución para los procesos sancionadores y no siendo la prisión provisional pena anticipada sino medida cautelar que normalmente se asienta en un principio de prueba, no resulta aplicable a la situación que nos ocupa (SSTC 13/1982, 76/1990, 138/1990, 212/1990, 128/1995 y ATC 973/1988). </w:t>
      </w:r>
    </w:p>
    <w:p w:rsidR="006854DA" w:rsidRDefault="006854DA" w:rsidP="006854DA">
      <w:pPr>
        <w:pStyle w:val="TextoNormal"/>
      </w:pPr>
      <w:r>
        <w:t xml:space="preserve">En cuanto al segundo motivo, en el que se invoca el derecho a un proceso sin dilaciones indebidas, se centra el alegato del actor en el tiempo transcurrido desde la detención del demandante, ocho meses y medio, según se dice, al redactar la demanda. Con independencia de que en términos absolutos el retraso, si bien no desmesurado, no parece plenamente justificado, es lo cierto que el recurrente no acredita haber procedido, como requiere la doctrina jurisprudencial, invocando su derecho y denunciando la demora ante la propia Audiencia (AATC 15/1992 y 221/1996, entre otros). En todo caso, las particularidades del proceso, reabierto para un rebelde que mantuvo tal situación por mas de ocho años con las consiguientes dificultades para reordenar y completar el material instructorio respecto de él, bien pudieran justificar el transcurso del tiempo que se denuncia. En tales circunstancias, el motivo no puede ser estimado. </w:t>
      </w:r>
    </w:p>
    <w:p w:rsidR="006854DA" w:rsidRDefault="006854DA" w:rsidP="006854DA">
      <w:pPr>
        <w:pStyle w:val="TextoNormal"/>
      </w:pPr>
      <w:r>
        <w:t xml:space="preserve">En cuanto al motivo tercero, invocando la vulneración del art. 17 C.E., tampoco entiende el Ministerio Público que deba ser estimado. Señala al respecto que, aún partiendo de la especial significación de este derecho constitucional en el Estado de Derecho, que en nuestro ordenamiento resuelta, como declara la STC 128/1995, no ya del art. 17.1 sino del 1 del Texto constitucional y del "caudal normativo", de obligada observancia, que deviene de la Declaración Universal de Derecho Humanos de 1948 del Convenio de Roma de 1950 y del Pacto Internacional de los Derechos Civiles y Políticos de 1966 - arts. 9, 5 y 9, respectivamente-, no parece que se haya producido efectivamente en este caso la lesión que se denuncia. Por una parte, las resoluciones impugnadas se asientan en los requisitos que establece el art. 503 de la L.E.CRm., para concluir su presencia. Y, aunque el derecho a que nos referimos no lo sea de configuración legal, como señala la doctrina jurisprudencial (SSTC 206/1991 y 13/1994), su concurrencia, ponderada por el Juzgador ordinario, legitima en principio, constitucionalmente, la medida, como declara el ATC 1042/1987. Por otra parte, se cumplen también, a juicio del Fiscal, los condicionamientos a que, por encima y además de la legalidad estricta, supedita su legitimidad constitucional la STC 128/1995, en su fundamento jurídico 3º. </w:t>
      </w:r>
    </w:p>
    <w:p w:rsidR="006854DA" w:rsidRDefault="006854DA" w:rsidP="006854DA">
      <w:pPr>
        <w:pStyle w:val="TextoNormal"/>
      </w:pPr>
      <w:r>
        <w:t xml:space="preserve">En el caso presente, la existencia de indicios de la comisión de delitos muy graves esta afirmada por el Juzgado que acordó la medida y confirmada por el Auto denegatorio de 6 de octubre de 1995; la finalidad, constitucionalmente legítima y obligada, viene amparada en el art. 117.3 C.E. y el carácter excepcional y proporcionado de la medida resulta de la naturaleza de los hechos que se atribuyen al recurrente. Y, adviértase, en fin, que el tiempo razonable de su duración, partiendo de la gravedad de la pena con que el delito se conmina, de la alarma que hechos de la naturaleza del que se atribuye al demandante, producen </w:t>
      </w:r>
      <w:r>
        <w:lastRenderedPageBreak/>
        <w:t xml:space="preserve">en el ámbito social y del evidente riesgo de elusión de la justicia que la propia jurisprudencia exige, no puede cuestionarse con fundamento. </w:t>
      </w:r>
    </w:p>
    <w:p w:rsidR="006854DA" w:rsidRDefault="006854DA" w:rsidP="006854DA">
      <w:pPr>
        <w:pStyle w:val="TextoNormal"/>
      </w:pPr>
      <w:r>
        <w:t xml:space="preserve">El cuarto motivo, en fin, dirige la queja a la falta de motivación de las resoluciones impugnadas, bajo la invocación del art. 24.1 C.E. A juicio del Ministerio Público, dos precisiones requiere el motivo que, técnicamente, no tiene autonomía. En primer lugar el alegato encajaría más propiamente en el derecho a la tutela judicial efectiva que proclama el art. 24.1 y el recurrente cita en la demanda. En segundo término, la alegación no tiene independencia de la que antecede porque, como ha declarado este Tribunal (STC 62/1996), cuando de limitaciones a derechos fundamentales se trata, prima el derecho fundamental afectado respecto del que proclama el art. 24.1 del Texto constitucional. En cualquier caso, estima el Fiscal que la limitación del derecho de que nos ocupamos, cumple las exigencias constitucionales de la motivación. </w:t>
      </w:r>
    </w:p>
    <w:p w:rsidR="006854DA" w:rsidRDefault="006854DA" w:rsidP="006854DA">
      <w:pPr>
        <w:pStyle w:val="TextoNormal"/>
      </w:pPr>
      <w:r>
        <w:t xml:space="preserve">Efectivamente, un análisis aislado de los Autos de la Audiencia recurridos, de 8 y 30 de abril de 1996, ciertamente lacónicos, haría concluir la insuficiencia de su motivación. Pero ha de tenerse en cuenta que, por obvias razones, las resoluciones impugnadas no son solo los dos Autos de la Audiencia que el recurrente cita, sino también el del Juzgado, de 6 de octubre de 1995 que denegó la libertad por primera vez. No parece que los Autos de la Audiencia, contra los que el recurrente dirige el motivo, deban ser entendidos con independencia del Auto del Juzgado, que es el que contiene realmente la motivación que se demanda. En él hace referencia a la gravedad de los hechos, al fundamento de su atribución al actor, a la alarma social que tales hechos producen y al evidente riesgo de fuga, en caso de decretarse la libertad, cumpliéndose así las exigencias de la L.E.CRm. </w:t>
      </w:r>
    </w:p>
    <w:p w:rsidR="006854DA" w:rsidRDefault="006854DA" w:rsidP="006854DA">
      <w:pPr>
        <w:pStyle w:val="TextoNormal"/>
      </w:pPr>
      <w:r>
        <w:t>Por lo expuesto, el Fiscal, interesa de la Sala, de conformidad con lo que dispone el art. 53, apartado b), de la LOTC, la desestimación del recurso de amparo formalizado.</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la Sección Tercera de 29 de abril de 1997, se acordó dirigir comunicación a la Audiencia Provincial de Tenerife a fin de que, a la mayor brevedad posible, se remitiera certificación o fotocopia adverada de la Sentencia recaída en el rollo núm. 556/86, proveniente del sumario 29/86 del Juzgado de Instrucción núm. 1 de Granadilla de Abona, en la causa seguida por presuntos delitos de contrabando y contra la salud pública, y cuyo juicio oral fue celebrado en fechas 12 y 13 de diciembre de 1996.</w:t>
      </w:r>
    </w:p>
    <w:p w:rsidR="006854DA" w:rsidRDefault="006854DA" w:rsidP="006854DA">
      <w:pPr>
        <w:pStyle w:val="TextoNormal"/>
      </w:pPr>
    </w:p>
    <w:p w:rsidR="006854DA" w:rsidRDefault="006854DA" w:rsidP="006854DA">
      <w:pPr>
        <w:pStyle w:val="TextoNormal"/>
      </w:pPr>
      <w:r w:rsidRPr="006854DA">
        <w:rPr>
          <w:rStyle w:val="NumeroAFNegritaCaracter"/>
        </w:rPr>
        <w:t>10</w:t>
      </w:r>
      <w:r>
        <w:t>. Con fecha 5 de mayo de 1997 se registra la remisión de lo solicitado. En la Sentencia dictada el 14 de diciembre de 1996 por la Sección Segunda de la Audiencia Provincial de Santa Cruz de Tenerife se condena al hoy recurrente en amparo, como autor responsable de un delito contra la salud pública, en concurso con otro delito de contrabando, a las penas de ocho años de prisión mayor y dos millones de pesetas de multa, por el primer delito, y a las de dos años de prisión menor y treinta mil pesetas de multa, por el segundo.</w:t>
      </w:r>
    </w:p>
    <w:p w:rsidR="006854DA" w:rsidRDefault="006854DA" w:rsidP="006854DA">
      <w:pPr>
        <w:pStyle w:val="TextoNormal"/>
      </w:pPr>
    </w:p>
    <w:p w:rsidR="006854DA" w:rsidRDefault="006854DA" w:rsidP="006854DA">
      <w:pPr>
        <w:pStyle w:val="TextoNormal"/>
      </w:pPr>
      <w:r w:rsidRPr="006854DA">
        <w:rPr>
          <w:rStyle w:val="NumeroAFNegritaCaracter"/>
        </w:rPr>
        <w:t>11</w:t>
      </w:r>
      <w:r>
        <w:t>. Por providencia de 29 de mayo de 1997, se señaló para la deliberación y votación de la presente Sentencia el día 2 de junio del mismo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Son objeto de la presente demanda de amparo los Autos de 8 y 30 de abril de 1996, dictados por la Sección Segunda de la Audiencia Provincial de Santa Cruz de Tenerife, </w:t>
      </w:r>
      <w:r>
        <w:lastRenderedPageBreak/>
        <w:t>por los que se desestimó la petición de libertad provisional del recurrente y el recurso de súplica posterior, alegándose que han vulnerado los derechos a la libertad, a la presunción de inocencia, a un proceso sin dilaciones indebidas, y a la tutela judicial efectiva, obteniendo una resolución motivada, contemplados en los arts.  17, 24.2 y 24.1, respectivamente.</w:t>
      </w:r>
    </w:p>
    <w:p w:rsidR="006854DA" w:rsidRDefault="006854DA" w:rsidP="006854DA">
      <w:pPr>
        <w:pStyle w:val="TextoNormal"/>
      </w:pPr>
      <w:r>
        <w:t>Como se comprueba en las actuaciones, el actor se encontraba en prisión provisional desde el 19 de agosto de 1995. Solicitada la libertad provisional, ésta es denegada inicialmente por el Juzgado de Instrucción núm. 1 de Granadilla de Abona el 6 de octubre de 1995; con posterioridad se reproduce la petición ante la Audiencia Provincial siendo denegada y confirmada en súplica por los Autos que ahora están impugnados en amparo.</w:t>
      </w:r>
    </w:p>
    <w:p w:rsidR="006854DA" w:rsidRDefault="006854DA" w:rsidP="006854DA">
      <w:pPr>
        <w:pStyle w:val="TextoNormal"/>
      </w:pPr>
      <w:r>
        <w:t>Ya interpuesto el presente recurso de amparo, se dictó Sentencia en primera instancia condenando al actor a las penas de privación de libertad durante ocho años, por la comisión de un delito de tráfico de drogas y a la de dos años por otro delito de contrabando. A ellas hay que añadir las de multa de dos millones de pesetas por el primer delito, y de treinta mil pesetas por el segundo. Sus quejas, pues, son anteriores a la Sentencia condenatoria, que manifiesta haber recurrido en casación.</w:t>
      </w:r>
    </w:p>
    <w:p w:rsidR="006854DA" w:rsidRDefault="006854DA" w:rsidP="006854DA">
      <w:pPr>
        <w:pStyle w:val="TextoNormal"/>
      </w:pPr>
    </w:p>
    <w:p w:rsidR="006854DA" w:rsidRDefault="006854DA" w:rsidP="006854DA">
      <w:pPr>
        <w:pStyle w:val="TextoNormal"/>
      </w:pPr>
      <w:r w:rsidRPr="006854DA">
        <w:rPr>
          <w:rStyle w:val="NumeroAFNegritaCaracter"/>
        </w:rPr>
        <w:t>2</w:t>
      </w:r>
      <w:r>
        <w:t>. En el primero de los motivos de la demanda se invoca como vulnerado el derecho a la presunción de inocencia.  La queja no puede ser acogida por ser patente que el actor, en el momento de interponer la demanda de amparo, no había sido declarado culpable de los hechos que se le imputaban, por lo que difícilmente cabe extraer de los Autos impugnados quiebra alguna del art. 24.2 C.E. Precisamente, aun soportando la medida cautelar de prisión provisional, al no haber sido declarado culpable de los hechos delictivos que se imputan, sigue gozando de la presunción de inocencia (STC 128/1995).  Esta opera en el proceso como regla de juicio y constituye, a la vez, una regla de tratamiento del imputado (SSTC 109/1986 y 67/1997).</w:t>
      </w:r>
    </w:p>
    <w:p w:rsidR="006854DA" w:rsidRDefault="006854DA" w:rsidP="006854DA">
      <w:pPr>
        <w:pStyle w:val="TextoNormal"/>
      </w:pPr>
    </w:p>
    <w:p w:rsidR="006854DA" w:rsidRDefault="006854DA" w:rsidP="006854DA">
      <w:pPr>
        <w:pStyle w:val="TextoNormal"/>
      </w:pPr>
      <w:r w:rsidRPr="006854DA">
        <w:rPr>
          <w:rStyle w:val="NumeroAFNegritaCaracter"/>
        </w:rPr>
        <w:t>3</w:t>
      </w:r>
      <w:r>
        <w:t>. El segundo motivo, referido a la vulneración del derecho a un proceso público sin dilaciones indebidas, también debe ser desestimado. En primer lugar, porque no se acredita ni se deduce de las actuaciones que el actor denunciara el retraso ante el órgano judicial. En segundo lugar, porque, si bien el celo de la autoridad judicial en obtener la rapidez del procedimiento ha de ser mucho mayor en las causas con preso (SSTC 18/1983 y 66/1997), en este caso y con independencia de la justificación de la medida cautelar, la duración de la misma no puede considerarse irrazonable. Y no sólo porque la concisa argumentación de su queja no aporte más datos que el estrictamente objetivo de la comparación del tiempo de estancia en prisión (ocho meses en el momento de interposición del recurso de amparo) con la entidad y la gravedad de la imputación, ya que esta comparación depara prima facie un juicio de razonabilidad de aquel plazo a la vista de que se mantiene dentro del legalmente establecido. Pero además, debe señalarse también que los datos obrantes en las actuaciones no permiten variar dicho juicio, pues la prisión se acordó en la instrucción de una causa reabierta para quien se había mantenido en rebeldía durante más de ocho años, con las consiguientes dificultades, como indica el Ministerio Fiscal, para reordenar y completar la instrucción; a lo que cabe agregar que los delitos imputados podían ser castigados con una pena de hasta diez años de prisión y finalmente, a uno de ellos se impuso la de ocho años.</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4</w:t>
      </w:r>
      <w:r>
        <w:t>. En tercer lugar, el actor centra su queja en la vulneración del art. 17 C.E. Esta ha de ponerse en relación con la expresada en el cuarto motivo de la demanda, o sea la de falta de motivación de los Autos impugnados, por una doble consideración: en primer lugar, porque el defecto de motivación suficiente y razonable de la decisión de prisión provisional no supone sólo la falta de tutela, propia del ámbito del art. 24.1 C.E., sino prioritariamente la eventual lesión del derecho a la libertad, por su privación sin la concurrencia de un presupuesto habilitante para la misma (SSTC 128/1995, 37/1996, 62/1996, 158/1996 y 44/1997); en segundo lugar, porque corresponde en exclusiva a la jurisdicción ordinaria la constatación y valoración de los antecedentes de hecho justificativos de la medida cautelar (STC 40/1987), ya se refieran a las sospechas de responsabilidad criminal ya a los riesgos de fuga, a la obstrucción de la investigación, a la reincidencia o a otros requisitos constitucionalmente legítimos que pueda exigir la Ley.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44/1997 y 67/1997).</w:t>
      </w:r>
    </w:p>
    <w:p w:rsidR="006854DA" w:rsidRDefault="006854DA" w:rsidP="006854DA">
      <w:pPr>
        <w:pStyle w:val="TextoNormal"/>
      </w:pPr>
    </w:p>
    <w:p w:rsidR="006854DA" w:rsidRDefault="006854DA" w:rsidP="006854DA">
      <w:pPr>
        <w:pStyle w:val="TextoNormal"/>
      </w:pPr>
      <w:r w:rsidRPr="006854DA">
        <w:rPr>
          <w:rStyle w:val="NumeroAFNegritaCaracter"/>
        </w:rPr>
        <w:t>5</w:t>
      </w:r>
      <w:r>
        <w:t>. Teniendo, pues, en cuenta el ya extenso cuerpo jurisprudencial de este Tribunal relativo a la prisión provisional, resumido en las recientes SSTC 44/1997 y 66/1997, habremos de determinar ahora si, como se indicaba en las SSTC 41/1982, 56/1987, 3/1992 y 128/1995, las decisiones relativas a la adopción y al mantenimiento de la prisión provisional han sido expresadas en resoluciones judiciales suficiente y razonablemente motivadas.</w:t>
      </w:r>
    </w:p>
    <w:p w:rsidR="006854DA" w:rsidRDefault="006854DA" w:rsidP="006854DA">
      <w:pPr>
        <w:pStyle w:val="TextoNormal"/>
      </w:pPr>
      <w:r>
        <w:t>Podría parecer en este caso que los Autos de la Audiencia Provincial de Santa Cruz de Tenerife, de 8 y 30 de abril de 1996, carecieran de la suficiente motivación exigible constitucionalmente para el mantenimiento de la medida cautelar según la doctrina que este Tribunal viene manteniendo al respecto pues el primero se limita a indicar que "en cuanto a la solicitud de libertad del procesado, no ha lugar a modificar, por ahora, la situación de prisión en la que se encuentra, teniendo en cuenta la gravedad del delito y la pena que en su día pudiera corresponderle" y el segundo es aún más escueto desestimando el recurso de súplica con este solo fundamento: "sus alegaciones en nada desvirtúan los razonamientos tenidos en cuenta por esta Sala para dictar el Auto recurrido, que es compartido plenamente por el Ministerio Fiscal en su informe de 26 de abril del corriente". Laconismo al que cabría imputar falta de la motivación exigible constitucionalmente para decretar una medida que es de aplicación excepcional, provisional y proporcionada a la consecución de los fines constitucionalmente legítimos y congruentes con la naturaleza de la medida (SSTC 128/1995 y 62/1996), cuales son la sustracción del procesado "de la acción de la Administración de Justicia, la obstrucción de la instrucción penal y, en un plano distinto, aunque íntimamente relacionado, la reiteración delictiva" (STC 128/1995, fundamento jurídico 3º).</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No obstante, y como ya se señaló en la STC 66/1997, si bien no puede extenderse nuestra revisión a resoluciones judiciales de prisión anteriores a las impugnadas aunque se refieran al mismo imputado en el mismo procedimiento, sí podrán ser tenidas en cuenta cuando su fundamentación integre por remisión la de aquéllas que se cuestionan. Y en este caso, las circunstancias concurrentes en la instrucción ponen de relieve la imposibilidad de aislar las sucesivas resoluciones adoptadas respecto de la prisión provisional del procesado puesto que la fundamentación expresa de los Autos de la Audiencia que se impugnan ha </w:t>
      </w:r>
      <w:r>
        <w:lastRenderedPageBreak/>
        <w:t>de integrarse necesariamente con la que se contenía en el anterior Auto del Juzgado de 6 de octubre de 1995 denegatorio, por primera vez, de la petición de libertad, el cual fue acordado atendiendo a las circunstancias de un procesado detenido tras ocho años en situación de rebeldía y expresando en la fundamentación todos los hechos determinantes de la medida, a los que agregaba el del aseguramiento contra la elusión de la acción de la justicia de quien lo había efectuado durante tan dilatado período.</w:t>
      </w:r>
    </w:p>
    <w:p w:rsidR="006854DA" w:rsidRDefault="006854DA" w:rsidP="006854DA">
      <w:pPr>
        <w:pStyle w:val="TextoNormal"/>
      </w:pPr>
      <w:r>
        <w:t>Y esto es, precisamente, lo que debe ser analizado en este momento, siguiendo la misma pauta que la STC 44/1997.  Los fundamentos jurídicos segundo y tercero de aquella resolución judicial son bien expresivos al respecto. Así, se dice en el segundo:</w:t>
      </w:r>
    </w:p>
    <w:p w:rsidR="006854DA" w:rsidRDefault="006854DA" w:rsidP="006854DA">
      <w:pPr>
        <w:pStyle w:val="TextoNormal"/>
      </w:pPr>
      <w:r>
        <w:t>"No parece que puedan existir dudas de que el referido Rómulo Gutiérrez Fernández procesado en el Auto de 2 de julio de 1987 y cuyos datos constan en el sumario es la misma persona que resultó detenida en el Aeropuerto Reina Sofía el pasado 19 de agosto, todos cuyos datos, según figuran en la declaración indagatoria de 20 de agosto de 1995, coinciden con los que constaban en el sumario. Y siendo tales los hechos es claro que se dan los requisitos de la prisión provisional que contemplan los arts. 503 y 504 de la Ley de Enjuiciamiento Criminal: constancia de un hecho con carácter de delito; (tráfico de cocaína y contrabando); motivos bastantes de responsabilidad penal sobre la persona del procesado Rómulo Gutiérrez Fernández; -penalidad superior a Prisión Menor-; y más que evidente alarma social producida por el delito presuntamente cometido". Y en el Tercero: "</w:t>
      </w:r>
    </w:p>
    <w:p w:rsidR="006854DA" w:rsidRDefault="006854DA" w:rsidP="006854DA">
      <w:pPr>
        <w:pStyle w:val="TextoNormal"/>
      </w:pPr>
      <w:r>
        <w:t>"La prisión provisional es una medida cautelar tendente a asegurar la no elusión de la acción de la Justicia, estimándose en el caso de autos procedente el mantenimiento de tal media respecto del procesado Rómulo Gutiérrez Fernández; considerando especialmente el hecho de que hasta su detención el pasado mes de agosto del año en curso, lo que habría estado haciendo Rómulo Gutiérrez no es otra cosa que eludir la acción de la justicia".</w:t>
      </w:r>
    </w:p>
    <w:p w:rsidR="006854DA" w:rsidRDefault="006854DA" w:rsidP="006854DA">
      <w:pPr>
        <w:pStyle w:val="TextoNormal"/>
      </w:pPr>
      <w:r>
        <w:t>Y no es posible entender los Autos recurridos con independencia de esa motivación del que fue dictado por el Juez, donde se contiene realmente la exigible. Tras su lectura, no podría el recurrente ignorar las razones que determinan su situación personal en la causa porque allí se hace cumplida referencia a los condicionamientos legales de los arts. 503 y 504 L.E.CRm., a la naturaleza y gravedad de los hechos, al fundamento de su atribución al demandante, a la alarma social que tales hechos producen y al evidente riesgo de elusión de la acción de la Justicia que la libertad comportaría, atendidas las circunstancias del caso y del imputado. Y esas razones se incorporan a los fundamentos de los Autos de la Audiencia puesto que unas circunstancias como las citadas (especialmente el riesgo de fuga) subsistían con toda evidencia al acordarse aquéllas, en las cuales (al menos en el segundo Auto) existe una remisión explícta al informe del Fiscal, quien en el de 27 de marzo de 1996 (reiterado el 26 de abril) se opuso a la petición de libertad invocando no sólo la gravedad del delito sino el hecho de haber "estado declarado rebelde por esta causa lo que nos hace temer que eluda nuevamente la acción de la Justicia", petición que atendió el primero de dichos Autos (de 8 de abril de 1996).</w:t>
      </w:r>
    </w:p>
    <w:p w:rsidR="006854DA" w:rsidRDefault="006854DA" w:rsidP="006854DA">
      <w:pPr>
        <w:pStyle w:val="TextoNormal"/>
      </w:pPr>
      <w:r>
        <w:t xml:space="preserve">Procede por tanto considerar suficiente y razonable la motivación de los Autos impugnados que, por lo antes dicho, expresan su fundamento en una finalidad constitucionalmente legítima cual es la conjuración del riesgo de fuga y han tenido en cuenta las circunstancias particulares del caso y del imputado en el momento de acordar la medida, según la información de que entonces disponía el Instructor, pues cuando el Juez adoptó la decisión no habían pasado aún dos meses desde la reapertura de la instrucción y el único dato descollante era el de la indiciaria comisión de un delito calificable como grave por parte de ciudadano extranjero en rebeldía desde hacía ocho años. Que en esta tesitura el Juzgado optara por la prisión y no por la libertad y sustentara su opción en la conjuración de un </w:t>
      </w:r>
      <w:r>
        <w:lastRenderedPageBreak/>
        <w:t>riesgo de fuga apoyado también en la gravedad de las imputaciones y de las penas que podían imponerse (extremo este último posteriormente avalado por la Sentencia condenatoria en primera instancia), no puede calificarse en este caso concreto como una decisión ilógica o injustificada y excesivamente preservadora del proceso en detrimento de la libertad. Y toda esa motivación se inocorpora, según lo dicho, a las resoluciones recurridas.</w:t>
      </w:r>
    </w:p>
    <w:p w:rsidR="006854DA" w:rsidRDefault="006854DA" w:rsidP="006854DA">
      <w:pPr>
        <w:pStyle w:val="TextoNormal"/>
      </w:pPr>
      <w:r>
        <w:t>No cabe estimar, en suma, que se haya producido la alegada vulneración del derecho a la libertad, por lo que procede también la desestimación de los motivos tercero y cuarto y, con ello, la de la demanda.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recurso de amparo.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Madrid, a dos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4" w:name="SENTENCIA_1997_108"/>
      <w:r>
        <w:lastRenderedPageBreak/>
        <w:t>SENTENCIA 108/1997, de 2 de junio de 1997</w:t>
      </w:r>
    </w:p>
    <w:bookmarkEnd w:id="24"/>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ECLI:ES:TC:1997:108</w:t>
      </w:r>
    </w:p>
    <w:p w:rsidR="006854DA" w:rsidRDefault="006854DA" w:rsidP="006854DA">
      <w:pPr>
        <w:pStyle w:val="SntesisDescriptiva"/>
      </w:pPr>
    </w:p>
    <w:p w:rsidR="006854DA" w:rsidRDefault="006854DA" w:rsidP="006854DA">
      <w:pPr>
        <w:pStyle w:val="SntesisDescriptiva"/>
      </w:pPr>
      <w:r>
        <w:t>Recurso de amparo 3.430/1996. Contra Auto de la        Audiencia Provincial de Madrid confirmatorio en         súplica del que acordó el mantenimiento de la prisión preventiva.</w:t>
      </w:r>
    </w:p>
    <w:p w:rsidR="006854DA" w:rsidRDefault="006854DA" w:rsidP="006854DA">
      <w:pPr>
        <w:pStyle w:val="SntesisDescriptiva"/>
      </w:pPr>
    </w:p>
    <w:p w:rsidR="006854DA" w:rsidRDefault="006854DA" w:rsidP="006854DA">
      <w:pPr>
        <w:pStyle w:val="SntesisAnaltica"/>
      </w:pPr>
      <w:r>
        <w:t>Supuesta vulneración del derecho a la tutela judicial efectiva: motivación suficiente de las medidas acordadas.</w:t>
      </w:r>
    </w:p>
    <w:p w:rsidR="006854DA" w:rsidRDefault="006854DA" w:rsidP="006854DA">
      <w:pPr>
        <w:pStyle w:val="SntesisAnaltica"/>
      </w:pPr>
    </w:p>
    <w:p w:rsidR="006854DA" w:rsidRDefault="006854DA" w:rsidP="006854DA">
      <w:pPr>
        <w:pStyle w:val="Extracto"/>
      </w:pPr>
      <w:r>
        <w:t>1.</w:t>
      </w:r>
      <w:r>
        <w:tab/>
        <w:t>No nos compete la determinación de si la comparecencia previa del imputado a la decisión sobre la continuación de la prisión provisional en la tramitación del recurso de casación frente a la Sentencia condenatoria constituye una garantía legal. Quienes interpretan y aplican la legalidad procesal son exclusivamente los órganos judiciales. En su tarea de protección del derecho a la libertad personal, comprensiva de la determinación de que su privación ha sido acordada en la forma prevista en la ley, corresponde únicamente a esta específica jurisdicción la supervisión externa de que aquella interpretación ha sido razonable [F.J. 2].</w:t>
      </w:r>
    </w:p>
    <w:p w:rsidR="006854DA" w:rsidRDefault="006854DA" w:rsidP="006854DA">
      <w:pPr>
        <w:pStyle w:val="Extracto"/>
      </w:pPr>
    </w:p>
    <w:p w:rsidR="006854DA" w:rsidRDefault="006854DA" w:rsidP="006854DA">
      <w:pPr>
        <w:pStyle w:val="Extracto"/>
      </w:pPr>
      <w:r>
        <w:t>2.</w:t>
      </w:r>
      <w:r>
        <w:tab/>
        <w:t>Tampoco cabe entender que estemos en este concreto supuesto ante una garantía directamente exigida por la Constitución, es decir, ante una garantía que, aun no estando expresamente contemplada en la ley, debiera estarlo o debiera integrar necesariamente su interpretación. Repárese, en primer lugar, en abstracto, en que las decisiones sobre la situación personal del imputado no sólo le vienen impuestas al Juez en determinados momentos procesales por la ley, sino que pueden ser también instadas en cualquier momento por el imputado afectado cuantas veces lo estime conveniente. De ahí que en ocasiones la garantía de comparecencia pueda resultar no sólo innecesaria, sino también, por ello, dilatoria y perturbadora para la correcta tramitación del procedimiento. De ahí, también, que el legislador haya optado en la actualidad por reservar tal exigencia para las decisiones de empeoramiento de la situación del imputado en términos de libertad. Repárese asimismo, en concreto, en que en el caso que nos ocupa nos encontramos ante una decisión de confirmación que la ley impone al Tribunal respecto a una situación que el mismo había ya confirmado unos días antes en la Sentencia condenatoria y que había venido precedida entonces de la correspondiente vista oral [F.J. 2].</w:t>
      </w:r>
    </w:p>
    <w:p w:rsidR="006854DA" w:rsidRDefault="006854DA" w:rsidP="006854DA">
      <w:pPr>
        <w:pStyle w:val="Extracto"/>
      </w:pPr>
    </w:p>
    <w:p w:rsidR="006854DA" w:rsidRDefault="006854DA" w:rsidP="006854DA">
      <w:pPr>
        <w:pStyle w:val="Extracto"/>
      </w:pPr>
      <w:r>
        <w:t>3.</w:t>
      </w:r>
      <w:r>
        <w:tab/>
        <w:t>El primero de los Autos impugnados sostiene la medida cautelar en el riesgo de fuga del procesado que se derivaría de la elevada duración de una pena impuesta mediante Sentencia (más de ocho años de privación de libertad) y basada, por lo tanto, no en indicios, sino en «verdaderas pruebas que para el Tribunal han tenido entidad bastante para desvirtuar la presunción de inocencia del procesado». Que la argumentación sintetizada es suficiente y razonable desde la perspectiva que impone el derecho a la libertad personal en juego, es una conclusión de nuestra doctrina general al respecto (SSTC 128/1995, 44/1997 y 66/1997) y de su con</w:t>
      </w:r>
      <w:r>
        <w:lastRenderedPageBreak/>
        <w:t>creción en supuestos como el ahora suscitado (STC 62/1996). En efecto, en la motivación que se impugna en la demanda encontramos, en primer lugar, la expresión de una finalidad constitucionalmente legítima y congruente con la naturaleza de la medida, cual es la evitación del riesgo de fuga del condenado en instancia. Dicho riesgo se sostiene sobre la contundencia de un dato objetivo, una pena grave impuesta en Sentencia, que en ciertos supuestos es capaz de contrarrestar por su propia envergadura cualesquiera otras circunstancias concretas y subjetivas que puedan abogar por la efectiva disponibilidad del imputado hacia los órganos judiciales y, con ello, por su libertad. De ahí que la mención de estas circunstancias en la motivación de la medida de prisión pueda devenir excepcionalmente innecesaria. Esto es lo que sucede en el presente caso, en el que la pena es superior a los ocho años de prisión, y frente a ello ni se aportan ni se constatan otras circunstancias que se opongan al peligro de fuga que dicho fallo comporta [F.J.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3.430/96, promovido por don Francisco Javier de Murga Florido, representado por el Procurador de los Tribunales don José Murga Rodríguez y asistido por la Abogada doña María Socorro Mármol Bris, contra el Auto de la Sección Primera de la Audiencia Provincial de Madrid, de 30 de julio de 1996, confirmatorio en súplica del particular del Auto de 12 de julio que acuerda la continuación de la prisión preventiva. Ha intervenido el Ministerio Fiscal. Ha sido Ponente el Magistrado don Carles Viver Pi-Sunyer,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día 21 de septiembre de 1996, don José Murga Rodríguez, Procurador de los Tribunales, interpone recurso de amparo en nombre de don Francisco Javier de Murga Florido contra la resolución de la que se hace mérito en el encabezamiento.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relevantes para el examen de la pretensión de amparo son, en síntesis, los siguientes: </w:t>
      </w:r>
    </w:p>
    <w:p w:rsidR="006854DA" w:rsidRDefault="006854DA" w:rsidP="006854DA">
      <w:pPr>
        <w:pStyle w:val="TextoNormal"/>
      </w:pPr>
      <w:r>
        <w:lastRenderedPageBreak/>
        <w:t xml:space="preserve">a) La Sentencia de la Sección Primera de la Audiencia Provincial de Madrid 307/96, de 25 de junio, condenó al acusado hoy recurrente a las penas de ocho años y un día de prisión mayor y de multa de 101.000.000 de pesetas por la autoría de un delito contra la salud pública, y a las penas de dos meses y un día de arresto mayor y de multa de 23.150.000 pesetas por la autoría de un delito de contrabando. En el fallo se incluía la siguiente disposición: "Para el cumplimiento de la pena se le abona todo el tiempo que lleva en prisión provisional por esta causa, situación en la que permanecerá". </w:t>
      </w:r>
    </w:p>
    <w:p w:rsidR="006854DA" w:rsidRDefault="006854DA" w:rsidP="006854DA">
      <w:pPr>
        <w:pStyle w:val="TextoNormal"/>
      </w:pPr>
      <w:r>
        <w:t xml:space="preserve">El Auto del Juzgado de Instrucción núm. 40 de Madrid que acordó la prisión provisional databa de 31 de enero de 1996. El Auto de procesamiento, dictado el 13 de febrero por el Juzgado núm. 39 de Madrid, había ratificado la medida. Aún con anterioridad a la Sentencia condenatoria, la Sección Primera de la Audiencia Provincial de Madrid había denegado por dos veces la libertad provisional del hoy recurrente -Auto de 22 de marzo y Auto de 7 de mayo, de desestimación del recurso de súplica contra el anterior-. </w:t>
      </w:r>
    </w:p>
    <w:p w:rsidR="006854DA" w:rsidRDefault="006854DA" w:rsidP="006854DA">
      <w:pPr>
        <w:pStyle w:val="TextoNormal"/>
      </w:pPr>
      <w:r>
        <w:t xml:space="preserve">b) Mediante Auto, de 12 de julio de 1996, la Sección Primera de la Audiencia Provincial de Madrid acordó tener por preparado recurso de casación contra la Sentencia referida. En la parte dispositiva del Auto se incluye la siguiente decisión: "Se acuerda que el acusado continúe en la misma situación de prisión en que se halla". </w:t>
      </w:r>
    </w:p>
    <w:p w:rsidR="006854DA" w:rsidRDefault="006854DA" w:rsidP="006854DA">
      <w:pPr>
        <w:pStyle w:val="TextoNormal"/>
      </w:pPr>
      <w:r>
        <w:t xml:space="preserve">c) Contra el citado Auto interpuso el recurrente recurso de súplica. La Audiencia lo desestima argumentando, en síntesis, en primer lugar, que no se trata "de una prórroga, ni de adopción de una medida cautelar ex novo", y que no media "una concreta petición de modificación de la situación de prisión existente", por lo que no es necesaria la petición expresa del Fiscal. Añade, en segundo lugar, que el hecho de que se haya ya dictado la Sentencia condenatoria con base en verdaderas pruebas y la gravedad de la pena impuesta justifican la decisión de permanencia en prisión del recurrente. </w:t>
      </w:r>
    </w:p>
    <w:p w:rsidR="006854DA" w:rsidRDefault="006854DA" w:rsidP="006854DA">
      <w:pPr>
        <w:pStyle w:val="TextoNormal"/>
      </w:pPr>
      <w:r>
        <w:t>d) Con posterioridad a la interposición del presente recurso de amparo, la Sección Primera de la Audiencia volvió a denegar una nueva solicitud de libertad del hoy recurrente (Auto de 15 de noviembre).</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Considera el actor, en primer lugar, que se ha prescindido de ciertas formas legalmente previstas para el Acuerdo sobre su permanencia en prisión: postulación previa del Ministerio Fiscal y audiencia del acusado. Dichas garantías se encontrarían reguladas en el art. 504, párrafo 4º, L.E.Crim., para la prórroga de la prisión provisional y serían, por ello, aplicables a la decisión de continuidad de la misma que prevé el art. 881 bis a), párrafo 3º, L.E.Crim. en la resolución relativa a la preparación del recurso de casación. </w:t>
      </w:r>
    </w:p>
    <w:p w:rsidR="006854DA" w:rsidRDefault="006854DA" w:rsidP="006854DA">
      <w:pPr>
        <w:pStyle w:val="TextoNormal"/>
      </w:pPr>
      <w:r>
        <w:t>La queja del segundo motivo de la demanda versa sobre la total falta de motivación del mantenimiento en prisión en la Sentencia condenatoria y en el primero de los Autos recurridos. El intento posterior de subsanación por parte del Auto, de 30 de julio, sería insuficiente y absolutamente extemporáneo.</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9 de diciembre de 1996, la Sección Cuarta de este Tribunal acuerda admitir a trámite la demanda de amparo y dirigir sendas comunicaciones a la Sección Primera de la Audiencia Provincial de Madrid y al Juzgado de Instrucción núm. 39 de Madrid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5</w:t>
      </w:r>
      <w:r>
        <w:t xml:space="preserve">. Mediante escrito presentado en este Tribunal el día 11 de diciembre, la representación del recurrente solicita la suspensión del "acuerdo adoptado por la Sección Primera de la Audiencia Provincial de Madrid, en Sentencia núm. 307, de fecha 20 de junio de 1996, en la que se acordó que permaneciera para el recurrente, Francisco Javier Murga Florido, la situación de prisión en que se hallaba". </w:t>
      </w:r>
    </w:p>
    <w:p w:rsidR="006854DA" w:rsidRDefault="006854DA" w:rsidP="006854DA">
      <w:pPr>
        <w:pStyle w:val="TextoNormal"/>
      </w:pPr>
      <w:r>
        <w:t>Mediante providencia, de 19 de diciembre, la Sección acuerda la apertura de pieza separada de suspensión y, conforme determina el art. 56 LOTC, concede un plazo común de tres días a la parte demandante y al Ministerio Fiscal para que aleguen lo que estimen pertinente sobre la misma. Recibidos los escritos correspondientes -el del Ministerio Fiscal en postulación de la denegación de la suspensión-, la Sala Segunda de este Tribunal acuerda no acceder a la suspensión interesada (Auto de 27 de enero de 1997).</w:t>
      </w:r>
    </w:p>
    <w:p w:rsidR="006854DA" w:rsidRDefault="006854DA" w:rsidP="006854DA">
      <w:pPr>
        <w:pStyle w:val="TextoNormal"/>
      </w:pPr>
    </w:p>
    <w:p w:rsidR="006854DA" w:rsidRDefault="006854DA" w:rsidP="006854DA">
      <w:pPr>
        <w:pStyle w:val="TextoNormal"/>
      </w:pPr>
      <w:r w:rsidRPr="006854DA">
        <w:rPr>
          <w:rStyle w:val="NumeroAFNegritaCaracter"/>
        </w:rPr>
        <w:t>6</w:t>
      </w:r>
      <w:r>
        <w:t>. Recibidas las actuaciones, la Sección acuerda dar vista de las mismas a las partes, con concesión de un plazo común de veinte días para la presentación de las alegaciones previstas en el art. 52.1 LOTC (providencia de 10 de febrero de 1997).</w:t>
      </w:r>
    </w:p>
    <w:p w:rsidR="006854DA" w:rsidRDefault="006854DA" w:rsidP="006854DA">
      <w:pPr>
        <w:pStyle w:val="TextoNormal"/>
      </w:pPr>
    </w:p>
    <w:p w:rsidR="006854DA" w:rsidRDefault="006854DA" w:rsidP="006854DA">
      <w:pPr>
        <w:pStyle w:val="TextoNormal"/>
      </w:pPr>
      <w:r w:rsidRPr="006854DA">
        <w:rPr>
          <w:rStyle w:val="NumeroAFNegritaCaracter"/>
        </w:rPr>
        <w:t>7</w:t>
      </w:r>
      <w:r>
        <w:t>. En su escrito de alegaciones la representación del recurrente reitera lo esencial de su demanda: todo pronunciamiento judicial relativo a la situación personal del inculpado, en cuanto limitativo de un derecho fundamental, requiere motivación y el respeto a los principios de audiencia, asistencia y defensa. La decisión que se impugna, por contra, no vino precedida de audiencia ni contiene motivación alguna</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Fiscal concluye su informe con la solicitud de desestimación del recurso. Para llegar a esa conclusión argumenta lo siguiente. </w:t>
      </w:r>
    </w:p>
    <w:p w:rsidR="006854DA" w:rsidRDefault="006854DA" w:rsidP="006854DA">
      <w:pPr>
        <w:pStyle w:val="TextoNormal"/>
      </w:pPr>
      <w:r>
        <w:t xml:space="preserve">Respecto al motivo atinente a la no observancia de requisitos procesales esenciales, indica, en primer lugar, a partir de la competencia exclusiva de los órganos judiciales para la selección e interpretación de las normas legales, que el criterio adoptado por la Sala, al considerar que no se trataba de un supuesto de prórroga, no es arbitrario o absurdo y que encuentra, además, sólido apoyo sistemático en el art. 539 L.E.Crim., que exige la comparecencia prevista en el art. 504 bis, 2 para los supuestos de modificación agravatoria de la situación personal del imputado. Señala, en segundo lugar, que el acusador público postuló la prisión provisional en el recurso de súplica y que en él indicó que había sostenido esta pretensión desde su decreto. El tercer y último argumento repara en la ausencia de efecto de indefensión, pues el recurrente tuvo y ejerció la oportunidad de recurrir en súplica. </w:t>
      </w:r>
    </w:p>
    <w:p w:rsidR="006854DA" w:rsidRDefault="006854DA" w:rsidP="006854DA">
      <w:pPr>
        <w:pStyle w:val="TextoNormal"/>
      </w:pPr>
      <w:r>
        <w:t>No cabe hablar, en relación con el segundo motivo, de falta de motivación de los Autos impugnados, pues el Auto que resolvía la súplica incluía una fundamentación acorde con las exigencias que marcaba la STC 62/1996 para un supuesto similar.</w:t>
      </w:r>
    </w:p>
    <w:p w:rsidR="006854DA" w:rsidRDefault="006854DA" w:rsidP="006854DA">
      <w:pPr>
        <w:pStyle w:val="TextoNormal"/>
      </w:pPr>
    </w:p>
    <w:p w:rsidR="006854DA" w:rsidRDefault="006854DA" w:rsidP="006854DA">
      <w:pPr>
        <w:pStyle w:val="TextoNormal"/>
      </w:pPr>
      <w:r w:rsidRPr="006854DA">
        <w:rPr>
          <w:rStyle w:val="NumeroAFNegritaCaracter"/>
        </w:rPr>
        <w:t>9</w:t>
      </w:r>
      <w:r>
        <w:t>. Mediante providencia de 29 de mayo de 1997, se señaló para deliberación y votación de la presente Sentencia el día 2 de junio del mismo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El recurrente se encuentra en situación de prisión provisional desde el día 31 de enero de 1996. Mediante Sentencia de 25 de junio del mismo año fue condenado por la </w:t>
      </w:r>
      <w:r>
        <w:lastRenderedPageBreak/>
        <w:t>autoría de un delito contra la salud pública y otro de contrabando a las penas de ocho años y un día de prisión mayor, de dos meses y un día de arresto mayor, y de multa de 101.000.00 de pesetas y de 23.150.000 pesetas. En el fallo de la Sentencia se incluía una declaración relativa a la permanencia del condenado en la situación de prisión en la que se encontraba.  Esta decisión se reitera en el Auto de preparación del recurso de casación y se confirma en la resolución del recurso de súplica contra dicho particular del Auto.</w:t>
      </w:r>
    </w:p>
    <w:p w:rsidR="006854DA" w:rsidRDefault="006854DA" w:rsidP="006854DA">
      <w:pPr>
        <w:pStyle w:val="TextoNormal"/>
      </w:pPr>
      <w:r>
        <w:t>Con invocación como vulnerado de su derecho a la libertad, se queja el recurrente de que la Sentencia y los dos Autos posteriores han prorrogado la medida preventiva de prisión sin motivación o sin motivación suficiente y sin la observancia de dos garantías procedimentales esenciales: postulación de la acusación y audiencia del imputado. A este motivo oponía la Audiencia, en la respuesta a la súplica interpuesta, que las garantías alegadas no eran exigibles en dicha resolución pues no se trataba de una prórroga de la prisión (art. 504, párrafo 4º L.E.Crim.)  sino de una mera confirmación de la misma en la tramitación del recurso de casación [art. 861 bis a) L.E.Crim.].  El Ministerio Fiscal se muestra de acuerdo con este argumento y estima además que, conforme a lo establecido para un supuesto similar por la STC 62/1996, la motivación exteriorizada en el último de los Autos recurridos para el mantenimiento de la medida (evitación del riesgo de fuga derivado de una Sentencia gravemente condenatoria) es suficiente desde la perspectiva del art.  17 C.E.</w:t>
      </w:r>
    </w:p>
    <w:p w:rsidR="006854DA" w:rsidRDefault="006854DA" w:rsidP="006854DA">
      <w:pPr>
        <w:pStyle w:val="TextoNormal"/>
      </w:pPr>
      <w:r>
        <w:t>Nuestro análisis se iniciará con el enjuiciamiento diferenciado de las dos quejas de índole procesal que integran el primer motivo. Sólo después procederá, en su caso, el de la alegación relativa al sustento material de la medida de prisión.  Este análisis de fondo se limita a los dos Autos de la Audiencia que se impugnan en el encabezamiento y en el suplico de la demanda, y no al del fallo de la Sentencia relativo a la situación personal del condenado, pues dicha decisión no fue recurrida en la vía judicial [art. 44.1 a) LOTC].</w:t>
      </w:r>
    </w:p>
    <w:p w:rsidR="006854DA" w:rsidRDefault="006854DA" w:rsidP="006854DA">
      <w:pPr>
        <w:pStyle w:val="TextoNormal"/>
      </w:pPr>
    </w:p>
    <w:p w:rsidR="006854DA" w:rsidRDefault="006854DA" w:rsidP="006854DA">
      <w:pPr>
        <w:pStyle w:val="TextoNormal"/>
      </w:pPr>
      <w:r w:rsidRPr="006854DA">
        <w:rPr>
          <w:rStyle w:val="NumeroAFNegritaCaracter"/>
        </w:rPr>
        <w:t>2</w:t>
      </w:r>
      <w:r>
        <w:t>. Lo primero que alega el recurrente es que la Sección Primera de la Audiencia Provincial acordó la continuación de su situación de prisión sin haberle oído previamente. Su queja, sin embargo, no puede ser acogida como constitutiva de vulneración de un derecho fundamental. Por una parte, porque la posibilidad de audiencia existió con anterioridad al Acuerdo y se hizo realidad en fase de recurso. Por otra, porque si lo que se echa en falta es la comparecencia previa del acusado -como se sugiere también en el escrito de demanda-, la garantía que se reclama, según interpretación razonada del órgano judicial, no figura en la Ley de Enjuiciamiento Criminal, ni, por lo demás, parece directamente exigible ex Constitutione para este tipo de supuestos.</w:t>
      </w:r>
    </w:p>
    <w:p w:rsidR="006854DA" w:rsidRDefault="006854DA" w:rsidP="006854DA">
      <w:pPr>
        <w:pStyle w:val="TextoNormal"/>
      </w:pPr>
      <w:r>
        <w:t>En efecto, en relación con la primera de las líneas argumentales apuntadas para la desestimación -la que niega el sustrato fáctico del motivo al negar que faltara la audiencia previa- debe consignarse que el Auto de preparación del recurso de casación responde a la correspondiente petición del condenado en instancia y dicha resolución lleva legalmente anudado el acuerdo sobre la continuación o la modificación de la situación del reo [art. 861 bis a) L.E.Crim.]. Pudo, pues, el hoy recurrente exponer lo que estimara oportuno en su escrito de 10 de julio de 1996 en relación con una cuestión que era de obligado planteamiento para el órgano judicial. Dicha posibilidad, entonces desaprovechada, fue hecha posteriormente realidad en forma de recurso de súplica contra el particular relativo a la continuación de la prisión.</w:t>
      </w:r>
    </w:p>
    <w:p w:rsidR="006854DA" w:rsidRDefault="006854DA" w:rsidP="006854DA">
      <w:pPr>
        <w:pStyle w:val="TextoNormal"/>
      </w:pPr>
      <w:r>
        <w:t xml:space="preserve">En segundo lugar, no nos compete la determinación de si la comparecencia previa del imputado en este tipo concreto de supuestos constituye una garantía legal. Quienes interpretan y aplican la legalidad procesal son exclusivamente los órganos judiciales.  En su </w:t>
      </w:r>
      <w:r>
        <w:lastRenderedPageBreak/>
        <w:t>tarea de protección del derecho a la libertad personal, comprensiva de la determinación de que su privación ha sido acordada en la forma prevista en la ley, corresponde únicamente a esta específica jurisdicción la supervisión externa de que aquélla interpretación ha sido razonable. Que en el presente supuesto esto es así se revela sin lugar a dudas a partir de la lectura de la motivación del segundo de los Autos impugnados, relativa a la naturaleza de la decisión (continuación de la prisión y no prórroga) y de la ubicación de su regulación [art. 861 bis a) y no art. 504, párrafo 4º L.E.Crim.]. Así lo estima también el Ministerio Fiscal, que añade nuevos argumentos al ya suficiente y consistente razonamiento de la Sala.</w:t>
      </w:r>
    </w:p>
    <w:p w:rsidR="006854DA" w:rsidRDefault="006854DA" w:rsidP="006854DA">
      <w:pPr>
        <w:pStyle w:val="TextoNormal"/>
      </w:pPr>
      <w:r>
        <w:t>Por lo demás, tampoco cabe entender que estemos en este concreto supuesto (comparecencia del imputado previa a la decisión sobre la continuación de la prisión provisional en la tramitación del recurso de casación) ante una garantía directamente exigida por la Constitución, es decir, ante una garantía que, aun no estando expresamente contemplada en la ley, debiera estarlo o debiera integrar necesariamente su interpretación. Repárese, en primer lugar, en abstracto, en que las decisiones sobre la situación personal del imputado no sólo le vienen impuestas al Juez en determinados momentos procesales por la ley, sino que pueden ser también instadas en cualquier momento por el imputado afectado cuantas veces lo estime conveniente. De ahí que en ocasiones la garantía de comparecencia pueda resultar no sólo innecesaria, sino también, por ello, dilatoria y perturbadora para la correcta tramitación del procedimiento. De ahí, también, que el legislador haya optado en la actualidad por reservar tal exigencia para las decisiones de empeoramiento de la situación del imputado en términos de libertad. Repárese asimismo, en concreto, en que en el caso que nos ocupa nos encontramos ante una decisión de confirmación que la ley impone al Tribunal respecto a una situación que el mismo había ya confirmado unos días antes en la Sentencia condenatoria y que había venido precedida entonces de la correspondiente vista oral.</w:t>
      </w:r>
    </w:p>
    <w:p w:rsidR="006854DA" w:rsidRDefault="006854DA" w:rsidP="006854DA">
      <w:pPr>
        <w:pStyle w:val="TextoNormal"/>
      </w:pPr>
    </w:p>
    <w:p w:rsidR="006854DA" w:rsidRDefault="006854DA" w:rsidP="006854DA">
      <w:pPr>
        <w:pStyle w:val="TextoNormal"/>
      </w:pPr>
      <w:r w:rsidRPr="006854DA">
        <w:rPr>
          <w:rStyle w:val="NumeroAFNegritaCaracter"/>
        </w:rPr>
        <w:t>3</w:t>
      </w:r>
      <w:r>
        <w:t>. La segunda queja de índole prioritariamente formal se refiere a que la decisión de continuación de la medida de prisión -de "prórroga" de la prisión en el entendimiento del recurrente- no vino precedida de la correspondiente petición del Ministerio Fiscal.</w:t>
      </w:r>
    </w:p>
    <w:p w:rsidR="006854DA" w:rsidRDefault="006854DA" w:rsidP="006854DA">
      <w:pPr>
        <w:pStyle w:val="TextoNormal"/>
      </w:pPr>
      <w:r>
        <w:t>Tampoco aquí cabe otorgar el amparo. Con independencia de la trascendencia constitucional que deba atribuirse genéricamente a la postulación de la prisión provisional por parte del Ministerio Fiscal o, en general, de la acusación, lo cierto es que, con la argumentación ya sintetizada en el fundamento anterior, la Audiencia razonó suficientemente que la misma no constituía una garantía legal en el trámite procesal cuestionado, lo que descarta que el mantenimiento en prisión infringiera lo prescrito en el art.  17.1 C.E.  Ha de acentuarse asimismo, y quizás por aquí deberíamos haber comenzado el análisis del motivo, que el Ministerio Fiscal apoyó en su momento la adopción de la medida, que en ningún momento del procedimiento replanteó su posición al respecto, y que volvió a manifestar la misma cuando se le solicitó expresamente, que fue en la tramitación del recurso de súplica que dio lugar al Auto que es el objeto formal próximo del presente recurso de amparo. Hubo, pues, como indica el propio Fiscal actuante en el procedimiento, continuidad en su postulación, por lo que decae el sustrato fáctico del motivo.</w:t>
      </w:r>
    </w:p>
    <w:p w:rsidR="006854DA" w:rsidRDefault="006854DA" w:rsidP="006854DA">
      <w:pPr>
        <w:pStyle w:val="TextoNormal"/>
      </w:pPr>
    </w:p>
    <w:p w:rsidR="006854DA" w:rsidRDefault="006854DA" w:rsidP="006854DA">
      <w:pPr>
        <w:pStyle w:val="TextoNormal"/>
      </w:pPr>
      <w:r w:rsidRPr="006854DA">
        <w:rPr>
          <w:rStyle w:val="NumeroAFNegritaCaracter"/>
        </w:rPr>
        <w:t>4</w:t>
      </w:r>
      <w:r>
        <w:t>. La última vulneración constitucional que se denuncia tendría su origen en la pretendida falta radical de motivación de la decisión de permanencia en prisión en el primero de los Autos impugnados. Los razonamientos del segundo serían tardíos e insuficientes.</w:t>
      </w:r>
    </w:p>
    <w:p w:rsidR="006854DA" w:rsidRDefault="006854DA" w:rsidP="006854DA">
      <w:pPr>
        <w:pStyle w:val="TextoNormal"/>
      </w:pPr>
      <w:r>
        <w:lastRenderedPageBreak/>
        <w:t>Con independencia del valor que quepa atribuir a la remisión implícita del primer Auto a los motivos que sustentaban la prisión a la vista de que se trataba de una mera no remoción de la situación decidida de oficio en trámite de casación, lo que se revela crucial para la desestimación de la alegación es el rechazo de los reproches que se vierten sobre la segunda de las resoluciones. Ni su razonamiento es insuficiente, como veremos, ni cabe sostener que sea tardío, cosa que hace la demanda trayendo a colación la STC 40/1987, en el que el presupuesto es bien otro: una prórroga de la prisión provisional acordada cuando el plazo legal máximo inicial había ya expirado.</w:t>
      </w:r>
    </w:p>
    <w:p w:rsidR="006854DA" w:rsidRDefault="006854DA" w:rsidP="006854DA">
      <w:pPr>
        <w:pStyle w:val="TextoNormal"/>
      </w:pPr>
      <w:r>
        <w:t>El razonamiento jurídico segundo del Auto de la Audiencia, de 30 de julio de 1996, sostiene la medida cautelar en el riesgo de fuga del procesado que se derivaría de la elevada duración de una pena impuesta mediante Sentencia (más de ocho años de privación de libertad) y basada, por lo tanto, no en indicios, sino en "verdaderas pruebas que para el Tribunal han tenido entidad bastante para desvirtuar la presunción de inocencia del procesado". Que la argumentación sintetizada es suficiente y razonable desde la perspectiva que impone el derecho a la libertad personal en juego, es una conclusión de nuestra doctrina general al respecto (SSTC 128/1995, 44/1997, 66/1997) y de su concreción en supuestos como el ahora suscitado (STC 62/1996).</w:t>
      </w:r>
    </w:p>
    <w:p w:rsidR="006854DA" w:rsidRDefault="006854DA" w:rsidP="006854DA">
      <w:pPr>
        <w:pStyle w:val="TextoNormal"/>
      </w:pPr>
      <w:r>
        <w:t>En efecto, en la motivación que se impugna en la demanda encontramos, en primer lugar, la expresión de una finalidad constitucionalmente legítima y congruente con la naturaleza de la medida, cual es la evitación del riesgo de fuga del condenado en instancia. Dicho riesgo se sostiene sobre la contundencia de un dato objetivo, una pena grave impuesta en Sentencia, que en ciertos supuestos es capaz de contrarrestar por su propia envergadura cualesquiera otras circunstancias concretas y subjetivas que puedan abogar por la efectiva disponibilidad del imputado hacia los órganos judiciales y, con ello, por su libertad. De ahí que la mención de estas circunstancias en la motivación de la medida de prisión pueda devenir excepcionalmente innecesaria.  Esto es lo que sucede en el presente caso, en el que la pena es superior a los ocho años de prisión, y frente a ello.  ni se aportan ni se constatan otras circunstancias que se opongan al peligro de fuga que dicho fallo comporta.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presente recurso de amparo.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dos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5" w:name="SENTENCIA_1997_109"/>
      <w:r>
        <w:lastRenderedPageBreak/>
        <w:t>SENTENCIA 109/1997, de 2 de junio de 1997</w:t>
      </w:r>
    </w:p>
    <w:bookmarkEnd w:id="25"/>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ECLI:ES:TC:1997:109</w:t>
      </w:r>
    </w:p>
    <w:p w:rsidR="006854DA" w:rsidRDefault="006854DA" w:rsidP="006854DA">
      <w:pPr>
        <w:pStyle w:val="SntesisDescriptiva"/>
      </w:pPr>
    </w:p>
    <w:p w:rsidR="006854DA" w:rsidRDefault="006854DA" w:rsidP="006854DA">
      <w:pPr>
        <w:pStyle w:val="SntesisDescriptiva"/>
      </w:pPr>
      <w:r>
        <w:t>Recurso de amparo 3.464/1996. Contra dilaciones padecidas a consecuencia de la inactividad del Juzgado de Primera Instancia núm. 1 de Martorell en ejecución de Sentencia dictada en juicio ejecutivo.</w:t>
      </w:r>
    </w:p>
    <w:p w:rsidR="006854DA" w:rsidRDefault="006854DA" w:rsidP="006854DA">
      <w:pPr>
        <w:pStyle w:val="SntesisDescriptiva"/>
      </w:pPr>
    </w:p>
    <w:p w:rsidR="006854DA" w:rsidRDefault="006854DA" w:rsidP="006854DA">
      <w:pPr>
        <w:pStyle w:val="SntesisAnaltica"/>
      </w:pPr>
      <w:r>
        <w:t>Vulneración del derecho a un proceso sin dilaciones.</w:t>
      </w:r>
    </w:p>
    <w:p w:rsidR="006854DA" w:rsidRDefault="006854DA" w:rsidP="006854DA">
      <w:pPr>
        <w:pStyle w:val="SntesisAnaltica"/>
      </w:pPr>
    </w:p>
    <w:p w:rsidR="006854DA" w:rsidRDefault="006854DA" w:rsidP="006854DA">
      <w:pPr>
        <w:pStyle w:val="Extracto"/>
      </w:pPr>
      <w:r>
        <w:t>1.</w:t>
      </w:r>
      <w:r>
        <w:tab/>
        <w:t>La concreción del objeto procesal tiene su asiento propio en la demanda, donde ha de individualizarse el acto o la disposición cuya nulidad se pretenda, con indicación de la razón para pedirla o causa petendi (STC 185/1996), así como las medidas necesarias para obtener el restablecimiento del derecho fundamental, en su caso, sin que sean viables las alteraciones posteriores de cualquiera de tales elementos [F.J. 1].</w:t>
      </w:r>
    </w:p>
    <w:p w:rsidR="006854DA" w:rsidRDefault="006854DA" w:rsidP="006854DA">
      <w:pPr>
        <w:pStyle w:val="Extracto"/>
      </w:pPr>
    </w:p>
    <w:p w:rsidR="006854DA" w:rsidRDefault="006854DA" w:rsidP="006854DA">
      <w:pPr>
        <w:pStyle w:val="Extracto"/>
      </w:pPr>
      <w:r>
        <w:t>2.</w:t>
      </w:r>
      <w:r>
        <w:tab/>
        <w:t>El concepto de «dilaciones indebidas» como equivalente del «plazo razonable» dentro del cual debe desarrollarse cualquier proceso, según se mire desde la perspectiva de nuestra Constitución y del Pacto de Nueva York o del Convenio Europeo de 1950, exige la ponderación de tres factores, «la complejidad del asunto, el comportamiento de los litigantes y el de las autoridades judiciales» ( T.E.D.H., caso Sanders, 7 de julio de 1989 y otra media docena de precedentes). En un análisis de esos elementos parece obvia la sencillez y aun la simplicidad de las cuestiones jurídicas implicadas en la tasación de las costas procesales y la liquidación de los intereses en un procedimiento para la ejecución de la Sentencia sin mayores complicaciones. El asunto, pues, carecía de complejidad tanto en el supuesto de hecho como en su calificación jurídica. Por otra parte, la recurrente desarrolló la actividad propia del caso, incluso con exceso, quejándose en dos ocasiones infructuosamente, conducta que puede tildarse de diligente sin énfasis alguno. La demora fue obra, por lo tanto, de la mera inactividad judicial, sin que pueda constituir causa de justificación la sobrecarga de trabajo del órgano jurisdiccional ni las peripecias personales de sus titulares (baja por maternidad, sustitución temporal) aun cuando esas circunstancias puedan servir para exonerarlos de culpa y trasladar la responsabilidad desde un plano subjetivo al objetivo. En consecuencia, aunque el concepto de dilaciones indebidas no pueda ser identificado con el respeto a los plazos procesales, parece claro que la absoluta paralización de la tasación de las costas y liquidación de los intereses resulta lisa y llanamente inaceptable, sin que esa tardanza, fuera o no explicable, deba ser soportada por el ciudadano, cuyo derecho a un proceso rápido resulta así vulnerado [F.J. 2].</w:t>
      </w:r>
    </w:p>
    <w:p w:rsidR="006854DA" w:rsidRDefault="006854DA" w:rsidP="006854DA">
      <w:pPr>
        <w:pStyle w:val="Extracto"/>
      </w:pPr>
    </w:p>
    <w:p w:rsidR="006854DA" w:rsidRDefault="006854DA" w:rsidP="006854DA">
      <w:pPr>
        <w:pStyle w:val="Extracto"/>
      </w:pPr>
      <w:r>
        <w:t>3.</w:t>
      </w:r>
      <w:r>
        <w:tab/>
        <w:t>Este Tribunal Constitucional carece de jurisdicción para atender la petición de indemnización, ya que la misma se propone conseguir el resarcimiento, la compensación o la reparación con carácter sustitutorio. Por tanto, no aparece com</w:t>
      </w:r>
      <w:r>
        <w:lastRenderedPageBreak/>
        <w:t>prendida entre los pronunciamientos que pueden y deben, en su caso, contener las Sentencias de amparo y su declaración se defiere a la jurisdicción ordinaria en un caso particular (art. 58 LOTC) cuya ratio o razón de ser es extensible a la entera institución. En estas o en otras palabras lo hemos dicho en muchas ocasiones (SSTC 85/1990 y 139/1990, así como el ATC 29/l983) [F.J. 3].</w:t>
      </w:r>
    </w:p>
    <w:p w:rsidR="006854DA" w:rsidRDefault="006854DA" w:rsidP="006854DA">
      <w:pPr>
        <w:pStyle w:val="Extracto"/>
      </w:pPr>
    </w:p>
    <w:p w:rsidR="006854DA" w:rsidRDefault="006854DA" w:rsidP="006854DA">
      <w:pPr>
        <w:pStyle w:val="Extracto"/>
      </w:pPr>
      <w:r>
        <w:t>4.</w:t>
      </w:r>
      <w:r>
        <w:tab/>
        <w:t>La determinación de los elementos que han de concurrir para que exista derecho a la indemnización de los daños y perjuicios ha de producirse, salvo error, en el plano de la legalidad y, por ello, es competencia privativa de los Jueces y Tribunales (o del Poder Judicial). A nosotros tan sólo nos corresponde aportar uno de estos componentes, la ilegitimidad, por derivar directamente, en este caso, de la transgresión de una norma de la Constitución donde se configura un derecho fundamental, o dicho en otras palabras, la calificación como «indebida» de la dilación. En este sentido ha de ser entendida nuestra conclusión de que cuando este Tribunal comprueba la existencia de dilaciones indebidas, su declaración puede servir de «título» para acreditar el funcionamiento anormal de la Administración de Justicia (STC 35/1994), como fundamento para el ejercicio de las acciones oportunas si los hubiere. El nuestro no es, por tanto, un pronunciamiento simbólico, desprovisto de eficacia práctica, desde el momento en que constituye el presupuesto del derecho a la indemnización de daños y perjuicios, como indica nuestra Sentencia 36/1984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3.464/96, interpuesto por el "Banco Central Hispano Americano, S.A.", a quien representa el Procurador don Rafael Reig Pascual con la asistencia del Letrado don Joan A. Solsona Camps, frente a las dilaciones padecidas a consecuencia de la inactividad del Juzgado de Primera Instancia núm. 1 de Martorell en ejecución de la Sentencia dictada en el juicio ejecutivo núm. 376/94. Ha comparecido el Ministerio Fiscal, siendo Ponente el Magistrado don Rafael de Mendizábal Allende, quien expresa el parecer de la Sala.</w:t>
      </w:r>
    </w:p>
    <w:p w:rsidR="006854DA" w:rsidRDefault="006854DA" w:rsidP="006854DA">
      <w:pPr>
        <w:pStyle w:val="TextoNormal"/>
      </w:pPr>
    </w:p>
    <w:p w:rsidR="006854DA" w:rsidRDefault="006854DA" w:rsidP="006854DA">
      <w:pPr>
        <w:pStyle w:val="TextoNormalNegritaCentrado"/>
        <w:keepNext/>
      </w:pPr>
      <w:r>
        <w:lastRenderedPageBreak/>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La compañía "Banco Central Hispanoamericano, S.A.", en escrito que presentó el 24 de septiembre de 1996, promovió el recurso de amparo de que se hace mérito en el encabezamiento, denunciando vulneración de su derecho a un proceso sin dilaciones indebidas y solicitando el pronunciamiento de Sentencia donde, otorgándole amparo, se declare que ha sido conculcado el mencionado derecho fundamental, se ordene al Juzgado de Primera Instancia núm. 1 de Martorell que, a través de su Secretaría, practique la oportuna tasación de costas e intereses en el juicio ejecutivo núm. 376/94 y se declare su derecho a ser indemnizada «por funcionamiento anormal de la Justicia». </w:t>
      </w:r>
    </w:p>
    <w:p w:rsidR="006854DA" w:rsidRDefault="006854DA" w:rsidP="006854DA">
      <w:pPr>
        <w:pStyle w:val="TextoNormal"/>
      </w:pPr>
      <w:r>
        <w:t xml:space="preserve">Los hechos en que la entidad de crédito recurrente funda su pretensión de amparo tienen su origen en la demanda de juicio ejecutivo que el 10 de octubre de 1994 formalizó contra don José María Verdugo Domínguez y don Juan Verdugo Caucín, cuyo conocimiento correspondió al Juez de Primera Instancia núm. 1 de Martorell, quedando registrada con el núm. 376/94 y siendo dictada Sentencia de remate el 3 de marzo de 1995, procediéndose a continuación a la ejecución de la misma por la vía de apremio. </w:t>
      </w:r>
    </w:p>
    <w:p w:rsidR="006854DA" w:rsidRDefault="006854DA" w:rsidP="006854DA">
      <w:pPr>
        <w:pStyle w:val="TextoNormal"/>
      </w:pPr>
      <w:r>
        <w:t>Una vez recibido el principal, la representación de la compañía actora solicitó el 27 de febrero de 1996 la oportuna tasación de costas y liquidación de intereses. El Juez, en providencia de 11 de marzo, ordenó que los autos pasasen, junto con la minuta del Letrado de aquélla, a la Secretaría del Juzgado a fin de que se procediese a lo solicitado. Como quiera que no se hizo nada al respecto, la representación actora recordó el 3 de junio su solicitud del mes de febrero e interesó la práctica de lo pedido y ya acordado en la providencia de 11 de marzo. La pasividad del órgano judicial persistió, por lo que el 2 de septiembre, invocando el art. 24 C.E., reiteró su solicitud. Transcurridos veintidós días interpuso la demanda de amparo que ahora se decide. El 11 de diciembre, la Secretaria del Juzgado extendió diligencia haciendo constar que en la fecha, y por primera vez desde su toma de posesión, tuvo conocimiento de la existencia de los autos de juicio ejecutivo en cuestión, así como de las irregularidades en que, a su juicio, se había incurrido en la tramitación de los mismos.</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Sección Tercera, en providencia de 7 de noviembre de 1996, admitió a trámite la demanda, solicitando del Juez de Primera Instancia núm. 1 de Martorell la remisión de certificación o copia adverada de las actuaciones, así como el emplazamiento de quienes fueron parte en el proceso para que pudieran comparecer en este de amparo si les conviniere. </w:t>
      </w:r>
    </w:p>
    <w:p w:rsidR="006854DA" w:rsidRDefault="006854DA" w:rsidP="006854DA">
      <w:pPr>
        <w:pStyle w:val="TextoNormal"/>
      </w:pPr>
      <w:r>
        <w:t>Una vez recibidas las actuaciones, en providencia de 13 de febrero de 1997, la Sección Cuarta acordó dar vista de las mismas a las partes por plazo común de veinte días.</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El Fiscal formuló sus alegaciones el 18 de marzo en escrito en el que interesó el otorgamiento del amparo por violación del derecho fundamental a un proceso sin dilaciones indebidas. Para fundamentar tal petición expone que la dilación indebida denunciada se produce en ejecución de Sentencia, siendo la pretensión deducida por la solicitante de amparo la práctica de la tasación de costas y la liquidación de intereses. La actividad procesal exigida al órgano judicial no es, pues, compleja y no existe una causa que impida o evite la práctica del acto procesal ordenado por el Juez en su momento. Si la dilación se imputare a deficiencias en la estructura de la organización judicial, esta carencia no significa la inexistencia de la violación constitucional sino la falta de responsabilidad de las </w:t>
      </w:r>
      <w:r>
        <w:lastRenderedPageBreak/>
        <w:t>personas que son titulares del Juzgado. De otro lado, la dilación ha sido denunciada ante el Juzgado por la solicitante de amparo, sin que haya recibido respuesta. Este silenció del órgano judicial y el tiempo muerto en la actividad procesal sin justificación alguna, integran una vulneración del derecho fundamental invocado en la demanda de amparo.</w:t>
      </w:r>
    </w:p>
    <w:p w:rsidR="006854DA" w:rsidRDefault="006854DA" w:rsidP="006854DA">
      <w:pPr>
        <w:pStyle w:val="TextoNormal"/>
      </w:pPr>
    </w:p>
    <w:p w:rsidR="006854DA" w:rsidRDefault="006854DA" w:rsidP="006854DA">
      <w:pPr>
        <w:pStyle w:val="TextoNormal"/>
      </w:pPr>
      <w:r w:rsidRPr="006854DA">
        <w:rPr>
          <w:rStyle w:val="NumeroAFNegritaCaracter"/>
        </w:rPr>
        <w:t>4</w:t>
      </w:r>
      <w:r>
        <w:t>. La sociedad demandante de amparo evacuó el traslado y formuló sus alegaciones en escrito que presentó el 18 de abril, en el que a la denunciada vulneración de su derecho a un proceso sin dilaciones indebidas añade la conculcación de su derecho a la ejecución de la Sentencia de remate y solicita que se declare que ambos derechos fundamentales han sido vulnerados, así como que se le reconozcan sus derechos a que se practique la tasación de costas, a que se le reintegre en el importe del principal del juicio ejecutivo, obrante en la cuenta de consignaciones del Juzgado, y a recibir la indemnización prevista en el art. 121 C.E., por conducta culposa del órgano judicial, sin necesidad de ser tramitada por el cauce de la Ley Orgánica del Poder Judicial, sin perjuicio de la facultad de repetición del Estado.</w:t>
      </w:r>
    </w:p>
    <w:p w:rsidR="006854DA" w:rsidRDefault="006854DA" w:rsidP="006854DA">
      <w:pPr>
        <w:pStyle w:val="TextoNormal"/>
      </w:pPr>
    </w:p>
    <w:p w:rsidR="006854DA" w:rsidRDefault="006854DA" w:rsidP="006854DA">
      <w:pPr>
        <w:pStyle w:val="TextoNormal"/>
      </w:pPr>
      <w:r w:rsidRPr="006854DA">
        <w:rPr>
          <w:rStyle w:val="NumeroAFNegritaCaracter"/>
        </w:rPr>
        <w:t>5</w:t>
      </w:r>
      <w:r>
        <w:t>. En providencia de 28 de mayo de 1997 se señaló para deliberación y fallo de la presente Sentencia el día 2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delimitación cuidadosa del objeto de este proceso, conveniente siempre para una mayor claridad expositiva, se hace necesaria en este caso donde, a lo largo de su curso, se han ampliado dos de sus elementos, lo que se pide y la razón de pedirlo o causa petendi. Efectivamente, en la demanda se invoca, como soporte único de su doble pretensión, el derecho al proceso sin dilaciones indebidas (art. 24.2 C.E.), mientras que en la fase de alegaciones denuncia también la sedicente vulneración de otro derecho, el que le corresponde para a la ejecución de la Sentencia ganada (art. 24. 1 y 2 C.E. respectivamente), ambos distintos entre si, con diferentes elementos y contenido, aun cuando -eso sí- manifestaciones fenoménicas del derecho fundamental genérico a la efectividad de la tutela judicial. Por otra parte, la doble pretensión inicial para que, una vez anulada la Sentencia -en su caso- se lleve a cabo la tasación de costas con la correspondiente liquidación de intereses y se le conceda una indemnización de daños y perjuicios por el funcionamiento anormal de la Administración de Justicia, se ve adicionada con otra, la devolución del principal objeto del pleito, depositado en la cuenta de consignaciones de la oficina judicial.</w:t>
      </w:r>
    </w:p>
    <w:p w:rsidR="006854DA" w:rsidRDefault="006854DA" w:rsidP="006854DA">
      <w:pPr>
        <w:pStyle w:val="TextoNormal"/>
      </w:pPr>
      <w:r>
        <w:t>Tal extensión del contenido de las pretensiones y de su fundamento distorsiona el planteamiento inicial y está huérfana de una base de sustentación adecuada.  La invocación del derecho al cumplimiento de las Sentencias judiciales, hecha tardiamente y en ocasión inoportuna e inadecuada, ha de ser rechazada desde un principio. Tanto ella como la petición de que se le devuelva el principal han sido introducidas intempestivamente en el debate, no en su planteamiento sino una vez planteado, ya que la concreción del objeto procesal tiene su asiento propio en la demanda, donde ha de individualizarse el acto o la disposición cuya nulidad se pretenda, con indicación de la razón para pedirla o causa petendi (STC 185/1996) así como las medidas necesarias para obtener el restablecimiento del derecho fundamental, en su caso, sin que sean viables las alteraciones posteriores de cualquiera de tales elementos.</w:t>
      </w:r>
    </w:p>
    <w:p w:rsidR="006854DA" w:rsidRDefault="006854DA" w:rsidP="006854DA">
      <w:pPr>
        <w:pStyle w:val="TextoNormal"/>
      </w:pPr>
    </w:p>
    <w:p w:rsidR="006854DA" w:rsidRDefault="006854DA" w:rsidP="006854DA">
      <w:pPr>
        <w:pStyle w:val="TextoNormal"/>
      </w:pPr>
      <w:r w:rsidRPr="006854DA">
        <w:rPr>
          <w:rStyle w:val="NumeroAFNegritaCaracter"/>
        </w:rPr>
        <w:t>2</w:t>
      </w:r>
      <w:r>
        <w:t>. El ámbito del enjuiciamiento, desde esta óptica objetiva, ha de restringirse a indagar si en el caso fue vulnerado, o no, el derecho fundamental a un proceso sin dilaciones indebidas que también se da en la fase de ejecución de Sentencia (SSTC 33/1997 y 53/1997) y si tal hubiere ocurrido, cuales hayan de ser las consecuencias que haya de producir, incógnitas ambas cuyas respuestas han de ser distintas y aun opuestas, como se irá viendo.</w:t>
      </w:r>
    </w:p>
    <w:p w:rsidR="006854DA" w:rsidRDefault="006854DA" w:rsidP="006854DA">
      <w:pPr>
        <w:pStyle w:val="TextoNormal"/>
      </w:pPr>
      <w:r>
        <w:t>En sintesis, la situación enjuiciada se produjo dentro de un juicio ejecutivo seguido hasta dictarse la correspondiente Sentencia en cuyo procedimiento de ejecución el 27 de febrero de 1996 se instó la tasación de costas y la liquidación de los intereses.  El Juez proveyó el 11 de marzo accediendo a lo pedido sin que su orden al efecto se llevara a cabo no obstante haber sido denunciada la mora en dos ocasiones. La simple narración de lo sucedido pone de manifiesto el hecho del retraso, que supera notoriamente y con exceso el plazo previsible para una operación de tal tipo. Ahora bien, este dato objetivo no es suficiente por si mismo para considerar indebida la dilación.</w:t>
      </w:r>
    </w:p>
    <w:p w:rsidR="006854DA" w:rsidRDefault="006854DA" w:rsidP="006854DA">
      <w:pPr>
        <w:pStyle w:val="TextoNormal"/>
      </w:pPr>
      <w:r>
        <w:t>Este concepto jurídico indeterminado, como equivalente del "plazo razonable" dentro del cual debe desarrollarse cualquier proceso, según se mire desde la perspectiva de nuestra Constitución y del Pacto de Nueva York o del Convenio Europeo de 1950, exige la ponderación de tres factores, "la complejidad del asunto, el comportamiento de los litigantes y el de las autoridades judiciales" (T.E.D.H., caso Sanders, 7 de julio de 1989 y otra media docena de precedentes). En un análisis de esos elementos, parece obvia la sencillez y aun la simplicidad de las cuestiones jurídicas implicadas en la tasación de las costas procesales y la liquidación de los intereses en un procedimiento para la ejecución de la Sentencia sin mayores complicaciones. El asunto, pues, carecía de complejidad tanto en el supuesto de hecho como en su calificación jurídica. Por otra parte, la desatendida desarrolló la actividad propia del caso, incluso con exceso, quejándose en dos ocasiones infructuosamente, conducta que puede tildarse de diligente sin énfasis alguno. La demora fue obra, por lo tanto, de la mera inactividad judicial, sin que pueda constituir causa de justificación la sobrecarga de trabajo del órgano jurisdiccional ni las peripecias personales de sus titulares (baja por maternidad, sustitución temporal) aun cuando esas circunstancias puedan servir para exonerarlos de culpa y trasladar la responsabilidad desde un plano subjetivo al objetivo. En consecuencia, aunque el concepto de dilaciones indebidas no pueda ser identificado con el respeto a los plazos procesales, parece claro que la absoluta paralización de la tasación de las costas y liquidación de los intereses resulta lisa y llanamente inaceptable, sin que esa tardanza, fuera o no explicable, deba ser soportada por el ciudadano, cuyo derecho a un proceso rápido resulta así vulnerado.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Una vez comprobado que en el proceso hubo dilaciones indebidas y por ello constitucionalmente reprochables, queda por despejar la segunda del par de incógnitas planteadas en la demanda, a saber, si es viable, o no, la pretensión de conseguir de nosotros una indemnización de daños y perjuicios por los sufridos como consecuencia del retraso padecido en la ejecución de la Sentencia ganada. No es esta la primera vez que se suscita tal cuestión en esta sede y, una vez más, la respuesta ha de ser negativa como lo fue en otra muy reciente, la STC 33/1997, de la cual tomamos el razonamiento. Y la raíz de todo ello ha de buscarse y se encuentra en la separación de las jurisdicciones constitucional y ordinaria, que actúan simétricamente en dos planos del ordenamiento jurídico, el de la constitucionalidad y el de la legalidad. Pues bien, el derecho a recibir indemnización por las dilaciones indebidas, como una manifestación del funcionamiento anormal de la Administración de Justicia, arranca directamente de la Constitución (art. 121) pero se configura en </w:t>
      </w:r>
      <w:r>
        <w:lastRenderedPageBreak/>
        <w:t>la Ley Orgánica del Poder Judicial (arts. 292 y siguientes) y, en definitiva, no es por si mismo directamente invocable en la vía de amparo.</w:t>
      </w:r>
    </w:p>
    <w:p w:rsidR="006854DA" w:rsidRDefault="006854DA" w:rsidP="006854DA">
      <w:pPr>
        <w:pStyle w:val="TextoNormal"/>
      </w:pPr>
      <w:r>
        <w:t>Este Tribunal Constitucional carece de jurisdicción para ello, dado que la indemnización que se pide tiende a conseguir el resarcimiento, la compensación o la reparación con carácter sustitutorio. Por tanto, no aparece comprendida entre los pronunciamientos que pueden y deben en su caso contener las sentencias de amparo y su declaración se defiere a la jurisdicción ordinaria en un caso particular (art. 58 LOTC) cuya ratio o razón de ser es extensible a la entera institución. En estas o en otras palabras lo hemos dicho en muchas ocasiones (SSTC 85/1990 y 139/1990 donde se citan otras: 37/1987, 50/1989 y 81/1981, así como el ATC 29/1983).</w:t>
      </w:r>
    </w:p>
    <w:p w:rsidR="006854DA" w:rsidRDefault="006854DA" w:rsidP="006854DA">
      <w:pPr>
        <w:pStyle w:val="TextoNormal"/>
      </w:pPr>
      <w:r>
        <w:t>Por otra parte, el derecho a la indemnización de los daños y perjuicios exige la concurrencia de una serie de factores. En el esquema de este concepto, el primero y principal de sus elementos estructurales es la lesión patrimonial equivalente por su contenido a cualquier daño o perjuicio, en la doble modalidad, clásica desde la antigua Roma, del lucro cesante o del daño emergente. Ahora bien, no es suficiente el menoscabo económico, factor material, sino que se requiere simultáneamente la concurrencia de otro factor cualificativo, consistente en que sea antijurídico y, por lo tanto, el afectado o la víctima no tenga el deber de soportarlo. En definitiva, la lesión se define como un daño ilegítimo. En otro plano ha de situarse el vínculo entre la lesión y el agente que la produce, entre el acto dañoso y la Administración que sea su autora y por tanto implica la necesidad de que pueda serle imputado o atribuido, en su actuación propia, como Poder y en el uso de sus potestades públicas.  Esta conexión, a su vez, puede contemplarse desde la perspectiva de la relación de causalidad entre el hecho o acto imputable y la lesión inferida. La determinación de esos elementos, salvo uno, ha de producirse en el plano de la legalidad y, por ello, es competencia privativa de los Jueces y Tribunales (o del Poder Judicial). A nosotros tan sólo nos corresponde aportar uno de estos componentes, la ilegitimidad, por derivar directamente, en este caso, de la transgresión de una norma de la Constitución donde se configura un derecho fundamental, o dicho en otras palabras, la calificación como "indebida" de la dilación. En este sentido ha de ser entendida nuestra conclusión de que cuando este Tribunal comprueba la existencia de dilaciones indebidas, su declaración puede servir de "título" para acreditar el funcionamiento anormal de la Administración de Justicia (STC 35/1994), como fundamento para el ejercicio de las acciones oportunas si los hubiere. El nuestro, no es, por tanto, un pronunciamiento simbólico, desprovisto de eficacia práctica, desde el momento en que constituye el presupuesto del derecho a la indemnización de daños y perjuicios, como indica nuestra Sentencia 36/1984.</w:t>
      </w:r>
    </w:p>
    <w:p w:rsidR="006854DA" w:rsidRDefault="006854DA" w:rsidP="006854DA">
      <w:pPr>
        <w:pStyle w:val="TextoNormal"/>
      </w:pPr>
      <w:r>
        <w:t>Bien es verdad que tan clara e inequívoca línea jurisprudencial, y consolidada como doctrina constitucional, parece haber sido quebrada por la Sala Primera de este Tribunal en una reciente Sentencia, la 180/1996, donde se reconoce al agraviado el derecho a ser indemnizado por el Estado, si bien condicionalmente , "en su caso", defiriendo por lo tanto la eficacia del pronunciamiento al Juez común, aun cuando no haya tal contradicción, como explicamos en nuestra STC 33/1997. Por lo dicho y en conclusión, nuestro pronunciamiento no ha de limitarse a declarar la existencia de dilaciones indebidas en menoscabo del derecho fundamental a una efectiva tutela judicial, sino que además debe contener las medidas conducentes a su cese y a la reanudación del procedimiento hasta su terminación.</w:t>
      </w:r>
    </w:p>
    <w:p w:rsidR="006854DA" w:rsidRDefault="006854DA" w:rsidP="006854DA">
      <w:pPr>
        <w:pStyle w:val="TextoNormal"/>
      </w:pPr>
    </w:p>
    <w:p w:rsidR="006854DA" w:rsidRDefault="006854DA" w:rsidP="006854DA">
      <w:pPr>
        <w:pStyle w:val="TextoNormalCentrado"/>
        <w:keepNext/>
      </w:pPr>
      <w:r>
        <w:lastRenderedPageBreak/>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en parte el presente recurso de amparo y, en consecuencia:</w:t>
      </w:r>
    </w:p>
    <w:p w:rsidR="006854DA" w:rsidRDefault="006854DA" w:rsidP="006854DA">
      <w:pPr>
        <w:pStyle w:val="TextoNormal"/>
      </w:pPr>
      <w:r>
        <w:t>1º Declarar que el derecho de la entidad recurrente a un proceso sin dilaciones indebidas ha sido vulnerado.</w:t>
      </w:r>
    </w:p>
    <w:p w:rsidR="006854DA" w:rsidRDefault="006854DA" w:rsidP="006854DA">
      <w:pPr>
        <w:pStyle w:val="TextoNormal"/>
      </w:pPr>
      <w:r>
        <w:t>2º Restablecerle en su derecho para lo cual el Juez de Primera Instancia núm.  1 de Martorell deberá adoptar las medidas conducentes para que cese la dilación y, por ello, enderezadas a que por el Secretario Judicial se proceda a la tasación de costas y liquidación de intereses, ordenada en la providencia de 11 de marzo de 1996.</w:t>
      </w:r>
    </w:p>
    <w:p w:rsidR="006854DA" w:rsidRDefault="006854DA" w:rsidP="006854DA">
      <w:pPr>
        <w:pStyle w:val="TextoNormal"/>
      </w:pPr>
      <w:r>
        <w:t>3º Desestimar el recurso en todo lo demás.</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dos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6" w:name="SENTENCIA_1997_110"/>
      <w:r>
        <w:lastRenderedPageBreak/>
        <w:t>SENTENCIA 110/1997, de 3 de junio de 1997</w:t>
      </w:r>
    </w:p>
    <w:bookmarkEnd w:id="26"/>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ECLI:ES:TC:1997:110</w:t>
      </w:r>
    </w:p>
    <w:p w:rsidR="006854DA" w:rsidRDefault="006854DA" w:rsidP="006854DA">
      <w:pPr>
        <w:pStyle w:val="SntesisDescriptiva"/>
      </w:pPr>
    </w:p>
    <w:p w:rsidR="006854DA" w:rsidRDefault="006854DA" w:rsidP="006854DA">
      <w:pPr>
        <w:pStyle w:val="SntesisDescriptiva"/>
      </w:pPr>
      <w:r>
        <w:t>Recurso de amparo 4.033/1995. Contra Sentencia de la Sala de lo Contencioso-Administrativo del T.S.J. de Madrid que estimó recurso contencioso-administrativo promovido por el Ayuntamiento de Madrid contra Resolución del Tribunal Económico- Administrativo Provincial de Madrid.</w:t>
      </w:r>
    </w:p>
    <w:p w:rsidR="006854DA" w:rsidRDefault="006854DA" w:rsidP="006854DA">
      <w:pPr>
        <w:pStyle w:val="SntesisDescriptiva"/>
      </w:pPr>
    </w:p>
    <w:p w:rsidR="006854DA" w:rsidRDefault="006854DA" w:rsidP="006854DA">
      <w:pPr>
        <w:pStyle w:val="SntesisAnaltica"/>
      </w:pPr>
      <w:r>
        <w:t>Supuesta vulneración del derecho a la tutela judicial efectiva: notificación llevada a cabo a "mandatario verbal".</w:t>
      </w:r>
    </w:p>
    <w:p w:rsidR="006854DA" w:rsidRDefault="006854DA" w:rsidP="006854DA">
      <w:pPr>
        <w:pStyle w:val="SntesisAnaltica"/>
      </w:pPr>
    </w:p>
    <w:p w:rsidR="006854DA" w:rsidRDefault="006854DA" w:rsidP="006854DA">
      <w:pPr>
        <w:pStyle w:val="Extracto"/>
      </w:pPr>
      <w:r>
        <w:t>1.</w:t>
      </w:r>
      <w:r>
        <w:tab/>
        <w:t>En el presente supuesto la situación ofrece ciertas características específicas, toda vez que en el domicilio obrante en autos de la recurrente se dejó por la correspondiente comisión judicial la oportuna notificación, compareciendo en el día indicado en la sede de la Sala de lo Contencioso-Administrativo del Tribunal Superior de Justicia de Cataluña, tal consta en las actuaciones, una persona llamada doña Marta Ferrer que aparece identificada por ella misma como «mandataria verbal» de la destinataria, a los efectos de que se procediera a la práctica de la diligencia de emplazamiento, cuyo anuncio se había producido en virtud de la notificación a la que se ha hecho referencia. Dicha diligencia de emplazamiento se llevó efectivamente a cabo en la persona de la indicada «mandataria verbal», debiéndose tener en tal caso como debidamente cumplimentados los requisitos procesales que al efecto se establecen en el art. 274 L.E.C., en relación con los arts. 267 y 268 y concordantes de la misma, preceptos que son de aplicación de manera supletoria al orden contencioso-administrativo conforme se especifica en la Disposición adicional sexta de la L.J.C.A. (SSTC 15/1996 y 13/1995) [F.J. 2].</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4.033/95, promovido por doña Marcela Bertrán Albacete, representada por el Procurador de los Tribunales don Antonio García Martínez, y asis</w:t>
      </w:r>
      <w:r>
        <w:lastRenderedPageBreak/>
        <w:t>tida por el Letrado don Víctor Manuel Seligrat Martínez contra la Sentencia de la Sala de lo Contencioso-Administrativo del Tribunal Superior de Justicia de Madrid, de fecha 17 de octubre de 1991, por el que se estima el recurso contencioso-administrativo núm. 184/89 promovido por el Ayuntamiento de Madrid, contra la Resolución del Tribunal Económico-Administrativo Provincial de Madrid de 16 de noviembre de 1987. Han comparecido el Abogado del Estado y el Ayuntamiento de Madrid, éste representado por el Procurador de los Tribunales don Eduardo Morales Price y dirigido por el Abogado doña Aurora Rivas Sas. Ha intervenido el Ministerio Fiscal. Ha sido ponente el Magistrado don Enrique Ruiz Vadillo,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de entrada en este Tribunal Constitucional el día 29 de noviembre de 1995 (presentado el 27 de noviembre en el Juzgado de Guardia de Madrid), don Antonio García Martínez, Procurador de los Tribunales y de doña Marcela Bertrán Albacete, interpone recurso de amparo contra la Sentencia de 17 de octubre de 1991 de la Sección Tercera de la Sala de lo Contencioso-Administrativo del Tribunal Superior de Justicia Madrid, dictada en el procedimiento contencioso-administrativo núm. 184/89.</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en que se basa la demanda de amparo son, sucintamente relatados, los siguientes: </w:t>
      </w:r>
    </w:p>
    <w:p w:rsidR="006854DA" w:rsidRDefault="006854DA" w:rsidP="006854DA">
      <w:pPr>
        <w:pStyle w:val="TextoNormal"/>
      </w:pPr>
      <w:r>
        <w:t xml:space="preserve">A) La demandante en amparo impugnó en reposición las liquidaciones del arbitrio de plusvalía giradas por el Ayuntamiento de Madrid. Contra la desestimación del citado recurso, se interpuso reclamación económico-administrativa que fue estimada parcialmente por Resolución del Tribunal Económico Administrativo Provincial de Madrid de 16 de noviembre de 1987. </w:t>
      </w:r>
    </w:p>
    <w:p w:rsidR="006854DA" w:rsidRDefault="006854DA" w:rsidP="006854DA">
      <w:pPr>
        <w:pStyle w:val="TextoNormal"/>
      </w:pPr>
      <w:r>
        <w:t xml:space="preserve">B) Dicha resolución fue impugnada posteriormente por el Ayuntamiento de Madrid en sede contenciosa -sin que según se expresa en la demanda, se hubiera emplazado al recurrente en la forma que establece la Ley de Enjuiciamiento Civil-, recurso contencioso-administrativo que fue estimado en Sentencia de 17 de octubre de 1991 de la Sección Tercera del referido orden jurisdiccional del citado Tribunal Superior de Justicia. </w:t>
      </w:r>
    </w:p>
    <w:p w:rsidR="006854DA" w:rsidRDefault="006854DA" w:rsidP="006854DA">
      <w:pPr>
        <w:pStyle w:val="TextoNormal"/>
      </w:pPr>
      <w:r>
        <w:t>C) Como consecuencia de dicha Sentencia el Ayuntamiento giró y notificó a la demandante en amparo las originarias liquidaciones del arbitrio de plusvalía; no satisfecha la deuda en período voluntario, se le requirió el pago del importe de la deuda tributaria mediante el procedimiento administrativo de apremio (1.017.008 ptas.).</w:t>
      </w:r>
    </w:p>
    <w:p w:rsidR="006854DA" w:rsidRDefault="006854DA" w:rsidP="006854DA">
      <w:pPr>
        <w:pStyle w:val="TextoNormal"/>
      </w:pPr>
    </w:p>
    <w:p w:rsidR="006854DA" w:rsidRDefault="006854DA" w:rsidP="006854DA">
      <w:pPr>
        <w:pStyle w:val="TextoNormal"/>
      </w:pPr>
      <w:r w:rsidRPr="006854DA">
        <w:rPr>
          <w:rStyle w:val="NumeroAFNegritaCaracter"/>
        </w:rPr>
        <w:t>3</w:t>
      </w:r>
      <w:r>
        <w:t>. La demandante de amparo estima que se le ha causado indefensión infractora del art. 24.1 C.E. al no habérsele emplazado en el proceso contencioso-administrativo instado por el Ayuntamiento de Madrid con las formalidades que, para garantía de las partes, exige la Sección Tercera del Título VI del Libro I de la L.E.C (arts. 261 y siguientes L.E.C.). Según expresa la demanda, el citado emplazamiento se habría entendido con una persona distinta de la demandada y desconocida por ésta, sin que, como requiere la Ley procesal para estas hipótesis, se hayan hecho constar expresamente ciertos extremos: la relación de dicha persona con la destinataria de la notificación; su domicilio, ocupación y estado civil; la obligación que tiene de entregar la cédula a su destinatario; la declaración de estar ausente el emplazado; la hora de la diligencia y la identificación del actuario.</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4</w:t>
      </w:r>
      <w:r>
        <w:t>. Por providencia de 26 de febrero de 1996 con carácter previo a la admisión del recurso de amparo se acordó requerir a la Sección Tercera de la Sala de lo Contencioso-Administrativo del Tribunal Superior de Justicia de Madrid para que, en el plazo de diez días, remitiera testimonio del recurso 184/89.</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22 de abril de 1996 se tuvo por recibido el testimonio solicitado a la referida Sección Tercera, y toda vez que no aparecía en el mismo el emplazamiento de la recurrente, se acordó con carácter previo a la admisión conforme al art. 88 LOTC. requerir a dicha Sala para que en el plazo de diez días remitiera testimonio de dicho emplazamiento.</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9 de septiembre de 1996, la Sección Segunda de la Sala Primera de este Tribunal acordó admitir a trámite el recurso de amparo y dirigir comunicación a la Sección Tercera de la Sala de lo Contencioso-Administrativo del Tribunal Superior de Justicia de Madrid para que, en el plazo de diez días, emplazara a quienes hubieran sido parte en el proceso de que trae causa la presente litis.</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providencia de la misma fecha la Sección Segunda acordó formar la oportuna pieza separada de suspensión y, conforme a lo dispuesto en el art. 56 LOTC, conceder un plazo común de tres días al Ministerio Fiscal y al solicitante de amparo para que dentro de dicho término alegaran lo que estimasen pertinente en relación con la petición de suspensión interesada.</w:t>
      </w:r>
    </w:p>
    <w:p w:rsidR="006854DA" w:rsidRDefault="006854DA" w:rsidP="006854DA">
      <w:pPr>
        <w:pStyle w:val="TextoNormal"/>
      </w:pPr>
    </w:p>
    <w:p w:rsidR="006854DA" w:rsidRDefault="006854DA" w:rsidP="006854DA">
      <w:pPr>
        <w:pStyle w:val="TextoNormal"/>
      </w:pPr>
      <w:r w:rsidRPr="006854DA">
        <w:rPr>
          <w:rStyle w:val="NumeroAFNegritaCaracter"/>
        </w:rPr>
        <w:t>8</w:t>
      </w:r>
      <w:r>
        <w:t>. Mediante sendos escritos de 13 de septiembre de 1996 la recurrente en amparo y el Ministerio Fiscal presentaron sus alegaciones en el incidente de suspensión; aquella, reiterando lo expuesto en su escrito de demanda, consideró que la no suspensión de la resolución recurrida le causaría un perjuicio irreparable, y manifestando por el contrario el Ministerio Fiscal su oposición al otorgamiento de la suspensión instada de la Sentencia impugnada al tratarse de una resolución con efectos meramente económicos y, por tanto, resarcibles, que en ningún caso se puede estimar causarían un perjuicio irreparable a la demandante de amparo.</w:t>
      </w:r>
    </w:p>
    <w:p w:rsidR="006854DA" w:rsidRDefault="006854DA" w:rsidP="006854DA">
      <w:pPr>
        <w:pStyle w:val="TextoNormal"/>
      </w:pPr>
    </w:p>
    <w:p w:rsidR="006854DA" w:rsidRDefault="006854DA" w:rsidP="006854DA">
      <w:pPr>
        <w:pStyle w:val="TextoNormal"/>
      </w:pPr>
      <w:r w:rsidRPr="006854DA">
        <w:rPr>
          <w:rStyle w:val="NumeroAFNegritaCaracter"/>
        </w:rPr>
        <w:t>9</w:t>
      </w:r>
      <w:r>
        <w:t>. Por Auto de 14 de octubre de 1996, la Sala Primera de este Tribunal acordó denegar la suspensión solicitada.</w:t>
      </w:r>
    </w:p>
    <w:p w:rsidR="006854DA" w:rsidRDefault="006854DA" w:rsidP="006854DA">
      <w:pPr>
        <w:pStyle w:val="TextoNormal"/>
      </w:pPr>
    </w:p>
    <w:p w:rsidR="006854DA" w:rsidRDefault="006854DA" w:rsidP="006854DA">
      <w:pPr>
        <w:pStyle w:val="TextoNormal"/>
      </w:pPr>
      <w:r w:rsidRPr="006854DA">
        <w:rPr>
          <w:rStyle w:val="NumeroAFNegritaCaracter"/>
        </w:rPr>
        <w:t>10</w:t>
      </w:r>
      <w:r>
        <w:t>. Por providencia de 7 de octubre de 1996 se tuvo por personado al Abogado del Estado, concediéndose un plazo de veinte días al Ministerio Fiscal, al Abogado del Estado y a la recurrente en amparo para que en el expresado término formularan las alegaciones que a su derecho convinieran.</w:t>
      </w:r>
    </w:p>
    <w:p w:rsidR="006854DA" w:rsidRDefault="006854DA" w:rsidP="006854DA">
      <w:pPr>
        <w:pStyle w:val="TextoNormal"/>
      </w:pPr>
    </w:p>
    <w:p w:rsidR="006854DA" w:rsidRDefault="006854DA" w:rsidP="006854DA">
      <w:pPr>
        <w:pStyle w:val="TextoNormal"/>
      </w:pPr>
      <w:r w:rsidRPr="006854DA">
        <w:rPr>
          <w:rStyle w:val="NumeroAFNegritaCaracter"/>
        </w:rPr>
        <w:t>11</w:t>
      </w:r>
      <w:r>
        <w:t xml:space="preserve">. El Abogado del Estado por escrito de 22 de octubre de 1996 realizó las siguientes manifestaciones : </w:t>
      </w:r>
    </w:p>
    <w:p w:rsidR="006854DA" w:rsidRDefault="006854DA" w:rsidP="006854DA">
      <w:pPr>
        <w:pStyle w:val="TextoNormal"/>
      </w:pPr>
      <w:r>
        <w:t>1). No puede considerarse indebidamente dilatoria la conducta de la recurrente al pedir la notificación formal de la Sentencia, pues sólo así quedaba asegurado el íntegro e indudable conocimiento de la resolución judicial dictada. Por lo tanto, el plazo del amparo debe tomar como fecha relevante la de notificación de la Sentencia, y la demanda fue presen</w:t>
      </w:r>
      <w:r>
        <w:lastRenderedPageBreak/>
        <w:t xml:space="preserve">tada en el Juzgado de guardia el último día de plazo. El amparo se ha promovido, pues, tempestivamente. </w:t>
      </w:r>
    </w:p>
    <w:p w:rsidR="006854DA" w:rsidRDefault="006854DA" w:rsidP="006854DA">
      <w:pPr>
        <w:pStyle w:val="TextoNormal"/>
      </w:pPr>
      <w:r>
        <w:t xml:space="preserve">2). Con arreglo a la STC 15/1996, fundamento jurídico 2º, una interpretación conforme a la Constitución de la regulación de la audiencia al rebelde conduce a aceptar su viabilidad para atender las pretensiones de rescisión de sentencias firmes por haberse desarrollado el proceso sin intervención del demandado, siempre que ello constituya un supuesto de indefensión, lo mismo si ha existido un emplazamiento válido, como si la indefensión está causada directamente por la irregularidad del emplazamiento realizado por el Juzgado o Tribunal. En este sentido, la Ley Procesal Civil es supletoria de la Ley de la Jurisdicción Contencioso-Administrativa (en lo sucesivo L.J.C.A.) (Disposición adicional Sexta) lo que, como también sugiere el fundamento jurídico 2º de la STC 15/1996, con cita de la STC 134/1995, hace aplicable en lo contencioso- administrativo la doctrina constitucional que acabamos de recordar. </w:t>
      </w:r>
    </w:p>
    <w:p w:rsidR="006854DA" w:rsidRDefault="006854DA" w:rsidP="006854DA">
      <w:pPr>
        <w:pStyle w:val="TextoNormal"/>
      </w:pPr>
      <w:r>
        <w:t xml:space="preserve">De acuerdo con la misma procedería promover la "audiencia al rebelde" para la rescisión de la Sentencia del Tribunal Superior de Justicia de Madrid, Sección Tercera de su Sala de lo Contencioso-Administrativo, de 17 de octubre de 1991, recurso 184/89. Sin que quepa oponer la expiración del plazo de la "audiencia al rebelde", pues ni consta que la indicada Sentencia fuera publicada en el correspondiente periódico oficial (art. 776.1 L.E.C.), ni, por otra parte, parece que la fecha de publicación haya de ser día inicial del plazo en los casos en que se aplique la audiencia al rebelde en virtud de su "extensión constitucional" a supuestos de omisión o irregularidad en el emplazamiento. En estos casos, el día inicial habrá de ser aquél en que conste que el interesado tuvo conocimiento suficiente de haberse dictado la Sentencia inaudita parte. </w:t>
      </w:r>
    </w:p>
    <w:p w:rsidR="006854DA" w:rsidRDefault="006854DA" w:rsidP="006854DA">
      <w:pPr>
        <w:pStyle w:val="TextoNormal"/>
      </w:pPr>
      <w:r>
        <w:t xml:space="preserve">No procede, pues, tener por agotada la vía judicial previa [art. 44.1 a) LOTC], lo que en el presente momento constituye causa de denegación del amparo. Pero, puesto que este recurso constitucional se interpuso con anterioridad a la publicación de la STC 15/1996, efectuada en el suplemento al B.O.E. de 2 de marzo de 1996, procede decidir que el plazo para instar la audiencia al rebelde deberá ser contado desde la notificación de la sentencia que ponga fin al presente amparo constitucional. </w:t>
      </w:r>
    </w:p>
    <w:p w:rsidR="006854DA" w:rsidRDefault="006854DA" w:rsidP="006854DA">
      <w:pPr>
        <w:pStyle w:val="TextoNormal"/>
      </w:pPr>
      <w:r>
        <w:t xml:space="preserve">3). Subsidiariamente a la causa de inadmisibilidad, como en otras ocasiones en que el amparo queda incluido en la esfera del art. 44 LOTC, el interés bien entendido de la Administración es no tanto defender una resolución judicial que, aun cuando fuera favorable a la Administración (la Sentencia que nos ocupa es favorable al Ayuntamiento de Madrid, pero contraria a la Administración General del Estado en la que se encuadran los Tribunales Económico-administrativos), resulte claramente viciada por la lesión de algún derecho del art. 24 C.E., cuanto colaborar en una aplicación de reglas procesales exenta de lesiones de los derechos del art. 24 C.E., que beneficia también a la Administración en cuanto parte procesal. </w:t>
      </w:r>
    </w:p>
    <w:p w:rsidR="006854DA" w:rsidRDefault="006854DA" w:rsidP="006854DA">
      <w:pPr>
        <w:pStyle w:val="TextoNormal"/>
      </w:pPr>
      <w:r>
        <w:t>El emplazamiento de doña Marcela Bertrán Albacete se hizo de manera irregular, pues se efectuó en la persona de una supuesta "mandataria verbal" doña Marta Ferrer Cerca de la que sólo se consigna el número del documento nacional de identidad. No aparecen cumplidas las prevenciones de los arts. 267 y 268 L.E.C., aplicables a los emplazamientos con arreglo al art. 270 L.E.C. Y no es sólo que el emplazamiento sea procesalmente nulo (art. 279 L.E.C), sino que se carece de razones para negar que con el irregular emplazamiento se ha causado auténtica indefensión material a la Sra. Bertrán Albacete. Así pues, ha de estimarse lesionado el derecho a la tutela judicial efectiva sin indefensión (art. 24.1 C.E).</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12</w:t>
      </w:r>
      <w:r>
        <w:t xml:space="preserve">. Por el Ministerio Fiscal, mediante escrito de 7 de noviembre de 1996, se efectuaron las siguientes manifestaciones: </w:t>
      </w:r>
    </w:p>
    <w:p w:rsidR="006854DA" w:rsidRDefault="006854DA" w:rsidP="006854DA">
      <w:pPr>
        <w:pStyle w:val="TextoNormal"/>
      </w:pPr>
      <w:r>
        <w:t xml:space="preserve">A) Recuerda la doctrina de este Tribunal acerca de la necesidad de los emplazamientos personales, las ocasiones en que basta con los edictales, los requisitos que deben cumplirse para una interpretación acorde con la Constitución del artículo 64 de la Ley de la Jurisdicción Contencioso-Administrativa, es ya muy amplia, citando a título de ejemplo la STC 90/1996 (fundamento jurídico 2º) </w:t>
      </w:r>
    </w:p>
    <w:p w:rsidR="006854DA" w:rsidRDefault="006854DA" w:rsidP="006854DA">
      <w:pPr>
        <w:pStyle w:val="TextoNormal"/>
      </w:pPr>
      <w:r>
        <w:t xml:space="preserve">B) Que en el caso de autos la recurrente no ha sido emplazada personalmente es algo fuera de toda duda. Independientemente de cuál fuera la causa, lo cierto es que se emplazó a una persona distinta y sin conexión aparente alguna con la interesada, que -al parecer- afirmó ser su mandataria verbal. La falta de datos identificativos suficientes de tal persona evidencia una negligencia de los poderes públicos que, en principio, apunta hacia el otorgamiento del amparo. </w:t>
      </w:r>
    </w:p>
    <w:p w:rsidR="006854DA" w:rsidRDefault="006854DA" w:rsidP="006854DA">
      <w:pPr>
        <w:pStyle w:val="TextoNormal"/>
      </w:pPr>
      <w:r>
        <w:t xml:space="preserve">C) Ahora bien, existe una circunstancia que no puede perderse de vista: sin duda existió también una actitud indiligente de la solicitante de amparo. Ella conocía perfectamente -dado que la interpuso personalmente- la existencia de una reclamación económico-administrativa de plusvalía municipal, contra la liquidación de dicho arbitrio. El Ayuntamiento de Madrid había sido parte en tal reclamación, no era improbable que recurriera una resolución que le era adversa. </w:t>
      </w:r>
    </w:p>
    <w:p w:rsidR="006854DA" w:rsidRDefault="006854DA" w:rsidP="006854DA">
      <w:pPr>
        <w:pStyle w:val="TextoNormal"/>
      </w:pPr>
      <w:r>
        <w:t xml:space="preserve">D) Todas estas circunstancias eran conocidas por la actora, que sin embargo se inhibió de la posible apertura de la vía contencioso-administrativa contra la resolución del Tribunal Económico-Administrativo. Nos encontramos, pues, ante la concurrencia de dos actuaciones indiligentes: la de los poderes públicos y la de la hoy demandante. </w:t>
      </w:r>
    </w:p>
    <w:p w:rsidR="006854DA" w:rsidRDefault="006854DA" w:rsidP="006854DA">
      <w:pPr>
        <w:pStyle w:val="TextoNormal"/>
      </w:pPr>
      <w:r>
        <w:t xml:space="preserve">E) En un supuesto que presenta cierta similitud con el de autos, este Tribunal denegó el amparo, con los siguientes argumentos (ATC 335/1989):"Como recuerda el Ministerio Fiscal, es reiterada doctrina de este Tribunal que la falta de emplazamiento personal es una infracción que sólo produce lesión constitucional cuando, pese a haber mantenido el ciudadano una actitud diligente, se ve colocado en una situación de indefensión. </w:t>
      </w:r>
    </w:p>
    <w:p w:rsidR="006854DA" w:rsidRDefault="006854DA" w:rsidP="006854DA">
      <w:pPr>
        <w:pStyle w:val="TextoNormal"/>
      </w:pPr>
      <w:r>
        <w:t xml:space="preserve">En el presente caso resulta manifiesta la falta de diligencia de la entidad recurrente. En efecto, la propia actora reconoce que se le notificó la interposición del recurso de reposición contra la concesión de licencia en favor de la misma, pese a lo cual, ésta no se personó en el procedimiento administrativo, ni formuló alegación alguna, desentendiéndose así de las posibles consecuencias negativas que la impugnación pudiera acarrearle. Como ha ya declarado este Tribunal en un supuesto similar, 'no puede alegarse indefensión cuando los afectados directamente por un acto administrativo se desinteresan de la posible ilegalidad del mismo, lo que constituye una actitud indiligente que impide alegar con posterioridad indefensión por falta de emplazamiento personal en el procedimiento Contencioso- Administrativo (STC 82/1987). A lo dicho cabe añadir finalmente que el hecho de que la licencia objeto de impugnación se otorgara en precario podría explicar, acaso, la falta de alegaciones en la vía administrativa, pero no justificar la total indiferencia hacia el resultado de esa impugnación y sus posteriores consecuencias'". </w:t>
      </w:r>
    </w:p>
    <w:p w:rsidR="006854DA" w:rsidRDefault="006854DA" w:rsidP="006854DA">
      <w:pPr>
        <w:pStyle w:val="TextoNormal"/>
      </w:pPr>
      <w:r>
        <w:t xml:space="preserve">F) No obstante, la doctrina posterior del Tribunal se ha mostrado más favorable a no imponer la carga de seguir las hipotéticas vicisitudes procesales de una resolución que se cree firme, y cuya impugnación debe por imperativo legal ser notificada personalmente a la afectada (STC 70/1994). </w:t>
      </w:r>
    </w:p>
    <w:p w:rsidR="006854DA" w:rsidRDefault="006854DA" w:rsidP="006854DA">
      <w:pPr>
        <w:pStyle w:val="TextoNormal"/>
      </w:pPr>
      <w:r>
        <w:t>G) La aplicación de la anterior doctrina lleva derechamente al amparo, pues sin duda era un derecho de la actora ser emplazada personalmente en un proceso contencioso- administrativo que afectaba directamente a sus intereses, y en cuyo expediente administrati</w:t>
      </w:r>
      <w:r>
        <w:lastRenderedPageBreak/>
        <w:t xml:space="preserve">vo constaba su domicilio. Sólo el incumplimiento de las exigencias del art.64 de la Ley de la Jurisdicción Contencioso-Administrativa por parte de los poderes públicos encargados de la notificación fue el causante de la situación de indefensión de la recurrente, que no puede sino calificarse de material, pues se ha dictado una Sentencia contraria a sus intereses sin ninguna audiencia ni intervención por su parte. </w:t>
      </w:r>
    </w:p>
    <w:p w:rsidR="006854DA" w:rsidRDefault="006854DA" w:rsidP="006854DA">
      <w:pPr>
        <w:pStyle w:val="TextoNormal"/>
      </w:pPr>
      <w:r>
        <w:t>H) El amparo, pues, debe prosperar, a juicio del Ministerio Fiscal. Y su alcance -art.55.1 LOTC- no debe ser otro que la anulación de la Sentencia impugnada, para que se retrotraigan las actuaciones al momento en que la solicitante de amparo debió ser citada personalmente.</w:t>
      </w:r>
    </w:p>
    <w:p w:rsidR="006854DA" w:rsidRDefault="006854DA" w:rsidP="006854DA">
      <w:pPr>
        <w:pStyle w:val="TextoNormal"/>
      </w:pPr>
    </w:p>
    <w:p w:rsidR="006854DA" w:rsidRDefault="006854DA" w:rsidP="006854DA">
      <w:pPr>
        <w:pStyle w:val="TextoNormal"/>
      </w:pPr>
      <w:r w:rsidRPr="006854DA">
        <w:rPr>
          <w:rStyle w:val="NumeroAFNegritaCaracter"/>
        </w:rPr>
        <w:t>13</w:t>
      </w:r>
      <w:r>
        <w:t>. La representación procesal de la recurrente en amparo por escrito de 7 de noviembre de 1996, se ratificó en las alegaciones llevadas a cabo en anteriores escritos.</w:t>
      </w:r>
    </w:p>
    <w:p w:rsidR="006854DA" w:rsidRDefault="006854DA" w:rsidP="006854DA">
      <w:pPr>
        <w:pStyle w:val="TextoNormal"/>
      </w:pPr>
    </w:p>
    <w:p w:rsidR="006854DA" w:rsidRDefault="006854DA" w:rsidP="006854DA">
      <w:pPr>
        <w:pStyle w:val="TextoNormal"/>
      </w:pPr>
      <w:r w:rsidRPr="006854DA">
        <w:rPr>
          <w:rStyle w:val="NumeroAFNegritaCaracter"/>
        </w:rPr>
        <w:t>14</w:t>
      </w:r>
      <w:r>
        <w:t>. Por providencia de 18 de noviembre de 1996 se declararon evacuados los trámites de alegaciones concedidos. Asimismo se tuvo por personado a don Eduardo Morales Price, Procurador de los Tribunales, en nombre y representación del Ayuntamiento de Madrid, dándosele vista de las actuaciones del presente recurso a los efectos de que en el plazo de veinte días efectuase las alegaciones que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15</w:t>
      </w:r>
      <w:r>
        <w:t xml:space="preserve">. Por escrito de 16 de diciembre de 1996, la representación procesal del Ayuntamiento de Madrid efectuó las siguientes alegaciones: </w:t>
      </w:r>
    </w:p>
    <w:p w:rsidR="006854DA" w:rsidRDefault="006854DA" w:rsidP="006854DA">
      <w:pPr>
        <w:pStyle w:val="TextoNormal"/>
      </w:pPr>
      <w:r>
        <w:t xml:space="preserve">A) Como motivo del presente recurso se alega la vulneración del derecho a obtener la tutela judicial efectiva consagrada en el art 24.1 de la Constitución Española al realizarse defectuosamente el emplazamiento de doña Marcela Bertrán Albacete por el Tribunal Superior de Justicia de Madrid lo que, se dice, trajo como consecuencia que la interesada no pudiera personarse en el recurso contencioso administrativo núm. 184/89 interpuesto por el Ayuntamiento de Madrid contra la Resolución del Tribunal Económico Administrativo Provincial de Madrid (T.E.A.P.) el 16 de noviembre de 1987 que estimó en parte la reclamación económico-administrativa núm. 639/86 promovida contra liquidaciones giradas por plusvalía y por tanto fue la causa de la indefensión esgrimida al privarse a la contribuyente de un trámite esencial para su defensa. </w:t>
      </w:r>
    </w:p>
    <w:p w:rsidR="006854DA" w:rsidRDefault="006854DA" w:rsidP="006854DA">
      <w:pPr>
        <w:pStyle w:val="TextoNormal"/>
      </w:pPr>
      <w:r>
        <w:t>B) Sin embargo basta examinar la documentación obrante en las presentes actuaciones para comprobar la falta absoluta de fundamento de la expresada alegación. En efecto, mediante exhorto de fecha 20 de febrero de 1991, la Sección Tercera de la Sala de lo Contencioso-Administrativo del Tribunal Superior de Justicia de Madrid encarga al Tribunal Superior de Justicia de Cataluña que procediera a la notificación y emplazamiento mediante entrega de la resolución que se adjuntaba al citado exhorto a doña Marcela Bertrán Albacete con domicilio en la Calle de las Escuelas Pias, núm. 84 de Barcelona. Mediante providencia de 5 de marzo de 1991 el Tribunal Superior de Justicia de Cataluña tuvo por recibido el repetido exhorto, y procedió a su cumplimiento mediante cédula de citación de 5 de marzo de 1991, a doña Marcela Bertrán en su domicilio para ser emplazada efectivamente, en la sede del Tribunal notificándosele también la liquidación practicada, en ejecución de Sentencia, que es recibida por la interesada en fecha 5 de abril de 1995. El 20 de marzo 1991 el Tribunal Superior de Justicia de Cataluña notifica el anterior proveído a doña Marta Ferrer Cerca, con D.N.I. núm. 37276019, en su calidad de mandataria, quien lógicamente compareció ante el referido Tribunal porque así se lo había encomendado doña María Bertrán Albacete que era la única persona que conocía la existencia de la cé</w:t>
      </w:r>
      <w:r>
        <w:lastRenderedPageBreak/>
        <w:t>dula de citación de 5 de marzo de 1991 ya que nadie más pudo recibirla puesto que iba dirigida a su nombre y a su domicilio, sin error alguno, afirmándolo así la representación del Ayuntamiento de Madrid. Carece, por tanto, continua indicando dicha parte procesal, de la mínima credibilidad la alegación de que la recurrente, desconoce quien es doña Marta Ferrer Cerca y en cualquier caso, si efectivamente dicha mandataria, plenamente identificada, le hubiera ocasionado con su actuación algún perjuicio que no tuviera la obligación de soportar puesto que siempre habría tenido la hoy recurrente abierta la posibilidad de dirigirse contra ella, lo que obviamente no ha hecho, pero, en modo alguno, es el Tribunal Superior de Justicia de Madrid quien ha de ser tachado de haber realizado una actuación defectuosa en relación en el emplazamiento efectuado ya que dicho Tribunal observó rigurosamente todos los trámites precisos para poner en conocimiento de la interesada la existencia de ese asunto de su interés y, a la vista, de las actuaciones obrantes en el presente recurso cabe afirmar sin reservas que fue la propia interesada la que encomendó a la mandataria el encargo de recoger los documentos a que hace referencia la cédula de notificación de 5 de marzo de 1991 que no adolece del mínimo error. En definitiva, no se ha producido la indefensión invocada de adverso ni violación alguna del art. 24.1 C.E. ya que la recurrente tuvo noticias del recurso interpuesto por el Ayuntamiento y si no compareció personándose en el mismo lo fue por voluntad propia y no por un presunto defecto en la actuación del Tribunal Superior de Justicia de Madrid que tal y como se ha expresado respeta escrupulosamente los trámites establecidos a efectos del emplazamiento de las partes interesadas en el citado contencioso.</w:t>
      </w:r>
    </w:p>
    <w:p w:rsidR="006854DA" w:rsidRDefault="006854DA" w:rsidP="006854DA">
      <w:pPr>
        <w:pStyle w:val="TextoNormal"/>
      </w:pPr>
    </w:p>
    <w:p w:rsidR="006854DA" w:rsidRDefault="006854DA" w:rsidP="006854DA">
      <w:pPr>
        <w:pStyle w:val="TextoNormal"/>
      </w:pPr>
      <w:r w:rsidRPr="006854DA">
        <w:rPr>
          <w:rStyle w:val="NumeroAFNegritaCaracter"/>
        </w:rPr>
        <w:t>16</w:t>
      </w:r>
      <w:r>
        <w:t>. Por providencia de 2 de junio de 1997, se señaló para la deliberación y votación de la presente Sentencia el día 3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Una vez más se plantea ante este Tribunal el problema de la validez y eficacia de los actos procesales de comunicación consistentes en el emplazamiento o la citación de quienes sean parte en un juicio, en orden a los requisitos exigibles a los efectos del derecho a no sufrir indefensión. En este orden de cosas la doctrina de este Tribunal viene manifestando que el art.  24.1 C.E. contiene un mandato implícito al legislador y al intérprete, consistente en promover la defensa en la medida de lo posible mediante la correspondiente contradicción. Mandato que conduce a establecer el emplazamiento personal de los que hayan de comparecer como codemandados -e incluso coadyuvantes- siempre que ello resulte factible, como puede ser cuando sean conocidos o identificables a partir de los datos que se deduzcan del escrito de interposición, de las actuaciones judiciales o incluso del expediente administrativo previo. En este sentido, entre otras muchas, la STC 90/1996 y muy en concreto sobre la indefensión debida a los actos procesales de comunicación la STC 71/1981 (fundamentos jurídicos 2º y 3º).</w:t>
      </w:r>
    </w:p>
    <w:p w:rsidR="006854DA" w:rsidRDefault="006854DA" w:rsidP="006854DA">
      <w:pPr>
        <w:pStyle w:val="TextoNormal"/>
      </w:pPr>
      <w:r>
        <w:t xml:space="preserve">Por ello, el incumplimiento de esta obligación de emplazamiento personal que el art.24 C.E.  impone a los órganos jurisdiccionales y que, tras la reforma operada por la Ley 10/1992 también se exige a la Administración autora del acto o disposición impugnados, no implica por sí sola una indefensión material contraria al citado derecho fundamental. Para que la falta de emplazamiento personal ocasione una indefensión constitucionalmente relevante es necesario, además, que el demandante de amparo actúe con la debida diligencia y que no tuviese conocimiento extraprocesal de la existencia del litigio, pues no puede </w:t>
      </w:r>
      <w:r>
        <w:lastRenderedPageBreak/>
        <w:t>sostener una pretensión constitucional de indefensión quien, con su actitud pasiva y negligente, coadyuvó a su producción al no comparecer en el proceso pese a tener conocimiento de su existencia por cauces distintos al de su emplazamiento personal (SSTC 65/1994 y 105/1995, 155/1995, entre otras muchas).</w:t>
      </w:r>
    </w:p>
    <w:p w:rsidR="006854DA" w:rsidRDefault="006854DA" w:rsidP="006854DA">
      <w:pPr>
        <w:pStyle w:val="TextoNormal"/>
      </w:pPr>
    </w:p>
    <w:p w:rsidR="006854DA" w:rsidRDefault="006854DA" w:rsidP="006854DA">
      <w:pPr>
        <w:pStyle w:val="TextoNormal"/>
      </w:pPr>
      <w:r w:rsidRPr="006854DA">
        <w:rPr>
          <w:rStyle w:val="NumeroAFNegritaCaracter"/>
        </w:rPr>
        <w:t>2</w:t>
      </w:r>
      <w:r>
        <w:t>. En este caso, denunciada la vulneración del art.24.1 C.E., por la existencia de un emplazamiento irregular, es preciso delimitar, en primer término, si la demandante de amparo debía ser efectivamente emplazada y si la misma se encontraba en este orden de cosas debidamente identificada. Del examen de las presentes actuaciones hay que deducir que las respuestas a las cuestiones suscitadas tienen que ser necesariamente afirmativas, teniendo en cuenta la posición procesal de codemandada que ocupa en las actuaciones y que tanto sus datos identificadores, como su domicilio constaban expresamente en las actuaciones judiciales que han determinado el presente recurso de amparo.</w:t>
      </w:r>
    </w:p>
    <w:p w:rsidR="006854DA" w:rsidRDefault="006854DA" w:rsidP="006854DA">
      <w:pPr>
        <w:pStyle w:val="TextoNormal"/>
      </w:pPr>
      <w:r>
        <w:t>En segundo término, debe analizarse si el emplazamiento se llevó a cabo de manera personal y adecuadamente para que llegara a conocimiento de la destinataria del mismo. En el presente supuesto la situación ofrece ciertas características específicas, toda vez que en el domicilio obrante en autos de la recurrente se dejó por la correspondiente comisión judicial la oportuna notificación, compareciendo el día 20 de marzo de 1991 en la sede de la Sala de lo Contencioso-Administrativo del Tribunal Superior de Justicia de Cataluña, tal consta en las actuaciones, una persona llamada doña Marta Ferrer que aparece identificada por ella misma como "mandataria verbal" de la destinataria, a los efectos de que se procediera a la práctica de la diligencia de emplazamiento, cuyo anuncio se había producido en virtud de la notificación a la que se ha hecho referencia. Dicha diligencia de emplazamiento se llevó efectivamente a cabo en la persona de la indicada "mandataria verbal", debiéndose tener en tal caso como debidamente cumplimentados los requisitos procesales que al efecto se establecen en el 274 L.E.C., en relación con los arts.  267 y 268 y concordantes de la misma, preceptos que son de aplicación de manera supletoria al orden contencioso- administrativo conforme se especifica en la Disposición Adicional sexta de la L.J.C.A. (SSTC 15/1996 y 134/1995).</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Efectuadas las anteriores consideraciones, es evidente que las reglas más elementales de la lógica permiten inferir que, en efecto, doña Marta Ferrer se encontraba vinculada con doña Marcela Bertrán Albacete por el mandato consistente en la práctica en su persona de la diligencia de emplazamiento que oportunamente le había sido notificada a ésta, pues de otro modo no se alcanza a comprender la presencia de doña Marta Ferrer en la indicada sede judicial como tal mandataria verbal de la recurrente, si no es actuando aquella personal y jurídicamente como tal mandataria verbal, por ello, con las exigencias propias de tal vinculación, a consecuencia de las cuales venía obligada necesariamente no sólo a cumplir dicho encargo, si no a dar cuenta de las operaciones, actos o gestiones realizadas como tal mandataria, es decir, de la diligencia de emplazamiento llevada a cabo en su persona, a la ahora recurrente como mandante que era de ella, de lo que finalmente cabe deducir el conocimiento suficiente que doña Marcela Bertrán Albacete tenía y ha tenido de la existencia del recurso contencioso- administrativo origen del presente amparo, lo que le hubiera permitido la pretendida efectividad de la tutela judicial cuya quiebra se denuncia, mediante el ejercicio adecuado de su derecho de comparecencia y de defensa, no existiendo, en definitiva, como ha quedado dicho, la alegada situación de indefensión con quiebra del derecho fundamental, pues si la misma se produjo, tal indefensión fue propiciada voluntariamente por la recurrente ante su evidente falta de actuación en el procedimiento </w:t>
      </w:r>
      <w:r>
        <w:lastRenderedPageBreak/>
        <w:t>judicial, pese a tener noticia y conocimiento bastante de su existencia en virtud de la diligencia de emplazamiento practicada.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tres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7" w:name="SENTENCIA_1997_111"/>
      <w:r>
        <w:lastRenderedPageBreak/>
        <w:t>SENTENCIA 111/1997, de 3 de junio de 1997</w:t>
      </w:r>
    </w:p>
    <w:bookmarkEnd w:id="27"/>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ECLI:ES:TC:1997:111</w:t>
      </w:r>
    </w:p>
    <w:p w:rsidR="006854DA" w:rsidRDefault="006854DA" w:rsidP="006854DA">
      <w:pPr>
        <w:pStyle w:val="SntesisDescriptiva"/>
      </w:pPr>
    </w:p>
    <w:p w:rsidR="006854DA" w:rsidRDefault="006854DA" w:rsidP="006854DA">
      <w:pPr>
        <w:pStyle w:val="SntesisDescriptiva"/>
      </w:pPr>
      <w:r>
        <w:t>Recurso de amparo 1.090/1996. Contra Sentencia de la Sala de lo Contencioso-Administrativo del T.S.J. de Andalucía, con sede en Sevilla, que desestimó la pretensión impugnatoria del actor frente a una Resolución de la Dirección General de Policía por el que se le denegaba su solicitud de abono de determinadas dietas devengadas por la realización de trabajos extraordinarios.</w:t>
      </w:r>
    </w:p>
    <w:p w:rsidR="006854DA" w:rsidRDefault="006854DA" w:rsidP="006854DA">
      <w:pPr>
        <w:pStyle w:val="SntesisDescriptiva"/>
      </w:pPr>
    </w:p>
    <w:p w:rsidR="006854DA" w:rsidRDefault="006854DA" w:rsidP="006854DA">
      <w:pPr>
        <w:pStyle w:val="SntesisAnaltica"/>
      </w:pPr>
      <w:r>
        <w:t>Supuesta vulneración del derecho a la tutela judicial efectiva: rechazo implícito de la argumentación del recurrente.</w:t>
      </w:r>
    </w:p>
    <w:p w:rsidR="006854DA" w:rsidRDefault="006854DA" w:rsidP="006854DA">
      <w:pPr>
        <w:pStyle w:val="SntesisAnaltica"/>
      </w:pPr>
    </w:p>
    <w:p w:rsidR="006854DA" w:rsidRDefault="006854DA" w:rsidP="006854DA">
      <w:pPr>
        <w:pStyle w:val="Extracto"/>
      </w:pPr>
      <w:r>
        <w:t>1.</w:t>
      </w:r>
      <w:r>
        <w:tab/>
        <w:t>Aunque lo que el recurrente achaca a la Sentencia recurrida es un vicio de incongruencia omisiva en sentido estricto, en cuanto entiende ha dejado sin respuesta una de las dos pretensiones deducidas en su demanda, lo que viene a plantear, más bien, es uno de esos casos que algunas Sentencias denominan de incongruencia por error, en los que la incongruencia omisiva es consecuencia de una previa alteración de los términos del debate procesal, aunque tampoco cabe advertir, en el caso presente, una incongruencia de este tipo, por las razones que a continuación se señalan [F.J. 3].</w:t>
      </w:r>
    </w:p>
    <w:p w:rsidR="006854DA" w:rsidRDefault="006854DA" w:rsidP="006854DA">
      <w:pPr>
        <w:pStyle w:val="Extracto"/>
      </w:pPr>
    </w:p>
    <w:p w:rsidR="006854DA" w:rsidRDefault="006854DA" w:rsidP="006854DA">
      <w:pPr>
        <w:pStyle w:val="Extracto"/>
      </w:pPr>
      <w:r>
        <w:t>2.</w:t>
      </w:r>
      <w:r>
        <w:tab/>
        <w:t>Lo único que cabe advertir en la Sentencia impugnada es que ésta no ajustó los razonamientos jurídicos, que sirvieron de fundamento a su decisión, a las invocaciones de las normas jurídicas aducidas por el recurrente en su demanda, lo cual, de acuerdo con la doctrina expuesta en el fundamento anterior, puede ser razonablemente interpretado como un rechazo implícito de dicha argumentación, todo ello sin perjuicio de que tal cambio de sustentación jurídica tenga cobertura en el principio «iura novit curia» (por todas, STC 112/1994), por lo que no cabe apreciar vicio de incongruencia alguno. Fuera de ello, la Sentencia dio respuesta a las pretensiones deducidas, rechazando las dos en interpretación y aplicación razonada y no arbitraria de la única normativa que consideró aplicable (el Real Decreto 236/1988, de 4 de marzo, sobre indemnizaciones por razón del servicio), razón por la cual hemos de declarar la inexistencia de vulneración del derecho fundamental del recurrente a la tutela judicial efectiva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1.090/96, interpuesto por don José Cuadrado Rodríguez, representado por la Procuradora de los Tribunales doña María Angustias del Barrio León y defendida por el Letrado don Francisco Javier Carnerero Parra, contra la Sentencia dictada por la Sala de lo Contencioso-Administrativo del Tribunal Superior de Justicia de Andalucía, con sede en Sevilla, de fecha 31 de enero de 1996. Ha sido parte el Ministerio Fiscal y ha comparecido el Abogado del Estado. Ha sido Ponente don Vicente Gimeno Sendra,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demanda que tuvo su entrada en este Tribunal el 15 de marzo de 1996, doña María Angustias del Barrio León, Procuradora de los Tribunales y de don José Cuadrado Rodríguez, interpuso recurso de amparo contra la Sentencia dictada por la Sala de lo Contencioso-Administrativo del Tribunal Superior de Justicia de Andalucía, con sede en Sevilla, de fecha 31 de enero de 1996, en el recurso núm. 335/94, que desestimó la pretensión impugnatoria del actor frente a una Resolución de la Dirección General de la Policía por el que se le denegaba su solicitud de abono de determinadas dietas devengadas por la realización de trabajos extraordinarios.</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de los que trae causa la demanda de amparo relevantes para la resolución de este caso, son, en síntesis, los siguientes: </w:t>
      </w:r>
    </w:p>
    <w:p w:rsidR="006854DA" w:rsidRDefault="006854DA" w:rsidP="006854DA">
      <w:pPr>
        <w:pStyle w:val="TextoNormal"/>
      </w:pPr>
      <w:r>
        <w:t xml:space="preserve">a) Ante la falta de personal funcionario suficiente para atender el servicio de expedición del Documento Nacional de Identidad (D.N.I.) en la provincia de Badajoz, el hoy demandante de amparo, funcionario del Cuerpo Nacional de Policía, que por entonces prestaba servicio en la Comisaría de Don Benito, fue comisionado por la superioridad para realizar, en sus horas libres de servicio, la tarea de expedición y renovación del D.N.I. en otros pueblos de la provincia, formando equipo volante con otro funcionario del Cuerpo, labor que efectivamente realizó, con las debidas autorizaciones, entre el 9 de mayo y el 6 de julio de 1988. </w:t>
      </w:r>
    </w:p>
    <w:p w:rsidR="006854DA" w:rsidRDefault="006854DA" w:rsidP="006854DA">
      <w:pPr>
        <w:pStyle w:val="TextoNormal"/>
      </w:pPr>
      <w:r>
        <w:t xml:space="preserve">b) Como retribución por dichos servicios, el hoy demandante de amparo recibió con fecha de 28 de septiembre de 1989, al igual que su compañero, la cantidad de 15.660 ptas. en nómina de incidencias de productividad. </w:t>
      </w:r>
    </w:p>
    <w:p w:rsidR="006854DA" w:rsidRDefault="006854DA" w:rsidP="006854DA">
      <w:pPr>
        <w:pStyle w:val="TextoNormal"/>
      </w:pPr>
      <w:r>
        <w:t>c) Considerando dicha cantidad insuficiente, puesto que la norma que por entonces regía en la Dirección General de Policía en la retribución de esta clase de servicios extraordinarios era la de abonar una dieta reducida por cada veinticinco D.N.I. tramitados, el hoy demandante de amparo dirigió el 7 de septiembre de 1993 un escrito al citado Centro Directivo solicitando el abono de doscientas dietas reducidas (cantidad resultante de dividir por veinticinco la mitad del número de D.N.I. tramitados en aquel periodo junto a su com</w:t>
      </w:r>
      <w:r>
        <w:lastRenderedPageBreak/>
        <w:t xml:space="preserve">pañero), e invocando a estos efectos el Real Decreto 236/1988, de 4 de marzo, sobre indemnizaciones por razón del servicio. </w:t>
      </w:r>
    </w:p>
    <w:p w:rsidR="006854DA" w:rsidRDefault="006854DA" w:rsidP="006854DA">
      <w:pPr>
        <w:pStyle w:val="TextoNormal"/>
      </w:pPr>
      <w:r>
        <w:t xml:space="preserve">d) Dicha solicitud fue desestimada por Resolución de la Dirección General de Policía de 28 de diciembre de 1993, por entender que en el presente supuesto no estaba suficientemente probada la realización de gastos extraordinarios de los contemplados en el indicado Real Decreto. Añadía la circunstancia de que el funcionario regresaba diariamente a su residencia oficial, realizando siempre sus desplazamientos en vehículo oficial. Y hacía referencia, por último, a la percepción de la cantidad ya indicada en nómina de incidencias de productividad. </w:t>
      </w:r>
    </w:p>
    <w:p w:rsidR="006854DA" w:rsidRDefault="006854DA" w:rsidP="006854DA">
      <w:pPr>
        <w:pStyle w:val="TextoNormal"/>
      </w:pPr>
      <w:r>
        <w:t xml:space="preserve">e) Contra dicha Resolución, que ponía fin a la vía administrativa, el hoy recurrente de amparo interpuso recurso contencioso-administrativo ante la Sala de lo Contencioso- Administrativo del Tribunal Superior de Justicia de Andalucía, con sede en Sevilla (recurso núm. 335/94) </w:t>
      </w:r>
    </w:p>
    <w:p w:rsidR="006854DA" w:rsidRDefault="006854DA" w:rsidP="006854DA">
      <w:pPr>
        <w:pStyle w:val="TextoNormal"/>
      </w:pPr>
      <w:r>
        <w:t xml:space="preserve">En el suplico de la demanda del contencioso interesó expresamente: a) que se le reconociera el derecho a percibir, por los gastos de manutención en que había incurrido durante las indicadas comisiones de servicio, la cantidad correspondiente a 30 medias dietas de manutención y 14 completas, en aplicación (como se desarrollaba en la fundamentación jurídica de la demanda) de lo dispuesto en ya indicado Real Decreto 236/1988, sobre indemnizaciones por razón del servicio; y b) que se declarara su derecho a percibir, como compensación por el trabajo realizado fuera de su jornada habitual de trabajo consistente en la tramitación de 4.793 D.N.I. (y con independencia de las dietas de manutención), la cantidad de 955.000 pts., en aplicación (como también desarrollaba en la fundamentación jurídica de la demanda) de lo dispuesto en el Real Decreto 311/1988, de 30 de marzo, de Retribuciones del Personal de las Fuerzas y Cuerpos de Seguridad del Estado (cuyo art. 4, apartado IV regula las gratificaciones por servicios extraordinarios). La cantidad de 955.000 pts. era fruto de la estimación hecha por el propio recurrente del valor de tales servicios, y resultado de multiplicar las 191 jornadas laborales a que, a su juicio, equivalía el núm. de D.N.I. tramitados (habida cuenta de que la media de D.N.I. que suele tramitarse es de 25 por funcionario y día) por sus retribuciones diarías en aquella época (5.000 pts.) </w:t>
      </w:r>
    </w:p>
    <w:p w:rsidR="006854DA" w:rsidRDefault="006854DA" w:rsidP="006854DA">
      <w:pPr>
        <w:pStyle w:val="TextoNormal"/>
      </w:pPr>
      <w:r>
        <w:t xml:space="preserve">f) Dicho recurso fue desestimado por Sentencia de la Sección Cuarta de la Sala de lo Contencioso-Administrativo del Tribunal Superior de Justicia de Andalucía, con sede en Sevilla, de 31 de enero de 1996. </w:t>
      </w:r>
    </w:p>
    <w:p w:rsidR="006854DA" w:rsidRDefault="006854DA" w:rsidP="006854DA">
      <w:pPr>
        <w:pStyle w:val="TextoNormal"/>
      </w:pPr>
      <w:r>
        <w:t xml:space="preserve">Tras reproducir el petitum de la demanda en su literalidad en su fundamento jurídico 1º, en el fundamento 2º, in fine, señala lo siguiente: </w:t>
      </w:r>
    </w:p>
    <w:p w:rsidR="006854DA" w:rsidRDefault="006854DA" w:rsidP="006854DA">
      <w:pPr>
        <w:pStyle w:val="TextoNormal"/>
      </w:pPr>
      <w:r>
        <w:t xml:space="preserve">"Y en la demanda se combate tal Acuerdo, dado que los desplazamientos se hicieron a varios pueblos y el número de documentos formalizados fue muy alto, y como por cada veinticinco tramitados debe percibir una media dieta, lo que arroja la cantidad de 995.000 pts., obviamente, lo que le fue entregado por la Dirección General no cubre ni con mucho esta cifra". </w:t>
      </w:r>
    </w:p>
    <w:p w:rsidR="006854DA" w:rsidRDefault="006854DA" w:rsidP="006854DA">
      <w:pPr>
        <w:pStyle w:val="TextoNormal"/>
      </w:pPr>
      <w:r>
        <w:t xml:space="preserve">Ya en el fundamento jurídico 3º se indica: </w:t>
      </w:r>
    </w:p>
    <w:p w:rsidR="006854DA" w:rsidRDefault="006854DA" w:rsidP="006854DA">
      <w:pPr>
        <w:pStyle w:val="TextoNormal"/>
      </w:pPr>
      <w:r>
        <w:t xml:space="preserve">"Esta Sala no puede acoger favorablemente la tesis sustentada en la demanda, a que se acaba de hacer alusión, sobre que la compensación que corresponda al recurrente deba estimarse en función de los D.N.I. tramitados, toda vez que las normas sobre dietas tienen rango de Decreto, estableciendo las compensaciones en razón a los gastos de desplazamientos y a los que produce la manutención, por lo que carece de base legal lo que se afirma por la actora al respecto...". </w:t>
      </w:r>
    </w:p>
    <w:p w:rsidR="006854DA" w:rsidRDefault="006854DA" w:rsidP="006854DA">
      <w:pPr>
        <w:pStyle w:val="TextoNormal"/>
      </w:pPr>
      <w:r>
        <w:t xml:space="preserve">A lo que sigue un análisis del contenido del Real Decreto 236/1988, de 4 de marzo, sobre indemnizaciones por razón del servicio, tras el cual se señala: </w:t>
      </w:r>
    </w:p>
    <w:p w:rsidR="006854DA" w:rsidRDefault="006854DA" w:rsidP="006854DA">
      <w:pPr>
        <w:pStyle w:val="TextoNormal"/>
      </w:pPr>
      <w:r>
        <w:lastRenderedPageBreak/>
        <w:t xml:space="preserve">"De esta manera, resulta claro que sólo deben ser indemnizados los gastos de estancia o desplazamiento que se originen al funcionario como consecuencia de la prestación de un servicio que deba desempeñarse fuera de la residencia oficial; y si bien el art. 3 de dicha normativa considera comisiones de servicio con derecho a indemnización aquellos cometidos especiales que, como en el caso del recurrente se ordenen circunstancialmente y deban ser desempeñados fuera del término municipal donde radique la residencia oficial; no obstante ello, no cabe olvidar que dicho funcionario regresaba diariamente a su residencia oficial, y realizó todos sus desplazamientos en vehículo oficial, sin que haya quedado suficientemente acreditado que efectuase algún tipo de gasto extraordinario, fuera de los gastos de manutención, como consecuencia de la prestación del servicio que le fue encomendado, los cuales sí dieron origen a la correspondiente indemnización, mientras formó equipo volante de D.N.I. </w:t>
      </w:r>
    </w:p>
    <w:p w:rsidR="006854DA" w:rsidRDefault="006854DA" w:rsidP="006854DA">
      <w:pPr>
        <w:pStyle w:val="TextoNormal"/>
      </w:pPr>
      <w:r>
        <w:t>Por lo expuesto, y estando acorde esta Sala con la interpretación dada en la resolución impugnada a la normativa del citado Real Decreto de 4 de marzo de 1988, aplicable al supuesto contemplado en esta litis, dado que, como decíamos al principio, las normas sobre dietas tienen rango de Decreto y sólo establecen las compensaciones en razón a los gastos de desplazamiento y manutención, procede desestimar el recurso interpuesto".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su demanda de amparo aduce el recurrente la vulneración de su derecho a la tutela judicial efectiva ex art. 24.1 C.E., puesto que la Sala de lo Contencioso-Administrativo únicamente ofreció respuesta a la primera de las pretensiones contenidas en el petitum de su demanda, no pronunciándose sobre la segunda de las cuestiones planteadas, que quedó de este modo imprejuzgada. Esta falta de respuesta judicial o incongruencia omisiva supondría una denegación técnica de justicia y, por tanto, la resolución judicial que ahora se impugna sería contraria al derecho a una tutela judicial efectiva que garantiza el art. 24.1 C.E., según reiterada jurisprudencia constitucional que se cita en la demanda. </w:t>
      </w:r>
    </w:p>
    <w:p w:rsidR="006854DA" w:rsidRDefault="006854DA" w:rsidP="006854DA">
      <w:pPr>
        <w:pStyle w:val="TextoNormal"/>
      </w:pPr>
      <w:r>
        <w:t>Por ello solicita el otorgamiento del amparo, y, en su virtud, la anulación de la Sentencia impugnada, y que se declare su derecho a percibir la cantidad de 955.000 pts. en concepto de compensación por el trabajo realizado fuera de su jornada laboral, en aplicación de lo dispuesto en el Real Decreto 311/1988, de 30 de marzo, de Retribuciones del Personal de las Fuerzas y Cuerpos de Seguridad del Estado.</w:t>
      </w:r>
    </w:p>
    <w:p w:rsidR="006854DA" w:rsidRDefault="006854DA" w:rsidP="006854DA">
      <w:pPr>
        <w:pStyle w:val="TextoNormal"/>
      </w:pPr>
    </w:p>
    <w:p w:rsidR="006854DA" w:rsidRDefault="006854DA" w:rsidP="006854DA">
      <w:pPr>
        <w:pStyle w:val="TextoNormal"/>
      </w:pPr>
      <w:r w:rsidRPr="006854DA">
        <w:rPr>
          <w:rStyle w:val="NumeroAFNegritaCaracter"/>
        </w:rPr>
        <w:t>4</w:t>
      </w:r>
      <w:r>
        <w:t>. Tras requerir a la representación de la recurrente para que acreditara la fecha de notificación de la resolución impugnada, lo que se hizo en el plazo concedido al efecto, este Tribunal solicitó del Tribunal Superior de Justicia de Andalucía, la remisión de copia testimoniada de las actuaciones correspondientes al procedimiento antecedente, que una vez recibidas, mediante providencia de fecha 29 de octubre de 1996, fueron puestas de manifiesto a las partes para que, de conformidad con lo dispuesto en el art. 50.3 de la LOTC, en el plazo de diez días formularan las alegaciones que estimaren convenientes en relación con la posible causa de inadmisión de la demanda, consistente en la carencia manifiesta de contenido que justifique una decisión por parte del Tribunal Constitucional.</w:t>
      </w:r>
    </w:p>
    <w:p w:rsidR="006854DA" w:rsidRDefault="006854DA" w:rsidP="006854DA">
      <w:pPr>
        <w:pStyle w:val="TextoNormal"/>
      </w:pPr>
    </w:p>
    <w:p w:rsidR="006854DA" w:rsidRDefault="006854DA" w:rsidP="006854DA">
      <w:pPr>
        <w:pStyle w:val="TextoNormal"/>
      </w:pPr>
      <w:r w:rsidRPr="006854DA">
        <w:rPr>
          <w:rStyle w:val="NumeroAFNegritaCaracter"/>
        </w:rPr>
        <w:t>5</w:t>
      </w:r>
      <w:r>
        <w:t>. Mediante escrito registrado en este Tribunal el día 19 de noviembre de 1996, el Ministerio Fiscal interesó, tras recordar la jurisprudencia de este Tribunal sobre la llamada incongruencia omisiva (STC 85/1996), la admisión a trámite de la demanda, pues, en su opinión, la parquedad argumentativa de la Sentencia impugnada, unida a su silencio sobre una de las pretensiones del recurrente, tanto en la fundamentación jurídica como en el fa</w:t>
      </w:r>
      <w:r>
        <w:lastRenderedPageBreak/>
        <w:t xml:space="preserve">llo, permiten afirmar que la queja del recurrente no carece manifiestamente de contenido constitucional. </w:t>
      </w:r>
    </w:p>
    <w:p w:rsidR="006854DA" w:rsidRDefault="006854DA" w:rsidP="006854DA">
      <w:pPr>
        <w:pStyle w:val="TextoNormal"/>
      </w:pPr>
      <w:r>
        <w:t>Por su parte, el recurrente, por escrito que tuvo su entrada en este Tribunal el 8 de noviembre de 1996, tras reiterar las alegaciones contenidas en la demanda, concluyó manteniendo su petición de otorgamiento de amparo.</w:t>
      </w:r>
    </w:p>
    <w:p w:rsidR="006854DA" w:rsidRDefault="006854DA" w:rsidP="006854DA">
      <w:pPr>
        <w:pStyle w:val="TextoNormal"/>
      </w:pPr>
    </w:p>
    <w:p w:rsidR="006854DA" w:rsidRDefault="006854DA" w:rsidP="006854DA">
      <w:pPr>
        <w:pStyle w:val="TextoNormal"/>
      </w:pPr>
      <w:r w:rsidRPr="006854DA">
        <w:rPr>
          <w:rStyle w:val="NumeroAFNegritaCaracter"/>
        </w:rPr>
        <w:t>6</w:t>
      </w:r>
      <w:r>
        <w:t>. En virtud de providencia de fecha 15 de enero de 1997, la Sección Segunda acordó admitir a trámite la demanda, y, en consecuencia, emplazar al Abogado del Estado, de conformidad con lo dispuesto en el art. 51 de la LOTC, para comparecer en el proceso constitucional en el plazo de diez días, lo que hizo mediante escrito presentado el 22 de enero de 1997.</w:t>
      </w:r>
    </w:p>
    <w:p w:rsidR="006854DA" w:rsidRDefault="006854DA" w:rsidP="006854DA">
      <w:pPr>
        <w:pStyle w:val="TextoNormal"/>
      </w:pPr>
    </w:p>
    <w:p w:rsidR="006854DA" w:rsidRDefault="006854DA" w:rsidP="006854DA">
      <w:pPr>
        <w:pStyle w:val="TextoNormal"/>
      </w:pPr>
      <w:r w:rsidRPr="006854DA">
        <w:rPr>
          <w:rStyle w:val="NumeroAFNegritaCaracter"/>
        </w:rPr>
        <w:t>7</w:t>
      </w:r>
      <w:r>
        <w:t>. En virtud de providencia de fecha 3 de febrero de 1997, la Sección acordó tener por recibido el referido escrito del Abogado del Estado, y, de acuerdo con lo dispuesto en el art. 52 de la LOTC, dar vista de todas las actuaciones por un plazo común de veinte días al Ministerio Fiscal y a las partes personadas, para que en dicho plazo pudieran formular las alegaciones que estimaran pertinentes.</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Abogado del Estado presentó las suyas el 24 de febrero siguiente, solicitando la denegación del amparo. </w:t>
      </w:r>
    </w:p>
    <w:p w:rsidR="006854DA" w:rsidRDefault="006854DA" w:rsidP="006854DA">
      <w:pPr>
        <w:pStyle w:val="TextoNormal"/>
      </w:pPr>
      <w:r>
        <w:t xml:space="preserve">A título previo, el Abogado del Estado advierte que, dado que el derecho invocado como vulnerado es el derecho a la tutela judicial efectiva y que la razón de la vulneración se hace descansar en la falta de pronunciamiento explícito sobre las pretensiones objeto de debate, no hará consideración alguna sobre la adecuación material de la pretensión de pago al ordenamiento, limitándose a examinar si tal pretensión fue formulada y si fue indebidamente omitida en la Sentencia impugnada, que son los dos requisitos que, según la jurisprudencia de este Tribunal, condicionan básicamente el reconocimiento de una incongruencia omisiva a los efectos del art. 24.1 C.E. </w:t>
      </w:r>
    </w:p>
    <w:p w:rsidR="006854DA" w:rsidRDefault="006854DA" w:rsidP="006854DA">
      <w:pPr>
        <w:pStyle w:val="TextoNormal"/>
      </w:pPr>
      <w:r>
        <w:t xml:space="preserve">En cuanto al primero de dichos requisitos, el Abogado del Estado reconoce que el recurrente en amparo efectuó en su demanda en vía contenciosa dos pretensiones distintas, suficientemente diferenciadas tanto en su formulación como en su motivación. </w:t>
      </w:r>
    </w:p>
    <w:p w:rsidR="006854DA" w:rsidRDefault="006854DA" w:rsidP="006854DA">
      <w:pPr>
        <w:pStyle w:val="TextoNormal"/>
      </w:pPr>
      <w:r>
        <w:t xml:space="preserve">Advierte, no obstante, que en vía administrativa el demandante de amparo reclamaba sólo por el concepto de "dietas", de lo que infiere que en vía contenciosa se produjo una ampliación de las pretensiones, al solicitar en esta última no sólo dietas por los desplazamientos, sino también indemnizaciones por los trabajos realizados en los mismos. Por esta razón podría haber resultado procedente un pronunciamiento de inadmisibilidad (o desestimatorio por falta de acto previo) respecto de esta nueva pretensión, que no se produjo. Aunque la inadmisibilidad de esta pretensión no excluiría la existencia de una incongruencia omisiva (pues, en todo caso, hubiera sido preciso un pronunciamiento en este sentido), conviene, a su juicio, reparar en este dato como elemento justificativo de una mayor brevedad y concisión en la fundamentación realizada en este caso por el Tribunal. </w:t>
      </w:r>
    </w:p>
    <w:p w:rsidR="006854DA" w:rsidRDefault="006854DA" w:rsidP="006854DA">
      <w:pPr>
        <w:pStyle w:val="TextoNormal"/>
      </w:pPr>
      <w:r>
        <w:t xml:space="preserve">Mas, dicho esto, el Abogado del Estado descarta que, en el caso presente, concurra el segundo de los indicados requisitos, pues, a su juicio, el Tribunal emitió sobre esta nueva pretensión un pronunciamiento de fondo, rechazándola de una manera explícita y razonada, y para intentar evidenciarlo realiza un análisis detenido de la fundamentación jurídica de la Sentencia impugnada. </w:t>
      </w:r>
    </w:p>
    <w:p w:rsidR="006854DA" w:rsidRDefault="006854DA" w:rsidP="006854DA">
      <w:pPr>
        <w:pStyle w:val="TextoNormal"/>
      </w:pPr>
      <w:r>
        <w:lastRenderedPageBreak/>
        <w:t xml:space="preserve">En primer lugar, la Sentencia revela que el Tribunal tomó conciencia de lo que debía resolver, al reproducir minuciosamente en el fundamento jurídico 1º el petitum del actor. </w:t>
      </w:r>
    </w:p>
    <w:p w:rsidR="006854DA" w:rsidRDefault="006854DA" w:rsidP="006854DA">
      <w:pPr>
        <w:pStyle w:val="TextoNormal"/>
      </w:pPr>
      <w:r>
        <w:t xml:space="preserve">En el fundamento jurídico 2º, y tras razonar lo relativo a las dietas, señalando no haber quedado acreditado que el reclamante efectuase algún tipo de gasto extraordinario, el Tribunal efectúa una serie de referencias que nada tienen que ver con el capítulo de dietas y que, a juicio del Abogado del Estado, acreditan que se está entrando en el núcleo de la pretensión que se supone olvidada: las referencias al pago de 15.500 pts. en nómina de incidencias de productividad, a la pretensión de pago de 955.000 pts. por razón de los D.N.I. tramitados y a la queja de la insuficiencia de lo pagado por la Administración. </w:t>
      </w:r>
    </w:p>
    <w:p w:rsidR="006854DA" w:rsidRDefault="006854DA" w:rsidP="006854DA">
      <w:pPr>
        <w:pStyle w:val="TextoNormal"/>
      </w:pPr>
      <w:r>
        <w:t xml:space="preserve">Y es ya en el fundamento jurídico 3º donde, en conexión inmediata con lo tratado en la parte final del fundamento precedente, la Sentencia da una motivación suficiente a la denegación de ambas pretensiones, fijándose principalmente en la pretensión indemnizatoria (aunque utlice la expresión dietas). La Sentencia entiende, en definitiva, que esta pretensión no procedía porque ya existía una compensación (por exigua que parezca al recurrente) y porque no tenía cobertura en el Real Decreto 236/1988, sobre indemnizaciones por razón del servicio, que es el que estima aplicable al caso de la indemnización pedida. </w:t>
      </w:r>
    </w:p>
    <w:p w:rsidR="006854DA" w:rsidRDefault="006854DA" w:rsidP="006854DA">
      <w:pPr>
        <w:pStyle w:val="TextoNormal"/>
      </w:pPr>
      <w:r>
        <w:t xml:space="preserve">El Abogado del Estado admite que quizá (como decía el Ministerio Fiscal en el trámite de admisión) la Sentencia se haya quedado algo "corta", al no añadir las razones de inaplicación al caso del Real Decreto 311/1988, de Retribuciones del Personal de las Fuerzas y Cuerpos de Seguridad del Estado (que es el que el recurrente entendía aplicable, al solicitar dicha indemnización como gratificación por servicios extraordinarios), pero, a su juicio, tampoco era necesario, ni la reiteración argumental puede considerarse inherente al derecho a la tutela judicial efectiva, pues obviamente en la fijación positiva del Derecho aplicado hay una exclusión implícita de otras normas e instituciones diferentes. </w:t>
      </w:r>
    </w:p>
    <w:p w:rsidR="006854DA" w:rsidRDefault="006854DA" w:rsidP="006854DA">
      <w:pPr>
        <w:pStyle w:val="TextoNormal"/>
      </w:pPr>
      <w:r>
        <w:t>Así pues, la Sentencia resolvió sobre lo pedido, aunque no aplicando la regla sugerida por el recurrente, sino la que el Tribunal entendió procedente en uso de su deber de aplicar el Derecho. Y, en suma, a juicio del Abogado del Estado, lo que revela la demanda de amparo es una pura discrepancia con la fundamentación legal del fallo.</w:t>
      </w:r>
    </w:p>
    <w:p w:rsidR="006854DA" w:rsidRDefault="006854DA" w:rsidP="006854DA">
      <w:pPr>
        <w:pStyle w:val="TextoNormal"/>
      </w:pPr>
    </w:p>
    <w:p w:rsidR="006854DA" w:rsidRDefault="006854DA" w:rsidP="006854DA">
      <w:pPr>
        <w:pStyle w:val="TextoNormal"/>
      </w:pPr>
      <w:r w:rsidRPr="006854DA">
        <w:rPr>
          <w:rStyle w:val="NumeroAFNegritaCaracter"/>
        </w:rPr>
        <w:t>9</w:t>
      </w:r>
      <w:r>
        <w:t>. El recurrente en amparo presentó sus alegaciones mediante escrito que tuvo su entrada en este Tribunal el 25 de febrero de 1997, y en el que se reafirmó en su petición de amparo, dando por reproducidas las alegaciones contenidas en su escrito de demanda.</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El Ministerio Fiscal, mediante escrito fechado el día siguiente, interesó el otorgamiento del amparo. </w:t>
      </w:r>
    </w:p>
    <w:p w:rsidR="006854DA" w:rsidRDefault="006854DA" w:rsidP="006854DA">
      <w:pPr>
        <w:pStyle w:val="TextoNormal"/>
      </w:pPr>
      <w:r>
        <w:t xml:space="preserve">Tras dar por reproducidos los hechos consignados en la demanda inicial y reiterar las alegaciones formuladas en su escrito de 19 de noviembre de 1996, destaca el Fiscal que en el presente caso no cabe duda de que las pretensiones formuladas por el actor fueron dos, abono de dietas de manutención y compensación económica por la realización de un trabajo efectuado fuera de su jornada habitual, que están nítidamente diferenciadas. </w:t>
      </w:r>
    </w:p>
    <w:p w:rsidR="006854DA" w:rsidRDefault="006854DA" w:rsidP="006854DA">
      <w:pPr>
        <w:pStyle w:val="TextoNormal"/>
      </w:pPr>
      <w:r>
        <w:t xml:space="preserve">Por otra parte, destaca que la respuesta del Tribunal únicamente se refiere a la primera de dichas pretensiones, por lo que nos encontramos ante un supuesto de "silencio parcial", en los términos recogidos por la STC 195/1995, que causa indefensión a la parte, que se ve privada de un derecho sin conocer las razones de ello. </w:t>
      </w:r>
    </w:p>
    <w:p w:rsidR="006854DA" w:rsidRDefault="006854DA" w:rsidP="006854DA">
      <w:pPr>
        <w:pStyle w:val="TextoNormal"/>
      </w:pPr>
      <w:r>
        <w:t>En definitiva, el Ministerio Público califica de "corta" la Sentencia impugnada, concluyendo que debe otorgarse el amparo para que el órgano judicial dicte una nueva resolución pronunciándose sobre todos los extremos planteados por el recurrente en su demanda.</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11</w:t>
      </w:r>
      <w:r>
        <w:t>. Mediante providencia de 2 de junio de 1997 se acordó señalar el siguiente día 3 de junio para deliberación y votación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Constituye el objeto de este recurso de amparo la Sentencia dictada por la Sala de lo Contencioso-Administrativo del Tribunal Superior de Justicia de Andalucía, con sede en Sevilla, de fecha 31 de enero de 1996, desestimatoria de una doble petición de indemnizaciones realizada por el recurrente, funcionario a la sazón del Cuerpo Nacional de Policía en la Comisaría de Don Benito (Badajoz), y derivada tanto de los servicios prestados por el mismo fuera de su horario laboral, formando parte durante dos meses de un equipo volante de expedición y renovación de D.N.I. en otros pueblos de la provincia, como de los gastos de manutención que se le originaron como consecuencia de los desplazamientos necesarios para la prestación de los referidos servicios.</w:t>
      </w:r>
    </w:p>
    <w:p w:rsidR="006854DA" w:rsidRDefault="006854DA" w:rsidP="006854DA">
      <w:pPr>
        <w:pStyle w:val="TextoNormal"/>
      </w:pPr>
      <w:r>
        <w:t>En la demanda de amparo se imputa a la Sentencia impugnada la violación del art. 24.1 C.E., en su manifestación de incongruencia omisiva, al no pronunciarse el Tribunal sobre la primera de las indicadas pretensiones.</w:t>
      </w:r>
    </w:p>
    <w:p w:rsidR="006854DA" w:rsidRDefault="006854DA" w:rsidP="006854DA">
      <w:pPr>
        <w:pStyle w:val="TextoNormal"/>
      </w:pPr>
      <w:r>
        <w:t>El Ministerio Fiscal se adhirió a la petición de amparo, coincidiendo en lo esencial con el recurrente, mientras que el Abogado del Estado solicitó la desestimación de la demanda por entender que el Tribunal Superior de Justicia motivó de manera explícita el rechazo de ambas pretensiones.</w:t>
      </w:r>
    </w:p>
    <w:p w:rsidR="006854DA" w:rsidRDefault="006854DA" w:rsidP="006854DA">
      <w:pPr>
        <w:pStyle w:val="TextoNormal"/>
      </w:pPr>
    </w:p>
    <w:p w:rsidR="006854DA" w:rsidRDefault="006854DA" w:rsidP="006854DA">
      <w:pPr>
        <w:pStyle w:val="TextoNormal"/>
      </w:pPr>
      <w:r w:rsidRPr="006854DA">
        <w:rPr>
          <w:rStyle w:val="NumeroAFNegritaCaracter"/>
        </w:rPr>
        <w:t>2</w:t>
      </w:r>
      <w:r>
        <w:t>. Conviene, pues, empezar recordando, en la medida necesaria, la doctrina de este Tribunal en relación con el vicio de incongruencia como posible causa de vulneración del derecho a la tutela judicial efectiva sin indefensión.</w:t>
      </w:r>
    </w:p>
    <w:p w:rsidR="006854DA" w:rsidRDefault="006854DA" w:rsidP="006854DA">
      <w:pPr>
        <w:pStyle w:val="TextoNormal"/>
      </w:pPr>
      <w:r>
        <w:t>Como señalamos en la STC 369/1993 (fundamento jurídico 3º), sintetizando, a su vez, doctrina anterior: "En reiteradas ocasiones, desde la STC 20/1982, hemos tenido ocasión de declarar que el vicio de incongruencia, entendido como desajuste entre el fallo judicial y los términos en que las partes formulan sus pretensiones, concediendo más, menos o cosa distinta de lo pedido, puede significar una vulneración del principio dispositivo constitutiva de una efectiva denegación del derecho a la tutela judicial, siempre que la desviación sea de tal naturaleza que suponga una modificación sustancial del objeto procesal con la consiguiente indefensión y sustracción a las partes del debate contradictorio. De este modo, para determinar si existe incongruencia en una resolución judicial es preciso confrontar su parte dispositiva con el objeto del proceso, delimitado por sus elementos subjetivos (partes) y objetivos (causa de pedir y petitum), de manera que la adecuación debe extenderse tanto a la petición como a los hechos que la fundamentan; ello sin perjuicio de que, en virtud del principio iura novit curia el órgano judicial no haya de quedar obligado a ajustarse a los razonamientos jurídicos empleados por las partes" (doctrina luego reiterada, en similares términos, por las SSTC 112/1994, 172/1994, 311/1994, 189/1995 y 60/1996, entre otras).</w:t>
      </w:r>
    </w:p>
    <w:p w:rsidR="006854DA" w:rsidRDefault="006854DA" w:rsidP="006854DA">
      <w:pPr>
        <w:pStyle w:val="TextoNormal"/>
      </w:pPr>
      <w:r>
        <w:t xml:space="preserve">A partir de este planteamiento general, este Tribunal ha venido distinguiendo dos tipos de vulneración del derecho a la tutela judicial efectiva sin indefensión por incongruencia y precisando las condiciones para apreciar su existencia. Así, la llamada incongruencia extra petitum se dará cuando "el pronunciamiento judicial recaiga sobre un tema que no esté incluido en las pretensiones procesales, de tal modo que se haya impedido a las partes la </w:t>
      </w:r>
      <w:r>
        <w:lastRenderedPageBreak/>
        <w:t>posibilidad de efectuar las alegaciones pertinentes en defensa de sus intereses relacionados con lo decidido" (SSTC 311/1994 y 60/1996, entre otras)</w:t>
      </w:r>
    </w:p>
    <w:p w:rsidR="006854DA" w:rsidRDefault="006854DA" w:rsidP="006854DA">
      <w:pPr>
        <w:pStyle w:val="TextoNormal"/>
      </w:pPr>
      <w:r>
        <w:t>Y la denominada incongruencia omisiva o ex silentio se produce cuando el órgano judicial deja sin contestar alguna de las pretensiones sometidas a su consideración por las partes en momento procesal oportuno, "siempre que el silencio judicial no pueda razonablemente interpretarse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de una pretensión, pudiendo bastar, en atención a las circunstancias particulares concurrentes, con una respuesta global o genérica, aunque se omita respecto de alegaciones concretas no sustanciales" (SSTC 91/1995, 146/1995, 56/1996, 58/1996, 85/1996 y 26/1997, entre otras de las más recientes)</w:t>
      </w:r>
    </w:p>
    <w:p w:rsidR="006854DA" w:rsidRDefault="006854DA" w:rsidP="006854DA">
      <w:pPr>
        <w:pStyle w:val="TextoNormal"/>
      </w:pPr>
      <w:r>
        <w:t>En ocasiones ambas clases de incongruencia pueden presentarse unidas, como ocurre en los supuestos que la STC 369/1993 (fundamento jurídico 3º), recogiendo una expresión utilizada por la STC 29/1987, denominó de incongruencia por error, esto es, cuando "por un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006854DA" w:rsidRDefault="006854DA" w:rsidP="006854DA">
      <w:pPr>
        <w:pStyle w:val="TextoNormal"/>
      </w:pPr>
    </w:p>
    <w:p w:rsidR="006854DA" w:rsidRDefault="006854DA" w:rsidP="006854DA">
      <w:pPr>
        <w:pStyle w:val="TextoNormal"/>
      </w:pPr>
      <w:r w:rsidRPr="006854DA">
        <w:rPr>
          <w:rStyle w:val="NumeroAFNegritaCaracter"/>
        </w:rPr>
        <w:t>3</w:t>
      </w:r>
      <w:r>
        <w:t>. Aunque lo que el recurrente achaca a la Sentencia recurrida es un vicio de incongruencia omisiva en sentido estricto, en cuanto entiende ha dejado sin respuesta una de las dos pretensiones deducidas en su demanda, lo que viene a plantear más bien es uno de estos casos que, como acabamos de indicar, algunas Sentencias denominan de incongruencia por error, en los que la incongruencia omisiva es consecuencia de una previa alteración de los términos del debate procesal, aunque tampoco cabe advertir en el caso presente una incongruencia de este tipo, por las razones que a continuación se señalan.</w:t>
      </w:r>
    </w:p>
    <w:p w:rsidR="006854DA" w:rsidRDefault="006854DA" w:rsidP="006854DA">
      <w:pPr>
        <w:pStyle w:val="TextoNormal"/>
      </w:pPr>
      <w:r>
        <w:t xml:space="preserve">En efecto, lo que una lectura atenta de los hechos expuestos en los antecedentes pone de manifiesto no es que la Sentencia impugnada deje de pronunciarse sobre alguna de las causas de pedir formuladas por el recurrente y que fundamentan su pretensión indemnizatoria (esto es, los gastos de manutención derivados de los desplazamientos, así como el trabajo en sí mismo, en cuanto realizado fuera de la jornada normal), sino que da respuesta a las dos, pero reteniendo más bien el planteamiento jurídico que el recurrente había efectuado en vía administrativa, en lugar del realizado en la demanda del proceso contencioso- administrativo. En efecto, en vía administrativa el recurrente había reclamado un único tipo de indemnización en concepto de dietas, pero calculadas en función del trabajo desarrollado (esto es, del número de D.N.I. tramitados), al amparo de la que, al parecer, era por entonces la forma como la Dirección General de Policía retribuía tal clase de servicios, mientras que en la demanda del proceso contencioso-adminitrativo desdobló las dos causas de pedir, diferenciando asimismo su respectivo fundamento normativo: solicitaba que se le reintegraran los gastos de manutención, en concepto de dietas de las previstas en el Real Decreto 236/1988, de 4 de marzo, sobre indemnizaciones por razón del servicio, y pedía además la retribución del trabajo realizado fuera de sus horas de servicio, en concepto de gratificaciones por servicios extraordinarios, fuera de la jornada normal, de las previstas en el apartado IV del art. 4 del Real Decreto 311/1988, de 30 de marzo, de Retribuciones del Personal de las Fuerzas y Cuerpos de Seguridad del Estado, recogiendo una </w:t>
      </w:r>
      <w:r>
        <w:lastRenderedPageBreak/>
        <w:t>distinción de conceptos retributivos ya presente en el art. 23 de la Ley 30/1984, de 2 de agosto, de Medidas para la Reforma de la Función Pública.</w:t>
      </w:r>
    </w:p>
    <w:p w:rsidR="006854DA" w:rsidRDefault="006854DA" w:rsidP="006854DA">
      <w:pPr>
        <w:pStyle w:val="TextoNormal"/>
      </w:pPr>
      <w:r>
        <w:t>Ahora bien, este relativo desajuste entre el planteamiento jurídico retenido por el Tribunal en su Sentencia como fundamento de su decisión y el efectuado por el recurrente en su demanda del proceso administrativo, o, por decirlo de otro modo, esta relativa desatención al cambio de argumentación producido en la demanda, no es constitutiva de vulneración alguna del art. 24.1 C.E. por incongruencia, puesto que en el planteamiento inicial, sustentado por el juzgador en su Sentencia, estaban ya presentes las dos causas de pedir sostenidas luego en la demanda con nuevos argumentos jurídicos, esto es, no sólo la relativa a los gastos de manutención, sino también, y preferentemente, la supuestamente omitida, consistente en la retribución del trabajo realizado fuera de la jornada laboral. No hubo, por tanto, alteración sustancial del objeto del proceso, ni quedó sin respuesta ninguna de las pretensiones deducidas.</w:t>
      </w:r>
    </w:p>
    <w:p w:rsidR="006854DA" w:rsidRDefault="006854DA" w:rsidP="006854DA">
      <w:pPr>
        <w:pStyle w:val="TextoNormal"/>
      </w:pPr>
      <w:r>
        <w:t>En definitiva, lo único que cabe advertir en la Sentencia impugnada es que ésta no ajustó los razonamientos jurídicos, que sirvieron de fundamento a su decisión, a las invocaciones de las las normas jurídicas aducidas por el recurrente en su demanda, lo cual, de acuerdo con la doctrina expuesta en el fundamento anterior, puede ser razonablemente interpretado como un rechazo implícito de dicha argumentación, todo ello sin perjuicio de que tal cambio de sustentación jurídica tenga cobertura en el principio iura novit curia (por todas, STC 112/1994, fundamento jurídico 6º), por lo que no cabe apreciar vicio de incongruencia alguno.</w:t>
      </w:r>
    </w:p>
    <w:p w:rsidR="006854DA" w:rsidRDefault="006854DA" w:rsidP="006854DA">
      <w:pPr>
        <w:pStyle w:val="TextoNormal"/>
      </w:pPr>
      <w:r>
        <w:t>Fuera de ello, y como decíamos, la Sentencia dio respuesta a las pretensiones deducidas, rechazando las dos en interpretación y aplicación razonada y no arbitraria de la única normativa que consideró aplicable (el Real Decreto 236/1988, de 4 de marzo, sobre indemnizaciones por razón del servicio), razón por la cual hemos de declarar la inexistencia de vulneración del derecho fundamental del recurrente a la tutela judicial efectiva.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 por don José Cuadrado Rodríguez.</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tres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8" w:name="SENTENCIA_1997_112"/>
      <w:r>
        <w:lastRenderedPageBreak/>
        <w:t>SENTENCIA 112/1997, de 3 de junio de 1997</w:t>
      </w:r>
    </w:p>
    <w:bookmarkEnd w:id="28"/>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159, de 4 de julio de 1997)</w:t>
      </w:r>
    </w:p>
    <w:p w:rsidR="006854DA" w:rsidRDefault="006854DA" w:rsidP="006854DA">
      <w:pPr>
        <w:pStyle w:val="TtuloBOE"/>
      </w:pPr>
    </w:p>
    <w:p w:rsidR="006854DA" w:rsidRDefault="006854DA" w:rsidP="006854DA">
      <w:pPr>
        <w:pStyle w:val="SntesisDescriptiva"/>
      </w:pPr>
      <w:r>
        <w:t>ECLI:ES:TC:1997:112</w:t>
      </w:r>
    </w:p>
    <w:p w:rsidR="006854DA" w:rsidRDefault="006854DA" w:rsidP="006854DA">
      <w:pPr>
        <w:pStyle w:val="SntesisDescriptiva"/>
      </w:pPr>
    </w:p>
    <w:p w:rsidR="006854DA" w:rsidRDefault="006854DA" w:rsidP="006854DA">
      <w:pPr>
        <w:pStyle w:val="SntesisDescriptiva"/>
      </w:pPr>
      <w:r>
        <w:t>Recurso de amparo 1.280/1996. Contra Auto del Juzgado de lo Social núm. 17 de Madrid que inadmitió recurso de reposición contra Auto anterior que acordó archivo de la demanda.</w:t>
      </w:r>
    </w:p>
    <w:p w:rsidR="006854DA" w:rsidRDefault="006854DA" w:rsidP="006854DA">
      <w:pPr>
        <w:pStyle w:val="SntesisDescriptiva"/>
      </w:pPr>
    </w:p>
    <w:p w:rsidR="006854DA" w:rsidRDefault="006854DA" w:rsidP="006854DA">
      <w:pPr>
        <w:pStyle w:val="SntesisAnaltica"/>
      </w:pPr>
      <w:r>
        <w:t>Vulneración del derecho a la tutela judicial efectiva: archivo de demanda lesivo del derecho.</w:t>
      </w:r>
    </w:p>
    <w:p w:rsidR="006854DA" w:rsidRDefault="006854DA" w:rsidP="006854DA">
      <w:pPr>
        <w:pStyle w:val="SntesisAnaltica"/>
      </w:pPr>
    </w:p>
    <w:p w:rsidR="006854DA" w:rsidRDefault="006854DA" w:rsidP="006854DA">
      <w:pPr>
        <w:pStyle w:val="Extracto"/>
      </w:pPr>
      <w:r>
        <w:t>1.</w:t>
      </w:r>
      <w:r>
        <w:tab/>
        <w:t>Este Tribunal ha rechazado que los requisitos formales tengan sustantividad propia y ha resaltado que constituyen medios orientados a conseguir ciertas finalidades en el proceso, de modo que sus eventuales anomalías no pueden ser convertidas sin más en meros obstáculos formales impeditivos de la continuación de aquél, sino que resulta obligada una interpretación de tales defectos guiada por un criterio de proporcionalidad entre la finalidad que cumple la exigencia formal y la entidad real del defecto observado en ella, atendiendo a las consecuencias que se siguen para la efectividad del derecho a la tutela judicial (entre la reiterada jurisprudencia constitucional, SSTC 17/1985, 29/1985, 110/1985, 49/1987, 174/1988, 2/1989, 240/1991) [F. J. 3].</w:t>
      </w:r>
    </w:p>
    <w:p w:rsidR="006854DA" w:rsidRDefault="006854DA" w:rsidP="006854DA">
      <w:pPr>
        <w:pStyle w:val="Extracto"/>
      </w:pPr>
    </w:p>
    <w:p w:rsidR="006854DA" w:rsidRDefault="006854DA" w:rsidP="006854DA">
      <w:pPr>
        <w:pStyle w:val="Extracto"/>
      </w:pPr>
      <w:r>
        <w:t>2.</w:t>
      </w:r>
      <w:r>
        <w:tab/>
        <w:t>Estos criterios han sustentado, en primer lugar, el respaldo de este Tribunal a la posibilidad de subsanar algunos de tales defectos en la demanda. En relación, concretamente, a la materia laboral, la STC 118/1987 (después reiterada, entre otras, en las SSTC 11/1988, 25/1991, 70/1992, 120/1993 y 335/1994) ya manifestó que el trámite de subsanación previsto en la Ley de Procedimiento Laboral «(...) se propone garantizar que los importantes derechos de fondo deducidos en una demanda laboral no resulten ineficaces por el juego riguroso y formalista de la falta o defecto de los requisitos formales que pudiera imputársele a aquélla, y si bien es claro que una demanda que olvide los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el mandato constitucional (...)» [F. J. 3].</w:t>
      </w:r>
    </w:p>
    <w:p w:rsidR="006854DA" w:rsidRDefault="006854DA" w:rsidP="006854DA">
      <w:pPr>
        <w:pStyle w:val="Extracto"/>
      </w:pPr>
    </w:p>
    <w:p w:rsidR="006854DA" w:rsidRDefault="006854DA" w:rsidP="006854DA">
      <w:pPr>
        <w:pStyle w:val="Extracto"/>
      </w:pPr>
      <w:r>
        <w:t>3.</w:t>
      </w:r>
      <w:r>
        <w:tab/>
        <w:t xml:space="preserve">La proporcionalidad que debe existir entre el defecto observado y su entidad real considerando que determina el archivo de la demanda-o, en otros casos, la imposibilidad de obtener una respuesta sobre el fondo, obliga a tener en cuenta, de un lado, la finalidad que cumple el requisito formal en cuestión y, de otro, la imposibilidad de que su incumplimiento o cumplimiento defectuoso opere, sin más, al margen de su trascendencia efectiva en el proceso (SSTC 118/1986 y 216/1989). Ambos elementos resultan imprescindibles para valorar ciertas omisiones de la demanda, atendiendo a su incidencia en la identificación de la pretensión o a su </w:t>
      </w:r>
      <w:r>
        <w:lastRenderedPageBreak/>
        <w:t>relevancia real en el tipo de conflicto que se ventila en el procedimiento (SSTC 118/l987, 216/l989, 25/1991), teniendo en cuenta, de otro lado, si el dato omitido puede deducirse de otros documentos obrantes en autos ( STC 154/1992) o si puede debatirse posteriormente en el procedimiento (SSTC 118/1987 y 216/1989). En todo caso, el derecho a la tutela judicial de la otra parte y, más en concreto, su derecho de defensa, constituye el límite infranqueable a la aplicación en estos casos del principio «pro actione» (SSTC 216/1989, 25/1991, 154/1992 y 120/1993) [F. J. 3].</w:t>
      </w:r>
    </w:p>
    <w:p w:rsidR="006854DA" w:rsidRDefault="006854DA" w:rsidP="006854DA">
      <w:pPr>
        <w:pStyle w:val="Extracto"/>
      </w:pPr>
    </w:p>
    <w:p w:rsidR="006854DA" w:rsidRDefault="006854DA" w:rsidP="006854DA">
      <w:pPr>
        <w:pStyle w:val="Extracto"/>
      </w:pPr>
      <w:r>
        <w:t>4.</w:t>
      </w:r>
      <w:r>
        <w:tab/>
        <w:t>Es, pues, patente que, con independencia de que la demanda se interpusiera «ad cautelam» contra una entidad gestora como el INSALUD por razones que sólo a la recurrente constan, la pretensión estaba dirigida principalmente contra el I. N.S.S., ya que únicamente esta entidad tiene competencia para reconocer la situación de invalidez solicitada y abonar, en su caso, la prestación económica correspondiente. Pues bien, respecto al I.N.S.S. estaba cumplido el trámite de la reclamación previa, de modo que la finalidad de aquélla había quedado materialmente satisfecha al haberse otorgado a la Administración la posibilidad de resolver anticipadamente el conflicto (STC 355/1993), sin que sus efectos entre las partes afectadas pudieran resultar desvirtuados o desconocidos por el hecho de que no se hubiera presentado otra reclamación distinta ante un organismo ajeno a aquéllas como el INSALUD [F. J. 4].</w:t>
      </w:r>
    </w:p>
    <w:p w:rsidR="006854DA" w:rsidRDefault="006854DA" w:rsidP="006854DA">
      <w:pPr>
        <w:pStyle w:val="Extracto"/>
      </w:pPr>
    </w:p>
    <w:p w:rsidR="006854DA" w:rsidRDefault="006854DA" w:rsidP="006854DA">
      <w:pPr>
        <w:pStyle w:val="Extracto"/>
      </w:pPr>
      <w:r>
        <w:t>5.</w:t>
      </w:r>
      <w:r>
        <w:tab/>
        <w:t>La decisión judicial de archivar la demanda por no constar las bases reguladoras de la prestación sino únicamente la de cotización es, sin duda, excesivamente rigurosa desde la perspectiva constitucional. Que la recurrente no determinase numéricamente de forma expresa la cuantía de la base reguladora no autoriza a tenerla por no aportada hasta el punto de archivar la demanda [F. 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 xml:space="preserve">En el recurso de amparo núm. 1.280/96, promovido por doña María Antonia Lucas Ramos, representada por el Procurador de los Tribunales don Fernando Bermúdez de Castro Rosillo y defendido por el Letrado don Joaquin Ruiz Jiménez Aguilar, contra el Auto del Juzgado de lo Social núm. 17 de Madrid, de 1 de marzo de 1996. Ha sido parte el Ministerio Fiscal y han comparecido, el Instituto Nacional de la Seguridad Social, representado por el Procurador de los Tribunales don Luis Fernando Alvarez Wiese y defendido </w:t>
      </w:r>
      <w:r>
        <w:lastRenderedPageBreak/>
        <w:t>por el Letrado don Toribio Malo Malo, y el Instituto Nacional de la Salud, representado por el Procurador de los Tribunales don Carlos Jiménez Padrón y defendido por el Letrado don José Luis Merino García-Ciaño. Ha sido Ponente el Magistrado don Vicente Gimeno Sendra,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día 27 de marzo de 1996, el Procurador de los Tribunales don Fernando Bermúdez de Castro Rosillo interpuso, en nombre y representación de doña María Antonia Lucas Ramos, recurso de amparo con el Auto del Juzgado de lo Social núm. 17 de Madrid, de 1 de marzo de 1996, que inadmitió el recurso de reposición contra el anterior Auto de 1 de febrero de 1996, por el cual se acordó el archivo de la demanda, al considerar que vulnera su derecho a la tutela judicial efectiva (art. 24.1 C.E.).</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de amparo tiene su origen en los siguientes hechos: </w:t>
      </w:r>
    </w:p>
    <w:p w:rsidR="006854DA" w:rsidRDefault="006854DA" w:rsidP="006854DA">
      <w:pPr>
        <w:pStyle w:val="TextoNormal"/>
      </w:pPr>
      <w:r>
        <w:t xml:space="preserve">a) El Instituto Nacional de la Seguridad Social (I.N.S.S.) denegó a la recurrente en amparo la prestación por invalidez permanente absoluta que aquélla había solicitado, al entender el citado Organismo que las lesiones objetivadas no alcanzaban el grado de menoscabo físico previsto para aquella situación en la Ley General de la Seguridad Social. La demandante formuló reclamación previa contra esta decisión con fecha 9 de octubre de 1995. </w:t>
      </w:r>
    </w:p>
    <w:p w:rsidR="006854DA" w:rsidRDefault="006854DA" w:rsidP="006854DA">
      <w:pPr>
        <w:pStyle w:val="TextoNormal"/>
      </w:pPr>
      <w:r>
        <w:t xml:space="preserve">Al no recaer Resolución expresa sobre dicha reclamación, interpuso demanda judicial el día 22 de noviembre de 1995 "contra la Dirección Provincial del Instituto Nacional de la Seguridad Social y ad cautelam también contra la Tesorería General de la Seguridad Social y contra el Instituto Nacional de la Salud", reclamando el reconocimiento de una invalidez permanente absoluta. El hecho quinto de la demanda judicial señala literalmente que "Las bases de cotización (73.140 pts.) y de la contingencia deben seguir siendo las mismas que regían en mi anterior situación". </w:t>
      </w:r>
    </w:p>
    <w:p w:rsidR="006854DA" w:rsidRDefault="006854DA" w:rsidP="006854DA">
      <w:pPr>
        <w:pStyle w:val="TextoNormal"/>
      </w:pPr>
      <w:r>
        <w:t xml:space="preserve">b) Por providencia de 24 de noviembre de 1995, el Juzgado de lo Social núm. 17 de Madrid tuvo por presentada la demanda y requirió a la actora para que en el plazo de cuatro días subsanase dos defectos advertidos en aquélla, la falta de reclamación previa frente al Instituto Nacional de la Salud (INSALUD) que, según el órgano judicial, debería ser de fecha anterior a la presentación de la demanda, y la fijación de la base reguladora. </w:t>
      </w:r>
    </w:p>
    <w:p w:rsidR="006854DA" w:rsidRDefault="006854DA" w:rsidP="006854DA">
      <w:pPr>
        <w:pStyle w:val="TextoNormal"/>
      </w:pPr>
      <w:r>
        <w:t xml:space="preserve">La actora presentó en plazo un escrito por el que venía a subsanar los defectos mencionados. Afirmaba en él cumplir la exigencia de presentar las reclamaciones previas contra los demandados ad cautelam (INSALUD y Tesorería General de la Seguridad Social -T.G.S.S.-), aportando dos escritos con fecha 22 de noviembre de 1995, dirigidos al I.N.S.S. y a la T.G.S.S., respectivamente. Asimismo, manifestó que reiteraba la base de cotización y de la contingencia que fijó en el hecho quinto de la demanda, según le había sido reconocida la segunda ininterrumpidamente por la Seguridad Social con anterioridad a la reclamación previa. </w:t>
      </w:r>
    </w:p>
    <w:p w:rsidR="006854DA" w:rsidRDefault="006854DA" w:rsidP="006854DA">
      <w:pPr>
        <w:pStyle w:val="TextoNormal"/>
      </w:pPr>
      <w:r>
        <w:t xml:space="preserve">Por Auto de 1 de febrero de 1996, el Juzgado de lo Social consideró no subsanados los defectos advertidos, ya que "(...) no consta que se haya presentado reclamación previa frente al INSALUD, como se le dijo, y tampoco ha fijado la base reguladora, sino que lo que ha hecho es indicar la base de cotización". Con cita de los preceptos de la Ley de Procedimiento Laboral relativos a la presentación de la demanda y al trámite de subsanación, </w:t>
      </w:r>
      <w:r>
        <w:lastRenderedPageBreak/>
        <w:t xml:space="preserve">el órgano judicial acordó el archivo de la demanda, que fue recurrido en reposición por la actora. </w:t>
      </w:r>
    </w:p>
    <w:p w:rsidR="006854DA" w:rsidRDefault="006854DA" w:rsidP="006854DA">
      <w:pPr>
        <w:pStyle w:val="TextoNormal"/>
      </w:pPr>
      <w:r>
        <w:t xml:space="preserve">c) En su recurso, aquélla recordó al Juzgado que la demanda se había interpuesto contra el I.N.S.S.,, y únicamente ad cautelam se había dirigido también contra el INSALUD y la T.G.S.S., por si estuvieran legitimadas pasivamente en el proceso; que con la demanda había sido presentada la reclamación previa ante el I.N.S.S.,, y con el escrito de subsanación se acreditaba la presentación de otros dos escritos de reclamación previa ante el I.N.S.S., y ante la T.G.S.S., que no habían sido contestados aún. Consideraba, pues, cumplido el trámite preprocesal de reclamación previa y solicitaba la admisión de la demanda, entendiendo que de no hacerse así, se estaría contradiciendo la doctrina contenida en la STC 11/1988 -relativa a la interpretación de los requisitos de la demanda y a la posibilidad de la subsanación de sus defectos mediante un criterio finalista adecuado al requisito omitido-, transcribiendo la fundamentación jurídica de dicha Sentencia. A los efectos de un hipotético recurso de amparo denunciaba la violación de su derecho constitucional a que se otorgue tutela judicial efectiva por el Juez predeterminado por la Ley en un procedimiento con todas las garantías y en el que prime el principio pro actione". Finalmente, reiteró que se había cumplido con el requisito de fijar las bases de cotización y de la contingencia, aceptando y asumiendo las que obraban en el expediente administrativo y que la Seguridad Social había tenido en cuenta hasta la fecha; aportaba distintos documentos que acreditaban su base de cotización y añadía no estar en condiciones de fijar en concreto base de la contingencia distinta a la aplicada por la Administración demandada, ya que carecía de otros datos distintos de los ya aportados y obrantes en autos. </w:t>
      </w:r>
    </w:p>
    <w:p w:rsidR="006854DA" w:rsidRDefault="006854DA" w:rsidP="006854DA">
      <w:pPr>
        <w:pStyle w:val="TextoNormal"/>
      </w:pPr>
      <w:r>
        <w:t>Por Auto de 1 de marzo de 1996, el Juzgado de lo Social declaró no haber lugar al recurso de reposición, al no haber citado la recurrente en su escrito la disposición que consideraba infringida, como dispone el art. 377 de la Ley de Enjuiciamiento Civil para la admisión de este recurso.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 demandante de amparo considera que se ha vulnerado su derecho a obtener la tutela judicial efectiva del Juez ordinario predeterminado por la ley en un procedimiento público sin dilaciones indebidas y con todas las garantías, sin que en ningún caso se produzca indefensión. </w:t>
      </w:r>
    </w:p>
    <w:p w:rsidR="006854DA" w:rsidRDefault="006854DA" w:rsidP="006854DA">
      <w:pPr>
        <w:pStyle w:val="TextoNormal"/>
      </w:pPr>
      <w:r>
        <w:t xml:space="preserve">En primer lugar, invoca la doctrina recogida en nuestra STC 11/1988 sobre la proporcionalidad que debe regir la inadmisión de la demanda en relación al defecto advertido, así como sobre la posibilidad de subsanar éste. En tal sentido, alega que su demanda se dirigió contra el Instituto Nacional de la Seguridad Social, Organismo que había dictado la resolución denegatoria de la prestación y cuya impugnación se pretendía en vía judicial, de modo que en relación a él se había cumplido el trámite preprocesal de la reclamación previa (art. 71 de la Ley de Procedimiento Laboral). </w:t>
      </w:r>
    </w:p>
    <w:p w:rsidR="006854DA" w:rsidRDefault="006854DA" w:rsidP="006854DA">
      <w:pPr>
        <w:pStyle w:val="TextoNormal"/>
      </w:pPr>
      <w:r>
        <w:t xml:space="preserve">Considera la recurrente que la norma no exige que la reclamación previa deba presentarse también frente a otros Organismos del Estado que, si bien puedan tener interés en el procedimiento, no han intervenido previamente ni han dictado ninguna resolución en las actuaciones. Aun cuando la demanda, además de contra el I.N.S.S., se dirigió ad cautelam contra el INSALUD y la T.G.S.S., en atención al interés legítimo que pudieran ostentar en el pleito, ello no quiere decir, según la recurrente, que estuviese obligada legalmente a agotar frente a ellos el trámite de la reclamación previa, como infundadamente le ha exigido el Juzgado de lo Social. En su demanda de amparo, la recurrente manifiesta que, por otro lado, horas antes de presentar la demanda judicial el día 22 de noviembre de 1995, había presentado escritos de reclamación ante los otros Organismos demandados, a los que </w:t>
      </w:r>
      <w:r>
        <w:lastRenderedPageBreak/>
        <w:t xml:space="preserve">éstos no han respondido, por lo que sólo a ellos cabe imputar la responsabilidad de no resolver en vía administrativa sobre la petición hecha. </w:t>
      </w:r>
    </w:p>
    <w:p w:rsidR="006854DA" w:rsidRDefault="006854DA" w:rsidP="006854DA">
      <w:pPr>
        <w:pStyle w:val="TextoNormal"/>
      </w:pPr>
      <w:r>
        <w:t xml:space="preserve">En segundo término, reprocha el mismo rigor formal a la decisión de archivo de la demanda por no fijar en ésta las bases reguladoras correspondientes a la invalidez solicitada. Sobre este extremo, manifiesta que ninguna norma sustantiva o adjetiva exige su aportación en la demanda, a la que ya acompañó las bases de cotización. La recurrente alega que en la demanda aceptó las que resultaban del expediente administrativo y que la Administración había venido aplicando anteriormente, así como que le resulta imposible aportar otros datos distintos porque desconoce cómo se calculan las bases de la contingencia, pese a lo cual aceptó las aplicadas por la Administración. </w:t>
      </w:r>
    </w:p>
    <w:p w:rsidR="006854DA" w:rsidRDefault="006854DA" w:rsidP="006854DA">
      <w:pPr>
        <w:pStyle w:val="TextoNormal"/>
      </w:pPr>
      <w:r>
        <w:t xml:space="preserve">Finalmente, entiende que el rigor formal del Juzgado llega a su extremo al inadmitir el recurso de reposición interpuesto contra el Auto de archivo por no citar la disposición infringida. Decisión injustificable, a juicio de la recurrente, en quien en ningún momento ha especificado las normas que considera no respetadas por la parte, ni sobre los requisitos legales que han impedido la admisión de la demanda. La decisión judicial, en definitiva, le ha producido una indefensión y una denegación de tutela judicial efectiva al no obtenerse una respuesta sobre el fondo del asunto mediante una resolución motivada. </w:t>
      </w:r>
    </w:p>
    <w:p w:rsidR="006854DA" w:rsidRDefault="006854DA" w:rsidP="006854DA">
      <w:pPr>
        <w:pStyle w:val="TextoNormal"/>
      </w:pPr>
      <w:r>
        <w:t>Solicita la nulidad de los Autos del Juzgado de lo Social núm. 17 de Madrid, de 1 de febrero y de 1 de marzo de 1996, ordenando con ello la reposición de las actuaciones al momento inicial y la admisión a trámite de la demanda.</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la Sección Primera de este Tribunal, de 16 de septiembre de 1996, se acordó la admisión a trámite de la demanda de amparo, así como requerir al Juzgado de lo Social núm. 17 de Madrid la remisión de las actuaciones y el emplazamiento para la comparecencia en diez días ante este Tribunal de quienes hubieran sido parte en el procedimiento, con excepción de la recurrente en amparo.</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la Sección Primera de este Tribunal, de 11 de noviembre de 1996, se tuvieron por recibidas las actuaciones y por personado al Instituto Nacional de la Seguridad Social, representado por el Procurador de los Tribunales don Luis Fernando Alvarez Wiese. Se acordó dar vista de las actuaciones por un plazo común de veinte días al Ministerio Fiscal y a los Procuradores representantes de la recurrente en amparo y del I.N.S.S., para efectuar alegaciones.</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la Sección Primera de este Tribunal, de 18 de noviembre de 1996, se tuvo por personado al Instituto Nacional de la Salud, representado por el Procurador de los Tribunales don Carlos Jiménez Padrón, al que se acordó dar vista de las actuaciones por un plazo de veinte días para formular alegaciones.</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escrito registrado en este Tribunal el día 22 de noviembre de 1996, la recurrente dio por reproducidas las alegaciones contenidas en la demanda de amparo. Insistió en la indefensión sufrida, al haberse visto privada de poder hacer valer ante el órgano judicial su derecho a la salud, garantizado en el art. 43.1 C.E., denegado ya previamente por la Administración a pesar de la obligación de ésta de mantener un régimen público de Seguridad Social que alcance a aquélla, mediante la asistencia y las prestaciones sociales suficientes que permitan paliar su situación de invalidez.</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8</w:t>
      </w:r>
      <w:r>
        <w:t>. Por escrito registrado en este Tribunal el día 5 de diciembre de 1996, don Luis Fernando Alvarez Wiese impugnó el recurso de amparo en representación del Instituto Nacional de la Seguridad Social. Respecto al Auto del Juzgado de lo Social que inadmitió el recurso de reposición por no citar la disposición infringida, el Organismo recurrido considera que el órgano judicial no ha vulnerado el art. 24.1 C.E., ya que el art. 377 de la Ley de Enjuiciamiento Civil así lo exige, por lo que la inadmisión del recurso ha sido provocada por la propia recurrente. En relación al Auto del mismo Juzgado de archivo de la demanda, el I.N.S.S., manifiesta igualmente que no se ha lesionado el derecho a la tutela judicial efectiva, ya que aquélla no ha subsanado los defectos advertidos por el juzgador, de forma que éste se ha limitado a aplicar los efectos legales. De haberlo hecho de otra manera, entiende el I.N.S.S., se habría vulnerado el derecho a la tutela judicial efectiva del INSALUD, al imponerle la carga de comparecer en un pleito y defenderse en abstracto sin conocimiento de la pretensión deducida en su contra. Reitera que en ningún momento ha acreditado la recurrente que hubiese interpuesto reclamación previa ante el INSALUD, sin que pueda tenerse por hecha a tal efecto la que presentó ante la T.G.S.S., por ser dos Organismos públicos diferentes.</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Por su parte, el INSALUD, a través de escrito presentado por su Procurador don Carlos Jiménez Padrón el día 12 de diciembre de 1996, impugna también el recurso de amparo manifestando que en ningún momento se ha producido vulneración del art. 24 C.E.. Para el INSALUD resulta cierto que, habiendo sido demandado, debía haberse interpuesto reclamación previa ante él, sin que pueda entenderse agotado este trámite a través de la formulada ante el I.N.S.S., Alude a cierta doctrina judicial del extinto Tribunal Central de Trabajo, según la cual la vía administrativa no se agota si no se ha reclamado contra alguna de las Entidades demandadas recordando una Sentencia de aquel Tribunal de 3 de junio de 1976, que considera insuficiente la reclamación ante el Servicio de Mutualismo Laboral si no se agotó el trámite ante el Instituto Nacional de Previsión. De otra parte, sucede lo mismo respecto a la inadmisión del recurso de reposición, ya que los requisitos para interponerlo han de ser apreciados únicamente por el órgano judicial, sin que el Tribunal Constitucional pueda conocer de ello más que si se constata una vulneración de derechos fundamentales, lo que no sucede en este caso. </w:t>
      </w:r>
    </w:p>
    <w:p w:rsidR="006854DA" w:rsidRDefault="006854DA" w:rsidP="006854DA">
      <w:pPr>
        <w:pStyle w:val="TextoNormal"/>
      </w:pPr>
      <w:r>
        <w:t xml:space="preserve">10.Finalmente, el Ministerio Fiscal interesa la estimación de la demanda de amparo, si bien, a su juicio, el estudio de la queja constitucional debe comenzar por la inadmisión del recurso de reposición ya que, de apreciarse ésta, deberían ser repuestas las actuaciones al momento procesal oportuno con el fin de que el órgano judicial pudiera conocer del fondo del asunto (archivo de la demanda). Recuerda el Ministerio Público la doctrina de este Tribunal (reproduciendo parcialmente la contenida en la STC 162/1990) sobre la inadmisión de los recursos de reposición aplicando los requisitos del art. 377 LEC cuando los motivos de aquéllos son de naturaleza sustantiva y no procesal, de forma que no existe obligación alguna de citar las normas procesales que no han sido vulneradas. La aplicación de este criterio al presente caso permite sugerir la estimación del amparo, sin que sea posible revisar el Auto de archivo de la demanda ya que, lesionado el 24.1 C.E. con la inadmisión del recurso de reposición, quedaría sin agotar la vía judicial respecto de aquél. </w:t>
      </w:r>
    </w:p>
    <w:p w:rsidR="006854DA" w:rsidRDefault="006854DA" w:rsidP="006854DA">
      <w:pPr>
        <w:pStyle w:val="TextoNormal"/>
      </w:pPr>
      <w:r>
        <w:t>8. Por providencia de 2 de junio de 1997 se acordó señalar el siguiente día 3 de junio para deliberación y votación de la presente Sentencia.</w:t>
      </w:r>
    </w:p>
    <w:p w:rsidR="006854DA" w:rsidRDefault="006854DA" w:rsidP="006854DA">
      <w:pPr>
        <w:pStyle w:val="TextoNormal"/>
      </w:pPr>
    </w:p>
    <w:p w:rsidR="006854DA" w:rsidRDefault="006854DA" w:rsidP="006854DA">
      <w:pPr>
        <w:pStyle w:val="TextoNormalNegritaCentrado"/>
        <w:keepNext/>
      </w:pPr>
      <w:r>
        <w:lastRenderedPageBreak/>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Tal como se ha relatado en los antecedentes, la demandante de amparo solicitó judicialmente el reconocimiento de una invalidez permanente absoluta, que había sido denegada por el Instituto Nacional de la Seguridad Social (I.N.S.S.); a tal fin dirigió su demanda contra esta Entidad Gestora, así como, ad cautelam, contra la Tesorería General de la Seguridad Social (T.G.S.S.)  y el Instituto Nacional de la Salud (INSALUD). El órgano judicial archivó la demanda por concurrir dos defectos en ella que, en su opinión, no fueron subsanados tras el correspondiente trámite, a saber, la falta de reclamación previa ante el INSALUD y el no haber aportado la base reguladora de la prestación solicitada. Posteriormente, el recurso de reposición interpuesto contra la decisión de archivo, fue inadmitido por el mismo órgano judicial al no haberse citado el precepto legal infringido tal como, a su juicio, exigía el art. 377 de la Ley de Enjuiciamiento Civil.</w:t>
      </w:r>
    </w:p>
    <w:p w:rsidR="006854DA" w:rsidRDefault="006854DA" w:rsidP="006854DA">
      <w:pPr>
        <w:pStyle w:val="TextoNormal"/>
      </w:pPr>
      <w:r>
        <w:t>La recurrente considera que la decisión de archivar la demanda vulnera su derecho a la tutela judicial efectiva, al impedírsele el acceso a una resolución motivada sobre el fondo de la pretensión por razones que estima excesivamente rigoristas y formales ya que, a su entender, ni le era exigible interponer reclamación previa ante el INSALUD ni podía aportar otras bases de regulación distintas de las que se le habían venido aplicando por la Administración y que había aceptado en la demanda. El mismo rigor y formalismo reprocha la recurrente a la decisión del órgano judicial de inadmitir su recurso de reposición por la causa anteriormente mencionada.</w:t>
      </w:r>
    </w:p>
    <w:p w:rsidR="006854DA" w:rsidRDefault="006854DA" w:rsidP="006854DA">
      <w:pPr>
        <w:pStyle w:val="TextoNormal"/>
      </w:pPr>
    </w:p>
    <w:p w:rsidR="006854DA" w:rsidRDefault="006854DA" w:rsidP="006854DA">
      <w:pPr>
        <w:pStyle w:val="TextoNormal"/>
      </w:pPr>
      <w:r w:rsidRPr="006854DA">
        <w:rPr>
          <w:rStyle w:val="NumeroAFNegritaCaracter"/>
        </w:rPr>
        <w:t>2</w:t>
      </w:r>
      <w:r>
        <w:t>. El archivo de la demanda acordado, según la recurrente, de modo excesivamente riguroso, formalista y desproporcionado constituye, pues, la queja principal formulada ante este Tribunal, que, afectando al derecho de acceso al proceso, debe ser resuelta con carácter prioritario a la que, en su caso, pueda derivarse de las razones por las que el Juzgado inadmitió posteriormente el recurso de reposición contra el Auto de archivo. Dicha inadmisión no impide en este caso considerar agotada la vía judicial previa al amparo, puesto que, a través de aquel recurso, la demandante dio al Juzgado de lo Social la oportunidad de reconsiderar las razones por las que había archivado la demanda e impedido su acceso al proceso. Que el órgano judicial no sólo no procediera a tal reconsideración sino que inadmitiese además la reposición por razones que, tal como precisa el Ministerio Fiscal, pueden ser lesivas en sí mismas del derecho de acceso al recurso según la doctrina mantenida por este Tribunal (así SSTC 69/1987, 113/1988, 162/1990, 213/1993, 172/1995), evidencia que en caso de existir vulneración del derecho de acceso al proceso, ésta ya se había producido y no fue reparada por el órgano judicial.</w:t>
      </w:r>
    </w:p>
    <w:p w:rsidR="006854DA" w:rsidRDefault="006854DA" w:rsidP="006854DA">
      <w:pPr>
        <w:pStyle w:val="TextoNormal"/>
      </w:pPr>
      <w:r>
        <w:t xml:space="preserve">Por ello, limitar el objeto del recurso de amparo a la eventual vulneración del derecho al recurso y, caso de estimar que ésta ha tenido lugar, devolver los autos al Juzgado para que pueda resolver sobre el archivo de la demanda, constituiría una respuesta insuficiente de este Tribunal a lo realmente solicitado de él en amparo, que no es sino que se declare la nulidad de la decisión judicial impeditiva del acceso al proceso. Con la sola devolución de las actuaciones para la tramitación de la reposición únicamente se estaría reparando, si así se hiciera, una eventual lesión del derecho a los recursos -que, aunque autónoma, se habría producido con posterioridad a la principal-, posibilitando una nueva e incierta respuesta del órgano judicial sobre las razones del archivo de la demanda, que ya le fue requerida, por otra parte, cuando la demandante interpuso recurso de reposición; pero quedaría sin </w:t>
      </w:r>
      <w:r>
        <w:lastRenderedPageBreak/>
        <w:t>resolver -y en su caso sin reparar- la del derecho realmente en cuestión y que constituye la sustancia de este recurso de amparo, que es el acceso al proceso.</w:t>
      </w:r>
    </w:p>
    <w:p w:rsidR="006854DA" w:rsidRDefault="006854DA" w:rsidP="006854DA">
      <w:pPr>
        <w:pStyle w:val="TextoNormal"/>
      </w:pPr>
    </w:p>
    <w:p w:rsidR="006854DA" w:rsidRDefault="006854DA" w:rsidP="006854DA">
      <w:pPr>
        <w:pStyle w:val="TextoNormal"/>
      </w:pPr>
      <w:r w:rsidRPr="006854DA">
        <w:rPr>
          <w:rStyle w:val="NumeroAFNegritaCaracter"/>
        </w:rPr>
        <w:t>3</w:t>
      </w:r>
      <w:r>
        <w:t>. Constituye un criterio reiteradamente mantenido por la jurisprudencia constitucional el de que el derecho a la tutela judicial efectiva se satisface también con una respuesta de inadmisión, si bien ésta ha de estar fundada en una causa legal apreciada razonablemente por el órgano judicial. Doctrina con la que este Tribunal ha controlado especialmente las respuestas de inadmisión que determinan el cierre del acceso al proceso (SSTC 87/1986, 118/1987, 216/1987, 154/1992, 55/1995), ya que la tutela judicial efectiva conlleva, como primera y esencial característica, el derecho de libre acceso de los ciudadanos a los Juzgados y Tribunales (SSTC 13/1981, 26/1983, 115/1984). El principio "pro actione" opera en este caso sobre los requisitos establecidos legalmente para acceder al proceso, impidiendo que determinadas aplicaciones o interpretaciones relativas a ellos eliminen u obstaculicen injustificadamente el derecho a que un órgano judicial conozca y resuelva en Derecho sobre la pretensión a él sometida.</w:t>
      </w:r>
    </w:p>
    <w:p w:rsidR="006854DA" w:rsidRDefault="006854DA" w:rsidP="006854DA">
      <w:pPr>
        <w:pStyle w:val="TextoNormal"/>
      </w:pPr>
      <w:r>
        <w:t>Este especial rigor en el momento de valorar, desde la perspectiva constitucional, las decisiones judiciales que imposibilitan el conocimiento procesal de la cuestión de fondo ha sido aplicado, específicamente, en relación a algunas irregularidades formales de las demandas, que determinaron, en su día, su archivo. Supuestos éstos sobre los que, además, se proyecta otro consolidado criterio mantenido por este Tribunal que, con carácter general, ha rechazado que los requisitos formales tengan sustantividad propia y resaltado que constituyen medios orientados a conseguir ciertas finalidades en el proceso, de modo que sus eventuales anomalías no pueden ser convertidas sin más en meros obstáculos formales impeditivos de la continuación de aquél, sino que resulta obligada una interpretación de tales defectos guiada por un criterio de proporcionalidad entre la finalidad que cumple la exigencia formal y la entidad real del defecto observado en ella, atendiendo a las consecuencias que se siguen para la efectividad del derecho a la tutela judicial (entre la reiterada jurisprudencia constitucional, SSTC 17/1985, 29/1985, 110/1985, 49/1987, 174/1988, 2/1989, 240/1991).</w:t>
      </w:r>
    </w:p>
    <w:p w:rsidR="006854DA" w:rsidRDefault="006854DA" w:rsidP="006854DA">
      <w:pPr>
        <w:pStyle w:val="TextoNormal"/>
      </w:pPr>
      <w:r>
        <w:t>Estos criterios han sustentado, en primer lugar, el respaldo de este Tribunal a la posibilidad de subsanar algunos de tales defectos en la demanda. En relación, concretamente, a la materia laboral, la STC 118/1987 (después reiterada, entre otras, en las SSTC 11/1988, 25/1991, 70/1992, 120/1993 y 335/1994) ya manifestó que el trámite de subsanación previsto en la Ley de Procedimiento Laboral "(...)  se propone garantizar que los importantes derechos de fondo deducidos en una demanda laboral no resulten ineficaces por el juego riguroso y formalista de la falta o defecto de los requisitos formales que pudiera imputársele a aquélla, y si bien es claro que una demanda que olvide los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el mandato constitucional (...)" (fundamento jurídico 3º).</w:t>
      </w:r>
    </w:p>
    <w:p w:rsidR="006854DA" w:rsidRDefault="006854DA" w:rsidP="006854DA">
      <w:pPr>
        <w:pStyle w:val="TextoNormal"/>
      </w:pPr>
      <w:r>
        <w:t xml:space="preserve">Pero, además, los criterios anteriormente mencionados se proyectan sobre la exigibilidad misma de ciertos requisitos en la demanda por parte del órgano judicial, al margen y con independencia del trámite de subsanación. Dicho de otro modo, la proporcionalidad que debe existir entre el defecto observado y su entidad real considerando que determina el archivo de la demanda -o, en otros casos, la imposibilidad de obtener una respuesta sobre el fondo-, obliga a tener en cuenta, de un lado, la finalidad que cumple el requisito formal en cuestión y, de otro, la imposibilidad de que su incumplimiento o cumplimiento </w:t>
      </w:r>
      <w:r>
        <w:lastRenderedPageBreak/>
        <w:t>defectuoso opere, sin más, al margen de su trascendencia efectiva en el proceso (SSTC 118/1986, 216/1989). Ambos elementos resultan imprescindibles para valorar ciertas omisiones de la demanda, atendiendo a su incidencia en la identificación de la pretensión o a su relevancia real en el tipo de conflicto que se ventila en el procedimiento (SSTC 118/1987, 216/1989, 25/1991), teniendo en cuenta, de otro lado, si el dato omitido puede deducirse de otros documentos obrantes en autos (STC 154/1992) o si puede debatirse posteriormente en el procedimiento (SSTC 118/1987, 216/1989). En todo caso, el derecho a la tutela judicial de la otra parte y, más en concreto, su derecho de defensa, constituye el límite infranqueable a la aplicación en estos casos del principio pro actione (SSTC 216/1989, 25/1991, 154/1992, 120/1993).</w:t>
      </w:r>
    </w:p>
    <w:p w:rsidR="006854DA" w:rsidRDefault="006854DA" w:rsidP="006854DA">
      <w:pPr>
        <w:pStyle w:val="TextoNormal"/>
      </w:pPr>
      <w:r>
        <w:t>Con arreglo a tales criterios debe determinarse si en el presente caso vulneró el derecho de acceso al proceso la decisión judicial de archivar una demanda sobre invalidez contra el I.N.S.S. por no haber interpuesto reclamación previa contra el INSALUD como demandado ad cautelam, así como por no haber hecho constar la base reguladora de la invalidez solicitada.</w:t>
      </w:r>
    </w:p>
    <w:p w:rsidR="006854DA" w:rsidRDefault="006854DA" w:rsidP="006854DA">
      <w:pPr>
        <w:pStyle w:val="TextoNormal"/>
      </w:pPr>
    </w:p>
    <w:p w:rsidR="006854DA" w:rsidRDefault="006854DA" w:rsidP="006854DA">
      <w:pPr>
        <w:pStyle w:val="TextoNormal"/>
      </w:pPr>
      <w:r w:rsidRPr="006854DA">
        <w:rPr>
          <w:rStyle w:val="NumeroAFNegritaCaracter"/>
        </w:rPr>
        <w:t>4</w:t>
      </w:r>
      <w:r>
        <w:t>. El trámite preprocesal que en el procedimiento laboral constituye la reclamación previa ante la Administración (art. 69 LPL) tiene por finalidad la de facilitar a aquélla el conocimiento anticipado de la pretensión deducida en su contra, permitiendo así la emisión de una nueva declaración de voluntad que, en su caso, evite el proceso al resolver el conflicto surgido con el demandante. Según ha manifestado de forma reiterada este Tribunal, la obligatoriedad legalmente establecida de su presentación no vulnera el derecho a la tutela judicial de la parte actora, por no constituir un impedimento u obstáculo irrazonable de acceso al proceso (SSTC 21/1986, 11/1988, 60/1989, 217/1991, 70/1992, 65/1993, 120/1993, 122/1993).</w:t>
      </w:r>
    </w:p>
    <w:p w:rsidR="006854DA" w:rsidRDefault="006854DA" w:rsidP="006854DA">
      <w:pPr>
        <w:pStyle w:val="TextoNormal"/>
      </w:pPr>
      <w:r>
        <w:t>En el presente caso, lo primero que debe ponerse de relieve es que la recurrente -que solicitaba el reconocimiento de una invalidez permanente absoluta-, presentó su demanda no sólo contra el I.N.S.S., sino además y ad cautelam, contra la T.G.S.S.  y contra el INSALUD. No se expresan en la demanda judicial ni en la de amparo las razones específicas que la llevaron a dirigir su pretensión contra estos dos últimos Organismos, sin que conste que intervinieran en la vía administrativa previa.</w:t>
      </w:r>
    </w:p>
    <w:p w:rsidR="006854DA" w:rsidRDefault="006854DA" w:rsidP="006854DA">
      <w:pPr>
        <w:pStyle w:val="TextoNormal"/>
      </w:pPr>
      <w:r>
        <w:t>Ahora bien, dicho lo anterior, debe destacarse, en segundo término, que el órgano judicial derivó de la falta de reclamación previa ante el INSALUD el archivo de la demanda no sólo respecto a esta Entidad Gestora, sino también en relación al demandado principal, el I.N.S.S. Y es en este punto donde se hace obligado afirmar que la decisión judicial sí vulnera el derecho de acceso al proceso de la recurrente, atendiendo a la finalidad que cumple la reclamación previa y a los efectos que produce entre la Administración y el demandante.</w:t>
      </w:r>
    </w:p>
    <w:p w:rsidR="006854DA" w:rsidRDefault="006854DA" w:rsidP="006854DA">
      <w:pPr>
        <w:pStyle w:val="TextoNormal"/>
      </w:pPr>
      <w:r>
        <w:t xml:space="preserve">A este respecto conviene recordar que la pretensión de la actora consistía en solicitar el reconocimiento de una invalidez permanente absoluta, que había sido denegada por el I.N.S.S., al no presentar aquélla un grado de discapacidad física suficiente según la descripción legal. Fue por tanto ante esta Entidad Gestora ante la que se presentó la reclamación previa y en la que se planteó la pretensión, tras cuya desestimación por silencio administrativo se inició la vía judicial. Es, pues, patente que, con independencia de que la demanda se interpusiera ad cautelam contra una Entidad Gestora como el INSALUD por razones que sólo a la recurrente constan, la pretensión estaba dirigida principalmente contra el I.N.S.S., ya que únicamente esta Entidad tiene competencia para reconocer la situación de invalidez solicitada y abonar, en su caso, la prestación económica correspondiente. </w:t>
      </w:r>
      <w:r>
        <w:lastRenderedPageBreak/>
        <w:t>Pues bien, respecto al I.N.S.S. estaba cumplido el trámite de la reclamación previa, de modo que la finalidad de aquélla había quedado materialmente satisfecha al haberse otorgado a la Administración la posibilidad de resolver anticipadamente el conflicto (STC 355/1993), sin que sus efectos entre las partes afectadas pudieran resultar desvirtuados o desconocidos por el hecho de que no se hubiera presentado otra reclamación distinta ante un organismo ajeno a aquéllas como el INSALUD.</w:t>
      </w:r>
    </w:p>
    <w:p w:rsidR="006854DA" w:rsidRDefault="006854DA" w:rsidP="006854DA">
      <w:pPr>
        <w:pStyle w:val="TextoNormal"/>
      </w:pPr>
      <w:r>
        <w:t>En este caso hay que destacar, además, que la falta de reclamación previa ante aquél era intrascendente para el proceso, y en nada impedía la tramitación de la demanda respecto al I.N.S.S., precisamente por la naturaleza de la pretensión y el carácter de demandado principal de este último. La presencia o no del INSALUD resultaba irrelevante en el proceso para que el órgano judicial entrase a conocer del fondo del asunto, es decir, si la actora presentaba un grado de minusvalía física que le incapacitaba o no por completo para toda profesión u oficio. La plena viabilidad de tal pretensión resulta extraña a la presencia o ausencia procesal de un Organismo como el INSALUD que, ni había emitido ninguna resolución en la vía administrativa, ni podía condicionar el reconocimiento o no de la invalidez solicitada, ya que sólo al I.N.S.S.  corresponde legalmente la gestión y administración de las prestaciones económicas de la Seguridad Social.</w:t>
      </w:r>
    </w:p>
    <w:p w:rsidR="006854DA" w:rsidRDefault="006854DA" w:rsidP="006854DA">
      <w:pPr>
        <w:pStyle w:val="TextoNormal"/>
      </w:pPr>
    </w:p>
    <w:p w:rsidR="006854DA" w:rsidRDefault="006854DA" w:rsidP="006854DA">
      <w:pPr>
        <w:pStyle w:val="TextoNormal"/>
      </w:pPr>
      <w:r w:rsidRPr="006854DA">
        <w:rPr>
          <w:rStyle w:val="NumeroAFNegritaCaracter"/>
        </w:rPr>
        <w:t>5</w:t>
      </w:r>
      <w:r>
        <w:t>. Tampoco resulta admisible que se haya impedido a la recurrente el acceso al proceso por no hacer constar en su demanda las bases reguladoras correspondientes a la invalidez permanente absoluta cuyo reconocimiento solicitaba.</w:t>
      </w:r>
    </w:p>
    <w:p w:rsidR="006854DA" w:rsidRDefault="006854DA" w:rsidP="006854DA">
      <w:pPr>
        <w:pStyle w:val="TextoNormal"/>
      </w:pPr>
      <w:r>
        <w:t>La decisión judicial de archivar la demanda por no constar las bases reguladoras de la prestación sino únicamente la de cotización es, sin duda, excesivamente rigurosa desde la perspectiva constitucional. Que la recurrente no determinase numéricamente de forma expresa la cuantía de la base reguladora no autoriza a tenerla por no aportada hasta el punto de archivar la demanda.  Según se deduce de los escritos de la demanda, del trámite de subsanación y del recurso de reposición, la identificación de la pretensión en este punto no se encuentra viciada, ya que la actora manifestó repetidamente aceptar las bases de la contingencia que la Administración le había venido aplicando hasta este momento, así como la imposibilidad de aportar otros datos distintos, por lo que, aun cuando no se expresó su cuantía concreta, ésta sí resulta determinable, si hubiera sido preciso, por relación a las bases aceptadas en la demanda. Tampoco la posición procesal del I.N.S.S. relativa al conocimiento de lo pedido y a la argumentación de la defensa, hubiera sufrido de haberse admitido la demanda, ya que la recurrente, como se ha dicho, aceptó las bases reguladoras aplicadas hasta ese instante por la Administración. De hecho y a mayor abundamiento, en el escrito de alegaciones presentado ante este Tribunal por el I.N.S.S., ninguna mención se hace a que la falta de constancia expresa de la cuantía de la base reguladora le hubiera menoscabado, caso de haberse admitido a trámite la demanda, su propio derecho a la tutela judicial efectiva.</w:t>
      </w:r>
    </w:p>
    <w:p w:rsidR="006854DA" w:rsidRDefault="006854DA" w:rsidP="006854DA">
      <w:pPr>
        <w:pStyle w:val="TextoNormal"/>
      </w:pPr>
    </w:p>
    <w:p w:rsidR="006854DA" w:rsidRDefault="006854DA" w:rsidP="006854DA">
      <w:pPr>
        <w:pStyle w:val="TextoNormal"/>
      </w:pPr>
      <w:r w:rsidRPr="006854DA">
        <w:rPr>
          <w:rStyle w:val="NumeroAFNegritaCaracter"/>
        </w:rPr>
        <w:t>6</w:t>
      </w:r>
      <w:r>
        <w:t>. En consecuencia, la decisión judicial de archivar la demanda de la recurrente contra el I.N.S.S. por no haberse presentado reclamación previa contra el INSALUD y no hacer constar la base reguladora de la prestación, cierra el acceso al proceso de la pretensión de manera claramente desproporcionada si se repara la entidad y alcance de las causas esgrimidas y la consecuencia derivada por el órgano judicial, impeditiva del ejercicio del derecho fundamental a la tutela judicial efectiva.</w:t>
      </w:r>
    </w:p>
    <w:p w:rsidR="006854DA" w:rsidRDefault="006854DA" w:rsidP="006854DA">
      <w:pPr>
        <w:pStyle w:val="TextoNormal"/>
      </w:pPr>
      <w:r>
        <w:t xml:space="preserve">Puesto que la lesión constitucional se residencia, en este caso, en la decisión del juzgador de archivar la demanda en términos que conducen, como se ha dicho, a la estimación </w:t>
      </w:r>
      <w:r>
        <w:lastRenderedPageBreak/>
        <w:t>del recurso de amparo, resulta innecesario pronunciarse sobre la inadmisión del recurso de reposición interpuesto contra aquel archivo, ya que, aun cuando constituyera en sí misma una segunda lesión constitucional sobre el derecho de acceso al recurso, no tendría ninguna relevancia autónoma en el contenido de nuestra Sentencia desde el momento en que el derecho realmente vulnerado, tanto en orden lógico como material, ha sido el de acceso al proceso, como se ha razonado en el primer fundamento jurídico, y la vulneración de tal derecho determina la anulación de las resoluciones judiciales recaídas con posterioridad.</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el recurso de amparo interpuesto por doña María Antonia Lucas Ramos, y, en consecuencia</w:t>
      </w:r>
    </w:p>
    <w:p w:rsidR="006854DA" w:rsidRDefault="006854DA" w:rsidP="006854DA">
      <w:pPr>
        <w:pStyle w:val="TextoNormal"/>
      </w:pPr>
      <w:r>
        <w:t>1º. Reconocer su derecho a la tutela judicial efectiva en su manifestación de acceso al proceso.</w:t>
      </w:r>
    </w:p>
    <w:p w:rsidR="006854DA" w:rsidRDefault="006854DA" w:rsidP="006854DA">
      <w:pPr>
        <w:pStyle w:val="TextoNormal"/>
      </w:pPr>
      <w:r>
        <w:t>2º. Anular la providencia del Juzgado de lo Social núm. 17 de Madrid, de 24 de noviembre de 1995 y el Auto del mismo Juzgado de 1 de febrero de 1996, así como el Auto de 1 de marzo de 1996.</w:t>
      </w:r>
    </w:p>
    <w:p w:rsidR="006854DA" w:rsidRDefault="006854DA" w:rsidP="006854DA">
      <w:pPr>
        <w:pStyle w:val="TextoNormal"/>
      </w:pPr>
      <w:r>
        <w:t>3º. Reponer las actuaciones al momento procesal anterior al archivo de la demanda, sin que ésta pueda inadmitirse respecto al Instituto Nacional de la Seguridad Social por las causas rechazadas en esta Sentencia.</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tres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29" w:name="SENTENCIA_1997_113"/>
      <w:r>
        <w:lastRenderedPageBreak/>
        <w:t>SENTENCIA 113/1997, de 16 de junio de 1997</w:t>
      </w:r>
    </w:p>
    <w:bookmarkEnd w:id="29"/>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julio de 1997)</w:t>
      </w:r>
    </w:p>
    <w:p w:rsidR="006854DA" w:rsidRDefault="006854DA" w:rsidP="006854DA">
      <w:pPr>
        <w:pStyle w:val="TtuloBOE"/>
      </w:pPr>
    </w:p>
    <w:p w:rsidR="006854DA" w:rsidRDefault="006854DA" w:rsidP="006854DA">
      <w:pPr>
        <w:pStyle w:val="SntesisDescriptiva"/>
      </w:pPr>
      <w:r>
        <w:t>ECLI:ES:TC:1997:113</w:t>
      </w:r>
    </w:p>
    <w:p w:rsidR="006854DA" w:rsidRDefault="006854DA" w:rsidP="006854DA">
      <w:pPr>
        <w:pStyle w:val="SntesisDescriptiva"/>
      </w:pPr>
    </w:p>
    <w:p w:rsidR="006854DA" w:rsidRDefault="006854DA" w:rsidP="006854DA">
      <w:pPr>
        <w:pStyle w:val="SntesisDescriptiva"/>
      </w:pPr>
      <w:r>
        <w:t>Recurso de amparo 3.848/1994. Contra Auto de la Sala de lo Social del T.S.J. de Galicia desestimatorio de recurso de queja formulado contra el del Juzgado de lo Social núm. 1 de A Coruña que resolvió no tener por anunciado recurso de suplicación contra Sentencia del citado Juzgado.</w:t>
      </w:r>
    </w:p>
    <w:p w:rsidR="006854DA" w:rsidRDefault="006854DA" w:rsidP="006854DA">
      <w:pPr>
        <w:pStyle w:val="SntesisDescriptiva"/>
      </w:pPr>
    </w:p>
    <w:p w:rsidR="006854DA" w:rsidRDefault="006854DA" w:rsidP="006854DA">
      <w:pPr>
        <w:pStyle w:val="SntesisAnaltica"/>
      </w:pPr>
      <w:r>
        <w:t>No agotamiento de recursos en la vía judicial.</w:t>
      </w:r>
    </w:p>
    <w:p w:rsidR="006854DA" w:rsidRDefault="006854DA" w:rsidP="006854DA">
      <w:pPr>
        <w:pStyle w:val="SntesisAnaltica"/>
      </w:pPr>
    </w:p>
    <w:p w:rsidR="006854DA" w:rsidRDefault="006854DA" w:rsidP="006854DA">
      <w:pPr>
        <w:pStyle w:val="Extracto"/>
      </w:pPr>
      <w:r>
        <w:t>1.</w:t>
      </w:r>
      <w:r>
        <w:tab/>
        <w:t>La demanda de amparo incumplía, en el momento de su interposición, el requisito de haber agotado los recursos en la vía judicial, lo que logicamente -de no haber el recurrente silenciado el dato de la interposición del recurso de audiencia al rebelde- habría conducido a inadmitir la demanda. De conformidad con nuestra reiterada doctrina, la demanda era prematura, toda vez que estaba abierta una vía en la que el recurrente de amparo podía potencialmente obtener lo mismo que reclama ahora de este Tribunal (por todas, SSTC 43/1987, 195/1991, 158/1995 y 63/1996 y AATC 65/1985, 70/1985, 217/1985, 807/1986, 58/1993 y 60/1993) [F.J. 2].</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3.848/94, interpuesto por don Ricardo Boquete Ríos, representado por el Procurador de los Tribunales don Argimiro Vázquez Guillén y asistido del Letrado don Juan Bautista Rodríguez Casal, contra el Auto de la Sala de lo Social del Tribunal Superior de Justicia de Galicia, de 3 de octubre de 1994, desestimatorio del recurso de queja formulado contra el Auto del Juzgado de lo Social núm. 1 de A Coruña, de 22 de julio de 1994, en virtud del cual se resolvió no tener por anunciado recurso de suplicación contra la Sentencia del citado Juzgado de 6 de julio de 1994. Han comparecido doña Avelina García Franco, representada por el Procurador de los Tribunales don José Luis Barragués Fernández y asistida del Letrado don Francisco Varela Míguez, y el Minis</w:t>
      </w:r>
      <w:r>
        <w:lastRenderedPageBreak/>
        <w:t>terio Fiscal. Ha sido Ponente el Presidente, don Alvaro Rodríguez Bereijo,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registrado en este Tribunal el 30 de noviembre de 1994, la representación procesal de don Ricardo Boquete Ríos interpuso el recurso de amparo del que se ha hecho mención en el encabezamiento.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demanda de amparo se basa en los siguientes hechos: </w:t>
      </w:r>
    </w:p>
    <w:p w:rsidR="006854DA" w:rsidRDefault="006854DA" w:rsidP="006854DA">
      <w:pPr>
        <w:pStyle w:val="TextoNormal"/>
      </w:pPr>
      <w:r>
        <w:t xml:space="preserve">a) Don Ricardo Boquete Ríos, comerciante textil en la ciudad de A Coruña, fue demandado por su empleada doña Avelina García Franco, correspondiendo el conocimiento de la demanda al Juzgado de lo Social núm. 1 de A Coruña. Alegando que la empresa no le abonaba su salario desde hacía tiempo atrás, la demanda solicitaba que se declarara la extinción del contrato de trabajo de la trabajadora por causa imputable a la empresa demandada. </w:t>
      </w:r>
    </w:p>
    <w:p w:rsidR="006854DA" w:rsidRDefault="006854DA" w:rsidP="006854DA">
      <w:pPr>
        <w:pStyle w:val="TextoNormal"/>
      </w:pPr>
      <w:r>
        <w:t xml:space="preserve">b) En el escrito de demanda se consignó como domicilio del empresario demandado el localizado en la calle Estrecha de San Andrés, 2-4, 1º, de A Coruña, ordenándose por el Juez su citación en dicho domicilio para los actos de conciliación y juicio. La citación mediante agente judicial resultó negativa ya que en las señas indicadas en la demanda no contestaba nadie. Ante el fracaso de la anterior citación se procedió a efectuar una segunda, remitida a la misma dirección por correo certificado con acuse de recibo. Este segundo intento de comunicación del órgano jurisdiccional con el demandado resultó también frustrado, por lo que el Juzgado procedió a llamar a juicio al hoy demandante de amparo mediante edicto publicado en el "Boletín Oficial de la Provincia de A Coruña" del día 17 de junio de 1994. </w:t>
      </w:r>
    </w:p>
    <w:p w:rsidR="006854DA" w:rsidRDefault="006854DA" w:rsidP="006854DA">
      <w:pPr>
        <w:pStyle w:val="TextoNormal"/>
      </w:pPr>
      <w:r>
        <w:t xml:space="preserve">c) El juicio se celebró sin la presencia del demandado, siendo dictada Sentencia estimatoria el día 6 de julio de 1994, que fue publicada en el citado "Boletín Oficial" el día 30 de agosto de 1994. La Sentencia declaró resuelta la relación laboral entre las partes por incumplimiento por parte empresarial de su obligación de abono del salario, condenando a la empresa demandada a que indemnizara a la actora en la cantidad de 5.066.320 pesetas. </w:t>
      </w:r>
    </w:p>
    <w:p w:rsidR="006854DA" w:rsidRDefault="006854DA" w:rsidP="006854DA">
      <w:pPr>
        <w:pStyle w:val="TextoNormal"/>
      </w:pPr>
      <w:r>
        <w:t xml:space="preserve">d) En escrito fechado el día 22 de julio de 1994, el Abogado don Juan Bautista Rodríguez Casal, actuando en representación y defensa de don Ricardo Boquete Ríos, compareció ante el Juzgado de lo Social y, manifestando haber tenido noticia de la Sentencia dictada, anunció su propósito de interponer contra la misma recurso de suplicación a la vez que hacía saber que, en escrito aparte, formalizaba demanda al objeto de obtener los beneficios de justicia gratuita. </w:t>
      </w:r>
    </w:p>
    <w:p w:rsidR="006854DA" w:rsidRDefault="006854DA" w:rsidP="006854DA">
      <w:pPr>
        <w:pStyle w:val="TextoNormal"/>
      </w:pPr>
      <w:r>
        <w:t xml:space="preserve">e) Por Auto de 22 de julio de 1994, el Juzgado de lo Social núm. 1 de A Coruña resolvió no tener por preparado el recurso de suplicación. Partiendo de que el art. 227 (actual art. 228) L.P.L. establece que, si la Sentencia impugnada condena al pago de cantidad, el recurrente que no goce de asistencia gratuita ha de consignar la cantidad objeto de condena al anunciar el recurso de suplicación, el Auto razona que “en el presente caso, el recurrente no tiene concedido el beneficio de justicia gratuita, y no ha efectuado tal consignación, no procediendo en este caso su concesión, toda vez que según reiterada jurisprudencia (Sentencia del T.S. Sala de lo Social de 6-11-89, Auto T.S.J. de Galicia de 11-4-94 y 19-4-94, Sentencias del T. C. de 15-2-88 y 26-3-99) no se concederá este beneficio cuando </w:t>
      </w:r>
      <w:r>
        <w:lastRenderedPageBreak/>
        <w:t xml:space="preserve">la petición se formulara con posterioridad a dictar Sentencia, excepto en el caso en que se viniera a peor fortuna. </w:t>
      </w:r>
    </w:p>
    <w:p w:rsidR="006854DA" w:rsidRDefault="006854DA" w:rsidP="006854DA">
      <w:pPr>
        <w:pStyle w:val="TextoNormal"/>
      </w:pPr>
      <w:r>
        <w:t xml:space="preserve">f) Contra el anterior Auto el solicitante de amparo interpuso recurso de queja. En el escrito de interposición del recurso se contienen, entre otras, las siguientes alegaciones: </w:t>
      </w:r>
    </w:p>
    <w:p w:rsidR="006854DA" w:rsidRDefault="006854DA" w:rsidP="006854DA">
      <w:pPr>
        <w:pStyle w:val="TextoNormal"/>
      </w:pPr>
      <w:r>
        <w:t xml:space="preserve">1ª) “Lo que omite el Auto del Juzgado de instancia, y ello es esencial para una debida resolución del tema planteado, es que en el escrito de anuncio del recurso de suplicación, se hizo constar que mi mandante se había enterado por primera vez de la existencia del presente procedimiento una vez recaída Sentencia (...) La actora, pese a afirmar en el hecho tercero de su demanda que continuaba prestando sus servicios para la empresa, oculta al Juzgado el lugar de trabajo y ante la diligencia negativa en el lugar que señaló, nada indica al Juzgado que cita al demandado a través del Boletín Oficial de la Provincia como ausente en paradero desconocido, cuando la realidad, como queda dicho, es que el mismo compartía trabajo con la propia actora”. </w:t>
      </w:r>
    </w:p>
    <w:p w:rsidR="006854DA" w:rsidRDefault="006854DA" w:rsidP="006854DA">
      <w:pPr>
        <w:pStyle w:val="TextoNormal"/>
      </w:pPr>
      <w:r>
        <w:t xml:space="preserve">2ª) “Entiende esta parte que al no haber podido intervenir mi mandante en el juicio por no haber tenido conocimiento de dicho procedimiento hasta fecha posterior a la Sentencia no se le puede aplicar la doctrina recogida en el Auto de no caber la declaración de pobreza con posterioridad a la Sentencia, salvo haber venido a peor fortuna. No encontramos, pues, ante una excepción a la regla general contenida en dicha doctrina”. </w:t>
      </w:r>
    </w:p>
    <w:p w:rsidR="006854DA" w:rsidRDefault="006854DA" w:rsidP="006854DA">
      <w:pPr>
        <w:pStyle w:val="TextoNormal"/>
      </w:pPr>
      <w:r>
        <w:t xml:space="preserve">g) El recurso de queja fue desestimado por Auto de la Sala de lo Social del Tribunal Superior de Justicia de Galicia, de 3 de octubre de 1994. En este Auto, tras exponer con mayor precisión la doctrina en que se sustenta el recurrido en queja (la imposibilidad de solicitar el beneficio de justicia gratuita una vez dictada Sentencia, salvo que el solicitante acredite haber venido a peor fortuna), se concluye que: “no empece a tal consideración el hecho de que el recurrente no hubiera intervenido en el proceso, pues la exigencia procesal lo es con carácter genérico, de ahí que al no haberse verificado los depósitos y consignaciones de los que la demandada no aparecía exenta, es ajustada a derecho la resolución de tener por no anunciado el recurso de suplicación contra la sentencia expresada”. </w:t>
      </w:r>
    </w:p>
    <w:p w:rsidR="006854DA" w:rsidRDefault="006854DA" w:rsidP="006854DA">
      <w:pPr>
        <w:pStyle w:val="TextoNormal"/>
      </w:pPr>
      <w:r>
        <w:t>h) Dicho Auto fue notificado a la representación de don Ricardo Boquete Ríos el día 7 de noviembre de 1994, siendo presentado el presente recurso de amparo en el Registro del Tribunal Constitucional el siguiente día 30.</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 demanda de amparo se interpone contra el Auto de la Sala de lo Social del Tribunal Superior de Justicia de Galicia, de 3 de octubre de 1994, desestimatorio del recurso de queja formulado contra el Auto del Juzgado de lo Social núm. 1 de A Coruña, de 22 de julio de 1994, en virtud del cual se resolvió no tener por anunciado recurso de suplicación contra la Sentencia del citado Juzgado de 6 de julio de 1994. </w:t>
      </w:r>
    </w:p>
    <w:p w:rsidR="006854DA" w:rsidRDefault="006854DA" w:rsidP="006854DA">
      <w:pPr>
        <w:pStyle w:val="TextoNormal"/>
      </w:pPr>
      <w:r>
        <w:t xml:space="preserve">Se razona en la demanda de amparo que aquellas resoluciones judiciales vulneran el derecho del demandante a la tutela judicial efectiva (art. 24.1 C.E.), en su dimensión de derecho a los recursos previstos en las leyes procesales, en la medida en que se le ha cerrado la posibilidad de acceder al recurso de suplicación por no haber efectuado la consignación de la cantidad a que asciende su condena al tiempo de interponerlo (art. 227 -actual art. 228- L.P.L.). </w:t>
      </w:r>
    </w:p>
    <w:p w:rsidR="006854DA" w:rsidRDefault="006854DA" w:rsidP="006854DA">
      <w:pPr>
        <w:pStyle w:val="TextoNormal"/>
      </w:pPr>
      <w:r>
        <w:t xml:space="preserve">No se discute en la demanda de amparo la existencia y legitimidad de tal exigencia como presupuesto de la admisión del recurso de suplicación. Sin embargo, se afirma que no pueden soslayarse dos circunstancias concurrentes en el caso debatido y que deben ser consideradas a la luz de la doctrina contenida en la STC 30/1994: 1ª) el haberse seguido el procedimiento judicial sin la presencia del demandado; y 2ª) la solicitud de justicia gratuita deducida en el escrito mediante el que aquél se personó en el proceso. </w:t>
      </w:r>
    </w:p>
    <w:p w:rsidR="006854DA" w:rsidRDefault="006854DA" w:rsidP="006854DA">
      <w:pPr>
        <w:pStyle w:val="TextoNormal"/>
      </w:pPr>
      <w:r>
        <w:lastRenderedPageBreak/>
        <w:t xml:space="preserve">Lo que directamente cuestiona el demandante de amparo es que no se le haya permitido acceder al beneficio de justicia gratuita -que es la llave para no tener que efectuar la consignación discutida (art. 227 -actual art. 228- L.P.L.)- con fundamento en no haberlo pedido en el momento procesal oportuno, esto es, según la jurisprudencia, antes de ser dictada Sentencia definitiva. Ahora bien, como quiera que, tal y como afirma, la razón del recurso de suplicación que intentó anunciar no era otra que la de no haber sido invitado a comparecer en el proceso, es obvio que no pudo pedir el beneficio antes de que se hubiera dictado Sentencia. Por lo tanto, obligarle ahora a efectuar la consignación excluyendo la alternativa que prevé el art. 227 -actual art. 228- L.P.L. (gozar del mencionado beneficio) supone, de hecho, privarle del derecho a acceder al recurso de suplicación. </w:t>
      </w:r>
    </w:p>
    <w:p w:rsidR="006854DA" w:rsidRDefault="006854DA" w:rsidP="006854DA">
      <w:pPr>
        <w:pStyle w:val="TextoNormal"/>
      </w:pPr>
      <w:r>
        <w:t>De acuerdo con el anterior planteamiento, solicita de este Tribunal que se le otorgue el amparo, se declare la nulidad de las resoluciones judiciales que combate y se tenga por anunciado recurso de suplicación contra la Sentencia dictada por el Juzgado de lo Social núm. 1 de A Coruña, previa admisión a trámite de la demanda de justicia gratuita.</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Por providencia de 20 de febrero de 1995, la Sección Primera de este Tribunal acuerda tener por recibido el escrito registrado en el Tribunal por el Procurador Sr. Vázquez Guillén el 30 de noviembre de 1994 y, de conformidad con lo previsto en el art. 88 LOTC, requerir atentamente al Tribunal Superior de Justicia de Galicia y al Juzgado de lo Social núm. 1 de A Coruña para que en el plazo de diez días remitan, respectivamente, testimonio del recurso de queja núm. 3.528/94 y de los autos núm. 328/94. </w:t>
      </w:r>
    </w:p>
    <w:p w:rsidR="006854DA" w:rsidRDefault="006854DA" w:rsidP="006854DA">
      <w:pPr>
        <w:pStyle w:val="TextoNormal"/>
      </w:pPr>
      <w:r>
        <w:t>Por providencia de 10 de mayo de 1995, la Sección Segunda de este Tribunal acuerda tener por recibidos los testimonios de actuaciones remitidos por el Tribunal Superior de Justicia de Galicia y por el Juzgado de lo Social núm. 1 de A Coruña, admitir a trámite la demanda de amparo y, de conformidad con lo dispuesto por el art. 51 LOTC, requerir atentamente al citado Juzgado de lo Social para que en el plazo de diez días remita los emplazamientos de quienes fueron parte en los autos núm. 329/94, con excepción del recurrente en amparo, para que en el plazo de diez días puedan comparecer en este proceso constitucional.</w:t>
      </w:r>
    </w:p>
    <w:p w:rsidR="006854DA" w:rsidRDefault="006854DA" w:rsidP="006854DA">
      <w:pPr>
        <w:pStyle w:val="TextoNormal"/>
      </w:pPr>
    </w:p>
    <w:p w:rsidR="006854DA" w:rsidRDefault="006854DA" w:rsidP="006854DA">
      <w:pPr>
        <w:pStyle w:val="TextoNormal"/>
      </w:pPr>
      <w:r w:rsidRPr="006854DA">
        <w:rPr>
          <w:rStyle w:val="NumeroAFNegritaCaracter"/>
        </w:rPr>
        <w:t>5</w:t>
      </w:r>
      <w:r>
        <w:t>. Tras recibirse los emplazamientos interesados al Juzgado de lo Social núm. 1 de A Coruña y el escrito del Procurador de los Tribunales Sr. Barragués Fernández, a quien se tiene por personado y parte en nombre de doña Avelina García Franco, la Sección, por providencia de 12 de junio de 1995, de conformidad con lo dispuesto por el art. 52 LOTC, acuerda dar vista de todas las actuaciones del recurso de amparo, en la Secretaría de la Sala, por un plazo común de veinte días, al Ministerio Fiscal y a los Procuradores Sres. Vázquez Guillén y Barragués Fernández, para que, dentro de dicho término, formulen las alegaciones que a su derecho convengan.</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La representación del recurrente presenta su escrito de alegaciones el 10 de julio de 1995. </w:t>
      </w:r>
    </w:p>
    <w:p w:rsidR="006854DA" w:rsidRDefault="006854DA" w:rsidP="006854DA">
      <w:pPr>
        <w:pStyle w:val="TextoNormal"/>
      </w:pPr>
      <w:r>
        <w:t>El escrito da por reproducidos los hechos y fundamentos de Derecho de la demanda de amparo. El motivo aducido por el Juzgado de lo Social para tener por no anunciado el recurso de suplicación fue el de no haber llevado a cabo las consignaciones previstas en el entonces art. 227 -actual art. 228- L.P.L. para quien no gozara de los beneficios de justicia gratuita. Sin embargo, el órgano judicial no tuvo en cuenta que el anuncio del recurso se acompañó de demanda en solicitud de los beneficios de justicia gratuita, al carecer el pa</w:t>
      </w:r>
      <w:r>
        <w:lastRenderedPageBreak/>
        <w:t>trono de bienes que le permitieran consignar, o avalar, la cantidad objeto de la condena. La demanda en solicitud de los beneficios de justicia gratuita no fue admitida a trámite, por lo que el demandante quedó en total indefensión, toda vez que se le denegó la posibilidad del recurso adquiriendo firmeza la Sentencia. El Juzgado de lo Social ni siquiera intentó subsanar el defecto apreciado practicando los oportunos requerimientos. Al no haber tenido conocimiento del procedimiento instado por la trabajadora, el demandante de amparo no pudo intervenir en el mismo. Por lo que nada le impedía solicitar los beneficios de justicia gratuita con su primera intervención judicial, aunque ello ocurra en la segunda instancia, sin que le sea de aplicación la limitación impuesta en el art. 26 L.E.C. Este precepto impide al litigante que no haya solicitado los beneficios de justicia gratuita en primera instancia hacerlo en la segunda, pero de su redacción se deduce claramente que ello sólo se aplica al litigante, es decir, a quien está interviniendo en el proceso, y no a quien no intervino en el proceso, como ocurrió en el presente caso, por lo que no pudo solicitar aquellos beneficios. En consecuencia, se solicita que se otorgue el amparo.</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El día 10 de julio de 1995 se registra el escrito de alegaciones del Ministerio Fiscal. </w:t>
      </w:r>
    </w:p>
    <w:p w:rsidR="006854DA" w:rsidRDefault="006854DA" w:rsidP="006854DA">
      <w:pPr>
        <w:pStyle w:val="TextoNormal"/>
      </w:pPr>
      <w:r>
        <w:t xml:space="preserve">Tras relatar los antecedentes del caso y citar las SSTC 30/1994 y 186/1994, el escrito afirma que el Auto de la Sala de lo Social del Tribunal Superior de Justicia de Galicia no analiza las razones que impiden al actor litigar sin el beneficio de gratuidad, ni tampoco funda su decisión de inadmitir la suplicación en la falta de justificación de medios por el empresario, ni en su falta de ofrecimiento de formas de consignación aceptadas. La Sala únicamente dice que la consignación es una exigencia procesal que no se ha cumplido en este caso. Tal afirmación no contiene el análisis de los factores que en el caso concreto han impedido al empresario consignar, impidiéndose así al recurrente, sin explicación razonable, el acceso al recurso de suplicación, por lo que se vulnera el derecho a la tutela judicial efectiva. </w:t>
      </w:r>
    </w:p>
    <w:p w:rsidR="006854DA" w:rsidRDefault="006854DA" w:rsidP="006854DA">
      <w:pPr>
        <w:pStyle w:val="TextoNormal"/>
      </w:pPr>
      <w:r>
        <w:t>El Ministerio Fiscal solicita, en consecuencia, el otorgamiento del amparo.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11 de julio de 1995 se registra el escrito de alegaciones de la representación procesal de doña Avelina García Franco. </w:t>
      </w:r>
    </w:p>
    <w:p w:rsidR="006854DA" w:rsidRDefault="006854DA" w:rsidP="006854DA">
      <w:pPr>
        <w:pStyle w:val="TextoNormal"/>
      </w:pPr>
      <w:r>
        <w:t xml:space="preserve">Tras recordar los antecedentes del caso, el escrito resalta que la Sentencia de la Sala de lo Social del Tribunal Superior de Justicia de Galicia, de 3 de febrero de 1995, que desestimó el recurso de audiencia al rebelde interpuesto por el solicitante de amparo el 29 de noviembre de 1994, declara probado, entre otros extremos, en primer lugar, que el domicilio mencionado en la inicial demanda de la Sra. García Franco era el oficial de la empresa y el que señalaba como propio el empleador a todos los efectos administrativos de naturaleza oficial (nóminas, alta fiscal, inscripción de la empresa en la Seguridad Social), aparte de ser el que había figurado en precedentes reclamaciones de la trabajadora y a cuyas notificaciones había atendido el ahora solicitante de amparo. En segundo término, que la Sra. García Franco era la única trabajadora del centro de trabajo, al que sólo esporádicamente acudía su empleador y actual demandante de amparo. Y, finalmente, que el recurrente no se había ausentado de A Coruña durante la sustanciación del procedimiento por extinción del contrato de trabajo. Por lo demás, el teléfono correspondiente a aquel domicilio fue el anunciado en los medios de comunicación con motivo de un homenaje que el demandante organizó en favor de su anterior jefe. Ello acredita que el demandante sí estaba localizable en dicho domicilio. Por otro lado, habiendo reconocido expresamente el propio solicitante de amparo la deuda salarial que tenía contraída con la trabajadora, la Sentencia dictada por el Juzgado de lo Social habría sido la misma aun cuando el solicitante de amparo hubiera </w:t>
      </w:r>
      <w:r>
        <w:lastRenderedPageBreak/>
        <w:t xml:space="preserve">estado presente en el acto del juicio. Tampoco es cierto que el demandante de amparo no pudiera consignar, o al menos obtener el correspondiente aval, conforme exige el actual art. 228 L.P.L. Así lo acredita el hecho de que, en ejecución de la Sentencia de instancia, el Juzgado de lo Social ha embargado la finca propiedad del recurrente de amparo, situada en la calle de Estrecha de San Andrés 2-4, 1º, que es, por cierto, el domicilio señalado en la inicial demanda de la trabajadora. Ello muestra que el demandante de amparo podía perfectamente haber ofrecido la indicada finca como garantía para obtener un aval bancario y poder así recurrir en suplicación. De donde se sigue que todos los recursos interpuestos tenían unicamente finalidad dilatoria. A lo que hay que añadir que si se hubiera señalado como domicilio el del centro de trabajo de la trabajadora, el demandante de amparo podía perfectamente haber instado la anulación de la Sentencia alegando haber sido citado en domicilio distinto al oficial de la empresa. En todo caso, la notificación en el centro de trabajo no era adecuada ni razonable, conforme a lo razonado por la Sentencia desestimatoria del recurso de audiencia al rebelde. </w:t>
      </w:r>
    </w:p>
    <w:p w:rsidR="006854DA" w:rsidRDefault="006854DA" w:rsidP="006854DA">
      <w:pPr>
        <w:pStyle w:val="TextoNormal"/>
      </w:pPr>
      <w:r>
        <w:t xml:space="preserve">El anterior desarrollo argumental -se concluye- acredita que no se ha vulnerado el derecho a la tutela judicial efectiva del recurrente en amparo (art. 24.1 C.E.). </w:t>
      </w:r>
    </w:p>
    <w:p w:rsidR="006854DA" w:rsidRDefault="006854DA" w:rsidP="006854DA">
      <w:pPr>
        <w:pStyle w:val="TextoNormal"/>
      </w:pPr>
      <w:r>
        <w:t xml:space="preserve">Pero es que, además, en el momento de formular la demanda de amparo, el recurrente no había agotado todos los recursos utilizables dentro de la vía judicial, lo que, de conformidad con el art. 44.1 a) LOTC, debería haber conducido a que el Tribunal inadmitiese la demanda (art. 50 LOTC). Inadmisión que no se produjo porque el recurrente omitió la formulación y pendencia del recurso de audiencia al rebelde. Se interesa que se tome en consideración la falta del requisito de procedibilidad a los efectos de la inadmisión o subsidiaria denegación del amparo solicitado. </w:t>
      </w:r>
    </w:p>
    <w:p w:rsidR="006854DA" w:rsidRDefault="006854DA" w:rsidP="006854DA">
      <w:pPr>
        <w:pStyle w:val="TextoNormal"/>
      </w:pPr>
      <w:r>
        <w:t xml:space="preserve">El escrito adjunta testimonio expedido por el Secretario de la Sala de lo Social del Tribunal Superior de Justicia de Galicia comprensivo, entre otros extremos, del recurso de audiencia al rebelde interpuesto por el actual solicitante de amparo el 29 de noviembre de 1994 y de la Sentencia de la Sala de lo Social del Tribunal Superior de Justicia de Galicia, de 3 de febrero de 1995, por la que se desestima el citado recurso de audiencia al rebelde. Esta Sentencia declara probado, en primer lugar, que el domicilio del recurrente en amparo señalado por doña Avelina García Franco en su inicial demanda presentada ante el Juzgado de lo Social de A Coruña se corresponde con el domicilio fijado en las nóminas y a todos los efectos administrativos de naturaleza oficial (alta fiscal, inscripción de la empresa en la Seguridad Social), aparte de ser el que había figurado en precedentes reclamaciones de la Sra. García Franco y a cuyas notificaciones había atendido el ahora solicitante de amparo. En segundo lugar, que la Sra. García Franco era la única trabajadora del centro del trabajo, al que acudía muy esporádicamente el recurrente en amparo. Y, finalmente, que este último no se había ausentado de la ciudad de A Coruña durante la sustanciación del procedimiento por extinción del contrato de trabajo de la Sra. García Franco. </w:t>
      </w:r>
    </w:p>
    <w:p w:rsidR="006854DA" w:rsidRDefault="006854DA" w:rsidP="006854DA">
      <w:pPr>
        <w:pStyle w:val="TextoNormal"/>
      </w:pPr>
      <w:r>
        <w:t xml:space="preserve">A la vista de estos hechos, la Sala de lo Social del Tribunal Superior de Justicia de Galicia concluye que no concurren los requisitos exigidos por el art. 785 L.E.C. y por el art. 182 L.P.L. y que la ausencia del recurrente en los autos del procedimiento por extinción del contrato de trabajo sólo a él es atribuible, toda vez que: en primer lugar, la notificación se intentó en el domicilio oficial de la empresa; en segundo término, “por no resultar hacedero que el acto de comunicación se practicase en el centro de trabajo (al no hallarse más que la demandante, sería ciertamente inválido que ella fuese la receptora de la demanda y citación judicial, paradójicamente en nombre del propio demandado)”; y, en fin, se reitera que el recurrente “no tuvo ausencia alguna de A Coruña mientras se tramitó el </w:t>
      </w:r>
      <w:r>
        <w:lastRenderedPageBreak/>
        <w:t>procedimiento sobre extinción del contrato de trabajo”. Por todo ello, se solicita la denegación del amparo.</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13 de junio de 1997, se señaló para deliberación y votación el día 16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objeto del presente recurso de amparo consiste en determinar si las resoluciones recurridas, en virtud de las cuales se resolvió tener por no anunciado el recurso de suplicación interpuesto por el demandante, han vulnerado o no el derecho a la tutela judicial efectiva (art. 24.1 C.E.).</w:t>
      </w:r>
    </w:p>
    <w:p w:rsidR="006854DA" w:rsidRDefault="006854DA" w:rsidP="006854DA">
      <w:pPr>
        <w:pStyle w:val="TextoNormal"/>
      </w:pPr>
      <w:r>
        <w:t>Como se describe con mayor detalle en el apartado segundo de los antecedentes, el solicitante de amparo fue demandado en su día por una empleada suya, comparecida en el presente proceso constitucional, quien solicitaba entonces la extinción de su contrato de trabajo por causa imputable al empleador, consistente, concretamente, en el no abono del salario desde hacía tiempo atrás.  La trabajadora consignó en su demanda un determinado domicilio de su empleador.  Las diversas citaciones efectuadas en dicho domicilio por el Juzgado de lo Social para el acto de conciliación y juicio resultaron infructuosas, por lo que se recurrió a la citación mediante edictos. El juicio se celebró sin la presencia del entonces demandado y ahora solicitante de amparo. La Sentencia declaró resuelta la relación laboral entre las partes por incumplimiento por parte empresarial de su obligación de abono del salario, condenando al empleador a indemnizar a la trabajadora con alrededor de cinco millones de pesetas.</w:t>
      </w:r>
    </w:p>
    <w:p w:rsidR="006854DA" w:rsidRDefault="006854DA" w:rsidP="006854DA">
      <w:pPr>
        <w:pStyle w:val="TextoNormal"/>
      </w:pPr>
      <w:r>
        <w:t>Alegando haber tenido noticia de esta Sentencia, el demandante de amparo compareció ante el Juzgado de lo Social, anunciando su propósito de interponer contra dicha Sentencia recurso de suplicación, a la vez que hacía saber que, en escrito aparte, formalizaba demanda al objeto de obtener los beneficios de justicia gratuita. El Juzgado de lo Social resolvió tener por no anunciado el recurso de suplicación, lo que fue confirmado por la Sala de lo Social del Tribunal Superior de Justicia de Galicia.  Los órganos judiciales, con cita de la STC 16/1988, entienden que el beneficio de justicia gratuita ha de instarse con anterioridad a dictarse Sentencia, por lo que, si quería recurrir en suplicación, el recurrente tenía que hacer la consignación de la cantidad objeto de la condena, de conformidad con lo establecido en el entonces art.  228 -actual art. 229- L.P.L.</w:t>
      </w:r>
    </w:p>
    <w:p w:rsidR="006854DA" w:rsidRDefault="006854DA" w:rsidP="006854DA">
      <w:pPr>
        <w:pStyle w:val="TextoNormal"/>
      </w:pPr>
    </w:p>
    <w:p w:rsidR="006854DA" w:rsidRDefault="006854DA" w:rsidP="006854DA">
      <w:pPr>
        <w:pStyle w:val="TextoNormal"/>
      </w:pPr>
      <w:r w:rsidRPr="006854DA">
        <w:rPr>
          <w:rStyle w:val="NumeroAFNegritaCaracter"/>
        </w:rPr>
        <w:t>2</w:t>
      </w:r>
      <w:r>
        <w:t>. La demanda de amparo sostiene que esta interpretación lesiona el derecho a la tutela judicial efectiva del demandante (art. 24 C.E.), en su vertiente del acceso a los recursos previstos en las leyes procesales. Se aduce, básicamente, que semejante interpretación no puede proyectarse sobre un supuesto en el que el beneficio de justicia gratuita no se pudo pedir con anterioridad a la Sentencia, toda vez que ésta se dictó inaudita parte.</w:t>
      </w:r>
    </w:p>
    <w:p w:rsidR="006854DA" w:rsidRDefault="006854DA" w:rsidP="006854DA">
      <w:pPr>
        <w:pStyle w:val="TextoNormal"/>
      </w:pPr>
      <w:r>
        <w:t>Pero, con carácter previo, hay que examinar si la demanda de amparo cumple con el requisito de haber agotado todos los recursos utilizables dentro de la vía judicial [art. 44.1 a) LOTC], requisito que la trabajadora que demandó en su día al ahora solicitante de amparo considera incumplido.</w:t>
      </w:r>
    </w:p>
    <w:p w:rsidR="006854DA" w:rsidRDefault="006854DA" w:rsidP="006854DA">
      <w:pPr>
        <w:pStyle w:val="TextoNormal"/>
      </w:pPr>
      <w:r>
        <w:t>La demanda de amparo se registró en este Tribunal el día 30 de noviembre de 1994. Pero, como se comprueba ahora, el anterior día 29 el recurrente había interpuesto recurso de audiencia al rebelde.</w:t>
      </w:r>
    </w:p>
    <w:p w:rsidR="006854DA" w:rsidRDefault="006854DA" w:rsidP="006854DA">
      <w:pPr>
        <w:pStyle w:val="TextoNormal"/>
      </w:pPr>
      <w:r>
        <w:lastRenderedPageBreak/>
        <w:t>Ello lleva a concluir que, en efecto, en el momento de su interposición, la demanda de amparo incumplía el requisito establecido en el art. 44.1 a) LOTC, lo que lógicamente -de no haber el recurrente silenciado el dato de la interposición del recurso de audiencia al rebelde- habría conducido a inadmitir la demanda. De conformidad con nuestra reiterada doctrina, la demanda era prematura, toda vez que estaba abierta una vía en la que el recurrente de amparo podía potencialmente obtener lo mismo que reclama ahora de este Tribunal (por todas, SSTC 43/1987, 195/1991, 158/1995 y 63/1996 y AATC 65/1985, 70/1985, 217/1985, 807/1986, 58/1993 y 60/1993).</w:t>
      </w:r>
    </w:p>
    <w:p w:rsidR="006854DA" w:rsidRDefault="006854DA" w:rsidP="006854DA">
      <w:pPr>
        <w:pStyle w:val="TextoNormal"/>
      </w:pPr>
      <w:r>
        <w:t>Ciertamente, en el momento de dictarse esta Sentencia el recurso de audiencia al rebelde ya ha sido resuelto. En efecto, la Sentencia de la Sala de lo Social del Tribunal Superior de Justicia de Galicia, de 3 de febrero de 1995, ha desestimado dicho recurso y ha absuelto a la trabajadora que en su día demandó al solicitante de amparo. En consecuencia, ya no cabe afirmar que el recurrente tiene en la actualidad una vía abierta en la que puede obtener la reparación y restablecimiento de su supuestamente vulnerado derecho a la tutela judicial efectiva.</w:t>
      </w:r>
    </w:p>
    <w:p w:rsidR="006854DA" w:rsidRDefault="006854DA" w:rsidP="006854DA">
      <w:pPr>
        <w:pStyle w:val="TextoNormal"/>
      </w:pPr>
      <w:r>
        <w:t>En consecuencia, y de forma similar a lo que se dijo en la STC 133/1996, ni cabe entender agotada la vía judicial previa ni tampoco, como es evidente, se ha impugnado la Sentencia de la Sala de lo Social del Tribunal Superior de Justicia de Galicia, de 3 de febrero de 1995, que desestimó el recurso de audiencia al rebelde.</w:t>
      </w:r>
    </w:p>
    <w:p w:rsidR="006854DA" w:rsidRDefault="006854DA" w:rsidP="006854DA">
      <w:pPr>
        <w:pStyle w:val="TextoNormal"/>
      </w:pPr>
    </w:p>
    <w:p w:rsidR="006854DA" w:rsidRDefault="006854DA" w:rsidP="006854DA">
      <w:pPr>
        <w:pStyle w:val="TextoNormal"/>
      </w:pPr>
      <w:r w:rsidRPr="006854DA">
        <w:rPr>
          <w:rStyle w:val="NumeroAFNegritaCaracter"/>
        </w:rPr>
        <w:t>3</w:t>
      </w:r>
      <w:r>
        <w:t>. El razonamiento anterior conduce derechamente a inadmitir el presente recurso de amparo.</w:t>
      </w:r>
    </w:p>
    <w:p w:rsidR="006854DA" w:rsidRDefault="006854DA" w:rsidP="006854DA">
      <w:pPr>
        <w:pStyle w:val="TextoNormal"/>
      </w:pPr>
      <w:r>
        <w:t>Cabe añadir, con todo, a mayor abundamiento, que los hechos declarados probados por la Sentencia de la Sala de lo Social del Tribunal Superior de Justicia de Galicia, de 3 de febrero de 1995, de los que necesariamente este Tribunal debe partir [art.  44.1 b) LOTC], permiten rechazar, a su vez, que las resoluciones impugnadas hayan vulnerado el derecho a la tutela judicial efectiva del recurrente (art. 24.1 C.E.).</w:t>
      </w:r>
    </w:p>
    <w:p w:rsidR="006854DA" w:rsidRDefault="006854DA" w:rsidP="006854DA">
      <w:pPr>
        <w:pStyle w:val="TextoNormal"/>
      </w:pPr>
      <w:r>
        <w:t>En la vía previa, el recurrente ha denunciado reiteradamente que la trabajadora consignara un domicilio distinto al del propio centro de trabajo.  Sin embargo, conforme declara probado la Sentencia de la Sala de lo Social del Tribunal Superior de Justicia, de 3 de febrero de 1995, ese domicilio distinto al del centro de trabajo se correspondía con el fijado como propio por el recurrente en amparo, no sólo en las nóminas de la trabajadora, sino “a todos los efectos administrativos de naturaleza oficial (alta fiscal e inscripción de la empresa en la Seguridad Social)”, aparte de ser el que había figurado en precedentes reclamaciones de la trabajadora “y a cuyas notificaciones había atendido” el recurrente. En definitiva, concluye la Sala de lo Social del Tribunal Superior de Justicia, se trataba -así se dice expresamente- del “domicilio oficial de la empresa”.</w:t>
      </w:r>
    </w:p>
    <w:p w:rsidR="006854DA" w:rsidRDefault="006854DA" w:rsidP="006854DA">
      <w:pPr>
        <w:pStyle w:val="TextoNormal"/>
      </w:pPr>
      <w:r>
        <w:t>Igualmente declara probado el órgano judicial, de un lado, que el solicitante de amparo no se ausentó de la ciudad de A Coruña durante la sustanciación del procedimiento por extinción del contrato de trabajo, y, de otro, que la trabajadora era la única empleada del centro de trabajo, al que acudía tan sólo muy esporádicamente el recurrente en amparo.</w:t>
      </w:r>
    </w:p>
    <w:p w:rsidR="006854DA" w:rsidRDefault="006854DA" w:rsidP="006854DA">
      <w:pPr>
        <w:pStyle w:val="TextoNormal"/>
      </w:pPr>
      <w:r>
        <w:t>La Sentencia recaída en el recurso de audiencia al rebelde, dictada el 3 de febrero de 1995 por la Sala de lo Social del T.S.J. de Galicia, pone de manifiesto que la incomparecencia del empresario en el proceso laboral ante el Juzgado de lo Social fue debida a negligencia del mismo, al no darse los requisitos del art. 785 de la supletoria L.E.C.</w:t>
      </w:r>
    </w:p>
    <w:p w:rsidR="006854DA" w:rsidRDefault="006854DA" w:rsidP="006854DA">
      <w:pPr>
        <w:pStyle w:val="TextoNormal"/>
      </w:pPr>
      <w:r>
        <w:t>En consecuencia, la no obtención del beneficio de justicia gratuita en el proceso de primera instancia, únicamente tuvo por causa tal incomparecencia, sin que, como entendieron razonablemente las resoluciones judiciales impugnadas, pueda rehabilitarse extem</w:t>
      </w:r>
      <w:r>
        <w:lastRenderedPageBreak/>
        <w:t>poráneamente la solicitud del disfrute de tal beneficio, una vez dictada Sentencia en dicho proceso de primera instancia, conforme a lo dispuesto en el art. 26 de la L.E.C., al no justificarse tampoco haber venido a peor fortuna; de todo lo cual se infiere que la pretendida exoneración del requisito de la previa consignación o aseguramiento de la cantidad a cuyo pago fue condenado el recurrente, en su calidad de empresario, carecía de respaldo en el ordenamiento jurídico, y siendo exigible tal requisito para poder interponer eficazmente el recurso de suplicación (art. 227 L.P.L.), la inadmisión de este medio impugnatorio era procedente, sin que, por consiguiente, sea lesiva del derecho de acceso a los recursos previstos en las leyes procesales.</w:t>
      </w:r>
    </w:p>
    <w:p w:rsidR="006854DA" w:rsidRDefault="006854DA" w:rsidP="006854DA">
      <w:pPr>
        <w:pStyle w:val="TextoNormal"/>
      </w:pPr>
      <w:r>
        <w:t>A la vista de estos hechos, la Sala de lo Social del Tribunal Superior de Justicia de Galicia concluye que no concurren los requisitos exigidos por el art.  785 L.E.C. y por el art. 182 L.P.L. y que la ausencia del recurrente en los autos del procedimiento por extinción del contrato de trabajo sólo a él es atribuible, toda vez que la notificación se intentó en el domicilio oficial de la empresa y no resultaba factible que “el acto de comunicación se practicase en el centro de trabajo”, pues “al no hallarse (en él) más que la demandante, sería ciertamente inválido que ella fuese la receptora de la demanda y citación judicial, paradójicamente en nombre del propio demandado”.</w:t>
      </w:r>
    </w:p>
    <w:p w:rsidR="006854DA" w:rsidRDefault="006854DA" w:rsidP="006854DA">
      <w:pPr>
        <w:pStyle w:val="TextoNormal"/>
      </w:pPr>
      <w:r>
        <w:t>Conclusiones las anteriores que conducen derechamente a rechazar que el demandante haya padecido lesión alguna de su derecho a la tutela judicial efectiva, pues su falta de diligencia no fue ajena al resultado infructuoso de las citaciones para el acto de conciliación y juicio en el procedimiento de extinción del contrato de trabajo instado por la trabajadora.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dieciséis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0" w:name="SENTENCIA_1997_114"/>
      <w:r>
        <w:lastRenderedPageBreak/>
        <w:t>SENTENCIA 114/1997, de 16 de junio de 1997</w:t>
      </w:r>
    </w:p>
    <w:bookmarkEnd w:id="30"/>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julio de 1997)</w:t>
      </w:r>
    </w:p>
    <w:p w:rsidR="006854DA" w:rsidRDefault="006854DA" w:rsidP="006854DA">
      <w:pPr>
        <w:pStyle w:val="TtuloBOE"/>
      </w:pPr>
    </w:p>
    <w:p w:rsidR="006854DA" w:rsidRDefault="006854DA" w:rsidP="006854DA">
      <w:pPr>
        <w:pStyle w:val="SntesisDescriptiva"/>
      </w:pPr>
      <w:r>
        <w:t>ECLI:ES:TC:1997:114</w:t>
      </w:r>
    </w:p>
    <w:p w:rsidR="006854DA" w:rsidRDefault="006854DA" w:rsidP="006854DA">
      <w:pPr>
        <w:pStyle w:val="SntesisDescriptiva"/>
      </w:pPr>
    </w:p>
    <w:p w:rsidR="006854DA" w:rsidRDefault="006854DA" w:rsidP="006854DA">
      <w:pPr>
        <w:pStyle w:val="SntesisDescriptiva"/>
      </w:pPr>
      <w:r>
        <w:t>Recurso de amparo 71/1995. Contra Auto del Juzgado de Primera Instancia núm. 3 de Pamplona que acordó la adopción de un menor en favor de la familia acogedora designada por el Instituto Navarro de Bienestar Social, así como contra el de la Audiencia Provincial de Navarra que desestimó recurso de apelación interpuesto contra la primera resolución judicial.</w:t>
      </w:r>
    </w:p>
    <w:p w:rsidR="006854DA" w:rsidRDefault="006854DA" w:rsidP="006854DA">
      <w:pPr>
        <w:pStyle w:val="SntesisDescriptiva"/>
      </w:pPr>
    </w:p>
    <w:p w:rsidR="006854DA" w:rsidRDefault="006854DA" w:rsidP="006854DA">
      <w:pPr>
        <w:pStyle w:val="SntesisAnaltica"/>
      </w:pPr>
      <w:r>
        <w:t>Vulneración del derecho a la tutela judicial efectiva: indefensión causada por resolución judicial que sin motivación denegó la suspensión de la vista solicitada por la recurrente.</w:t>
      </w:r>
    </w:p>
    <w:p w:rsidR="006854DA" w:rsidRDefault="006854DA" w:rsidP="006854DA">
      <w:pPr>
        <w:pStyle w:val="SntesisAnaltica"/>
      </w:pPr>
    </w:p>
    <w:p w:rsidR="006854DA" w:rsidRDefault="006854DA" w:rsidP="006854DA">
      <w:pPr>
        <w:pStyle w:val="Extracto"/>
      </w:pPr>
      <w:r>
        <w:t>1.</w:t>
      </w:r>
      <w:r>
        <w:tab/>
        <w:t>Es preciso subrayar que el procedimiento judicial de adopción no puede ser analizado aisladamente. Desde la perspectiva de los derechos fundamentales del art. 24 C.E., que garantizan una tutela judicial sin indefensión a través de un proceso justo, es relevante el dato de que la solicitud de adopción fue adoptada por una Administración pública, el Instituto Navarro de Bienestar Social, solicitud formulada tras sustanciar el correspondiente procedimiento administrativo (arts. 172 y 176 del Código Civil). En ese procedimiento, el menor había sido declarado en situación de desamparo, asumiendo la entidad pública su tutela legal, por resolución de 22 de diciembre de 1992, cuando el niño se encontraba internado en un hospital público gravemente enfermo. En segundo lugar, tampoco puede ser pasado por alto que los Tribunales civiles que resolvieron sobre la adopción del menor, mediante las resoluciones aquí impugnadas en amparo, acababan de tramitar un procedimiento judicial para resolver acerca del acogimiento del menor. En dicho procedimiento, tanto el Juzgado de Familia como la Audiencia Provincial examinaron los hechos que habían dado lugar a la actuación de la Administración navarra, así como las alegaciones formuladas por la madre del menor. Esta última no solamente fue oída por el Juzgado, sino que había sido provista de Abogado y Procurador de oficio en el momento en que lo solicitó; profesionales que, por su parte, interpusieron recurso de apelación contra el Auto de acogimiento, formulando alegaciones en una vista pública celebrada ante el Tribunal superior, que finalmente fueron rechazadas por la Sección de la Audiencia en un Auto, de 27 de abril de 1994, al cual se remitió enteramente el Auto de 15 diciembre de 1994, ahora impugnado en esta sede constitucional de amparo [F.J. 2].</w:t>
      </w:r>
    </w:p>
    <w:p w:rsidR="006854DA" w:rsidRDefault="006854DA" w:rsidP="006854DA">
      <w:pPr>
        <w:pStyle w:val="Extracto"/>
      </w:pPr>
    </w:p>
    <w:p w:rsidR="006854DA" w:rsidRDefault="006854DA" w:rsidP="006854DA">
      <w:pPr>
        <w:pStyle w:val="Extracto"/>
      </w:pPr>
      <w:r>
        <w:t>2.</w:t>
      </w:r>
      <w:r>
        <w:tab/>
        <w:t xml:space="preserve">Al encauzar el conocimiento judicial de estas controversias sobre la situación familiar de los menores a través de procedimientos tan flexibles, sean o no caracterizables en sentido estricto como ejercicio de la jurisdicción voluntaria, la Ley de Enjuiciamiento Civil transparenta su intención de servir importantes fines. Uno, asegurar que todas las actuaciones serán llevadas a cabo «con la conveniente reserva», evitando en particular que se quiebre la muralla de discreción que la ley establece entre la familia de origen y la familia adoptiva (art. 173.4 C.C. y </w:t>
      </w:r>
      <w:r>
        <w:lastRenderedPageBreak/>
        <w:t>art. 1.826 L.E.C.). Otro fin al que sirve el carácter informal e incisivo del procedimiento consiste en procurar que el Juzgado obtenga y verifique toda la información que resulte precisa para asegurarse de que la medida a acordar resultará beneficiosa para el menor, cuyos intereses son prevalentes (arts. 172.4, 173.2 «in fine», 174 y 176.1 C.C. y art. 1.826 L.E.C.) [F.J. 3].</w:t>
      </w:r>
    </w:p>
    <w:p w:rsidR="006854DA" w:rsidRDefault="006854DA" w:rsidP="006854DA">
      <w:pPr>
        <w:pStyle w:val="Extracto"/>
      </w:pPr>
    </w:p>
    <w:p w:rsidR="006854DA" w:rsidRDefault="006854DA" w:rsidP="006854DA">
      <w:pPr>
        <w:pStyle w:val="Extracto"/>
      </w:pPr>
      <w:r>
        <w:t>3.</w:t>
      </w:r>
      <w:r>
        <w:tab/>
        <w:t>Desde las SSTC 130/1986 y 237/1988 hemos destacado que, cuando alguna de las partes en un litigio solicita razonadamente la suspensión de la vista o del juicio, el Tribunal competente no puede ignorar su petición, y llevar a cabo la actuación judicial sin resolver motivadamente acerca de su solicitud, si con ello perjudica sus derechos de defensa. Así ocurre cuando el Tribunal dicta Sentencia «con desconocimiento de los fundamentos jurídicos de la apelación», «sin motivar o explicar las razones por las que no resultaba justificada la causa de suspensión de la vista invocada por la parte apelante» (STC 130/1986). La razón estriba en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por lo que no es válido celebrar sin más la vista oral, «ignorando la petición de suspensión», sobre la que no recayó pronunciamiento alguno ni, por ende, expresión de las razones por las que no resultaba procedente la suspensión solicitada (STC 237/1988) [F.J. 7].</w:t>
      </w:r>
    </w:p>
    <w:p w:rsidR="006854DA" w:rsidRDefault="006854DA" w:rsidP="006854DA">
      <w:pPr>
        <w:pStyle w:val="Extracto"/>
      </w:pPr>
    </w:p>
    <w:p w:rsidR="006854DA" w:rsidRDefault="006854DA" w:rsidP="006854DA">
      <w:pPr>
        <w:pStyle w:val="Extracto"/>
      </w:pPr>
      <w:r>
        <w:t>4.</w:t>
      </w:r>
      <w:r>
        <w:tab/>
        <w:t>La huelga de ferrocarriles que impidió al Abogado de la quejosa regresar a España en la fecha prevista, dos días antes de la vista del recurso, y que no fue comunicada en ningún momento con antelación ni a él ni a la agencia de viajes que había organizado sus desplazamientos, constituía sin duda «un hecho imprevisible» que hubiera podido justificar la inasistencia a la vista y, por ende, su suspensión (STC 196/1994). Es cierto que la Ley de Enjuiciamiento Civil, a diferencia de la Ley de Procedimiento Laboral, no contempla como causas de suspensión hipótesis distintas a la enfermedad del Abogado, el fallecimiento de uno de sus más próximos parientes o la coincidencia de señalamientos, y subordina la suspensión por «justa causa» al previo acuerdo entre las partes ( art. 323.5 L.E.C.), que en este caso no se produjo, según consta en las actuaciones. Pero la letra de la Ley no puede impedir que se pueda atender la hipótesis, ciertamente excepcional, de que surja una causa de fuerza mayor que obligue a la aplicación analógica de los preceptos de la Ley (STC 83/l983) [F.J. 9].</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71/95, interpuesto por doña H.D.A.D., representada por el Procurador de los Tribunales don Norberto Pablo Jerez Fernández, y asistida por el Letrado don Ignacio Rodríguez Ruiz de Alda, contra el Auto del Juzgado de Primera Instancia núm. 3 de Pamplona, de 8 de abril de 1994, que decidió la adopción del menor D. por los cónyuges seleccionados por el Instituto Navarro de Bienestar Social, así como contra el Auto de la Audiencia Provincial de Navarra (Sección Tercera) de 15 de diciembre de 1994, que desestimó el recurso de apelación. Ha comparecido don J.L.R.M., representado por la Procuradora doña Consuelo Rodríguez Chacón y asistido por el Abogado don Alberto Belzunegui Apezteguía. Ha intervenido el Ministerio Fiscal y ha sido Ponente el Magistrado don Manuel Jiménez de Parga y Cabrera,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Por escrito presentado en el Registro de este Tribunal el 10 de febrero de 1995, doña H.D.A.D. pidió el nombramiento de Procurador de oficio para interponer recurso de amparo, ofreciendo una relación circunstanciada de hechos y designando como Letrado a don Ignacio Rodríguez Ruiz de Alda, que había sido nombrado de oficio en el proceso civil previo. </w:t>
      </w:r>
    </w:p>
    <w:p w:rsidR="006854DA" w:rsidRDefault="006854DA" w:rsidP="006854DA">
      <w:pPr>
        <w:pStyle w:val="TextoNormal"/>
      </w:pPr>
      <w:r>
        <w:t>Por providencia de 27 de febrero, la Sección Segunda otorgó diez días de plazo para acreditar documentalmente el cumplimiento del requisito exigido por el párrafo 2º del art. 16 del Real Decreto 108/1995 y para cumplimentar el impreso normalizado correspondiente. El Abogado Sr. Rodríguez acreditó su condición el siguiente 16 de marzo. Por providencia de 8 de mayo de 1995, la Sección Primera formalizó el nombramiento del Procurador Sr. Jerez.</w:t>
      </w:r>
    </w:p>
    <w:p w:rsidR="006854DA" w:rsidRDefault="006854DA" w:rsidP="006854DA">
      <w:pPr>
        <w:pStyle w:val="TextoNormal"/>
      </w:pPr>
    </w:p>
    <w:p w:rsidR="006854DA" w:rsidRDefault="006854DA" w:rsidP="006854DA">
      <w:pPr>
        <w:pStyle w:val="TextoNormal"/>
      </w:pPr>
      <w:r w:rsidRPr="006854DA">
        <w:rPr>
          <w:rStyle w:val="NumeroAFNegritaCaracter"/>
        </w:rPr>
        <w:t>2</w:t>
      </w:r>
      <w:r>
        <w:t>. La demanda de amparo, presentada en el Juzgado de Guardia el 30 de mayo de 1995 y registrada al día siguiente en este Tribunal, alega la vulneración de varios derechos del art. 24 C.E. y suplica la anulación de los Autos impugnados, así como la del expediente de jurisdicción voluntaria seguido respecto al menor D. Solicita que se reconozca el derecho de la actora, madre del menor, a comparecer en el expediente como parte procesal, con asistencia letrada y con posibilidad de solicitar pruebas, y que se respeten los principios de bilateralidad, contradicción y audiencia que deben guiar todo procedimiento judicial. Subsidiariamente, suplica la nulidad del Auto de la Audiencia Provincial y que se retrotraigan las actuaciones para que se cite de nuevo a las partes para la vista del recurso de apelación.</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Los hechos relevantes para el examen de la pretensión del amparo son los siguientes: </w:t>
      </w:r>
    </w:p>
    <w:p w:rsidR="006854DA" w:rsidRDefault="006854DA" w:rsidP="006854DA">
      <w:pPr>
        <w:pStyle w:val="TextoNormal"/>
      </w:pPr>
      <w:r>
        <w:t xml:space="preserve">a) El menor D. nació el 28 de agosto de 1992 en el Hospital Reina Sofía de Tudela, del Servicio Navarro de Salud, como resultado de una primera gestación a término, no controlada, de quien resultó ser doña H.D.A.D., nacida el 1 de marzo de 1978, y se había inscrito con el nombre de la anterior pareja de su compañero S., que constaba en su tarjeta de asistencia sanitaria. </w:t>
      </w:r>
    </w:p>
    <w:p w:rsidR="006854DA" w:rsidRDefault="006854DA" w:rsidP="006854DA">
      <w:pPr>
        <w:pStyle w:val="TextoNormal"/>
      </w:pPr>
      <w:r>
        <w:t xml:space="preserve">b) La madre y su hijo se dieron de alta inmediatamente, contra el consejo médico, manteniendo un seguimiento en el centro de salud de Corella. En esta localidad residían la </w:t>
      </w:r>
      <w:r>
        <w:lastRenderedPageBreak/>
        <w:t xml:space="preserve">madre y el recién nacido en una caravana, que compartían con los padres y los seis hermanos de S. El pequeño nene fue asistido varias veces en el servicio de urgencias del Hospital de Tudela durante su primer mes de vida, por padecer distintos problemas de salud. </w:t>
      </w:r>
    </w:p>
    <w:p w:rsidR="006854DA" w:rsidRDefault="006854DA" w:rsidP="006854DA">
      <w:pPr>
        <w:pStyle w:val="TextoNormal"/>
      </w:pPr>
      <w:r>
        <w:t xml:space="preserve">El 14 de diciembre de 1992 fue llevado de nuevo a la Sección de urgencias del Hospital por presentar vómitos y diarreas durante varias semanas. Al encontrarse el nene en mal estado de salud, de carácter grave, y dada la imposibilidad de atender al paciente en debidas condiciones y la falta de colaboración y de interés de la madre por el niño, el Doctor de Pediatría pidió el traslado de este último al Servicio del Hospital Virgen del Camino, el siguiente día 15. En informe del día 17, el Doctor estimó que el niño tenía una enfermedad importante, sobre todo para un lactante de su edad, que había sido agravada hasta poner en riesgo su vida por la total falta de atención de la familia. </w:t>
      </w:r>
    </w:p>
    <w:p w:rsidR="006854DA" w:rsidRDefault="006854DA" w:rsidP="006854DA">
      <w:pPr>
        <w:pStyle w:val="TextoNormal"/>
      </w:pPr>
      <w:r>
        <w:t xml:space="preserve">El mismo día 17 de diciembre de 1992, el pediatra del Centro de Salud de Corella emitía un informe donde, tras exponer los hechos que conocía directamente, opinaba que “la madre no se dedicaba suficientemente al cuidado de su hijo, haciéndolo mejor desde que se le amenazó con denunciar su situación y cuando finalizó de trabajar al acabar la campaña de la vendimia”. Con esa misma fecha, los trabajadores sociales del Servicio Social de base y del centro de salud de Corella emitieron un informe acerca de la situación personal y familiar de la madre y del menor D. </w:t>
      </w:r>
    </w:p>
    <w:p w:rsidR="006854DA" w:rsidRDefault="006854DA" w:rsidP="006854DA">
      <w:pPr>
        <w:pStyle w:val="TextoNormal"/>
      </w:pPr>
      <w:r>
        <w:t xml:space="preserve">El 22 de diciembre de 1992, el Director Gerente del Instituto Navarro de Bienestar Social declaró en situación de desamparo al menor D., y asumió su tutela. Asimismo, acordó trasladar la Resolución, entre otros, a los interesados. </w:t>
      </w:r>
    </w:p>
    <w:p w:rsidR="006854DA" w:rsidRDefault="006854DA" w:rsidP="006854DA">
      <w:pPr>
        <w:pStyle w:val="TextoNormal"/>
      </w:pPr>
      <w:r>
        <w:t xml:space="preserve">c) Durante los meses de enero y febrero de 1993, el Equipo de valoración de menores del Instituto emitió informes sobre situación y evolución del menor, así como de su madre y los datos sobre los abuelos maternos, que habían sido remitidos por el Ayuntamiento de Braganza (Portugal). En marzo, el Equipo de adopción y acogimiento formuló propuesta en favor de una familia, que fue aceptada por el Director Gerente del Instituto y remitida al Juzgado. El día 25 de marzo de 1993 se encomendó la guarda de D. a la familia acogedora. </w:t>
      </w:r>
    </w:p>
    <w:p w:rsidR="006854DA" w:rsidRDefault="006854DA" w:rsidP="006854DA">
      <w:pPr>
        <w:pStyle w:val="TextoNormal"/>
      </w:pPr>
      <w:r>
        <w:t xml:space="preserve">d) El Juzgado de Primera Instancia núm. 3 (de Familia) de Pamplona incoó procedimiento de acogimiento el 13 de abril de 1993 (autos núm. 325-A-93). El mismo día exhortó al Juzgado de Paz de Corella a fin de recibir declaración de H.D.A.D. identificando su domicilio como una caravana donde reside con un hombre de nombre S. y con la familia de éste, a fin de que manifestara si prestaba su conformidad con el acogimiento de su hijo. </w:t>
      </w:r>
    </w:p>
    <w:p w:rsidR="006854DA" w:rsidRDefault="006854DA" w:rsidP="006854DA">
      <w:pPr>
        <w:pStyle w:val="TextoNormal"/>
      </w:pPr>
      <w:r>
        <w:t xml:space="preserve">El 2 de junio de 1993 compareció ante el Juez de Paz doña H.D.A.D., entonces de 15 años de edad, que manifestó que su hijo lloraba mucho por las noches y creyendo que estaba enfermo lo llevaron en más de diez ocasiones al Centro de Salud de Corella; luego bajaron al Hospital de Tudela, donde su hijo estuvo ingresado dos días y la madre cuidándolo, y más tarde mandaron al niño al Hospital de Pamplona, donde estuvo ingresado un mes. Durante este tiempo fueron a verlo dos veces, no pudiéndolo hacer con más frecuencia porque tenían el vehículo estropeado y si utilizaban el autobús, aparte de tener muchas dificultades, no disponían de tiempo para verlo porque el horario de visita no coincidía con el de los autobuses. “Que una señora, una enfermera les llevó a un despacho, y les explicó que era mejor que dada la situación el niño estuviera en acogimiento del Gobierno de Navarra, pero ellos le dijeron que no. Que en cuanto el niño estuviese bien lo querían coger y llevárselo. Que por todo lo expuesto manifiesta que no presta su consentimiento para el acogimiento de su hijo D., que sólo desea que se lo devuelvan y marcharse con él a Portugal”. </w:t>
      </w:r>
    </w:p>
    <w:p w:rsidR="006854DA" w:rsidRDefault="006854DA" w:rsidP="006854DA">
      <w:pPr>
        <w:pStyle w:val="TextoNormal"/>
      </w:pPr>
      <w:r>
        <w:lastRenderedPageBreak/>
        <w:t xml:space="preserve">e) Previo informe del Ministerio Fiscal, el Juzgado dictó Auto el 22 de junio de 1993 acordando el acogimiento del menor D. en favor de los acogedores propuestos por los Servicios de Bienestar Social del Gobierno de Navarra. </w:t>
      </w:r>
    </w:p>
    <w:p w:rsidR="006854DA" w:rsidRDefault="006854DA" w:rsidP="006854DA">
      <w:pPr>
        <w:pStyle w:val="TextoNormal"/>
      </w:pPr>
      <w:r>
        <w:t xml:space="preserve">El Auto fue enviado al Juzgado de Paz de Corella para su notificación el mismo día, reiterándose su cumplimiento con urgencia el siguiente día 26 de julio. El 3 de agosto el Juzgado exhortado comunicó que se encontraba pendiente de cumplimentar porque la interesada se encontraba ausente. </w:t>
      </w:r>
    </w:p>
    <w:p w:rsidR="006854DA" w:rsidRDefault="006854DA" w:rsidP="006854DA">
      <w:pPr>
        <w:pStyle w:val="TextoNormal"/>
      </w:pPr>
      <w:r>
        <w:t xml:space="preserve">El 1 de septiembre de 1993, doña H.D.A.D. solicitó el nombramiento de Procurador y Abogado de oficio, que fueron designados el siguiente 25 de octubre, para interponer recurso de apelación contra el Auto de acogimiento. El nombramiento fue notificado mediante exhorto el 3 de noviembre de 1993, haciendo constar el domicilio y número de teléfono de los profesionales designados. El Abogado era don Ignacio Rodríguez Ruiz de Alda. </w:t>
      </w:r>
    </w:p>
    <w:p w:rsidR="006854DA" w:rsidRDefault="006854DA" w:rsidP="006854DA">
      <w:pPr>
        <w:pStyle w:val="TextoNormal"/>
      </w:pPr>
      <w:r>
        <w:t xml:space="preserve">f) El 8 de noviembre, los profesionales nombrados de oficio interpusieron recurso de apelación, que fue tramitado ante la Sección Tercera de la Audiencia Provincial de Navarra (rollo núm. 19-94). El 25 de abril de 1994 se celebró la vista del recurso, donde el Abogado de la parte apelante interesó la revocación del Auto, y que se dejara sin efecto el acogimiento del menor. La Audiencia dictó Auto 31/1994, el 27 de abril, desestimando el recurso y confirmando el acogimiento acordado por el Juzgado. </w:t>
      </w:r>
    </w:p>
    <w:p w:rsidR="006854DA" w:rsidRDefault="006854DA" w:rsidP="006854DA">
      <w:pPr>
        <w:pStyle w:val="TextoNormal"/>
      </w:pPr>
      <w:r>
        <w:t xml:space="preserve">g) Mientras tanto, el 22 de noviembre de 1993 el Director Gerente del Instituto Navarro de Salud propuso que el menor fuera adoptado por la familia que lo tenía en acogimiento. A la propuesta adjuntó un informe del Equipo de valoración de menores y otro del Equipo de adopción y acogimiento familiar. En este último, de 18 de noviembre de 1993, se indica entre otros extremos que el niño ha evolucionado favorablemente de su proceso de salmonelosis, aunque durante meses precisó control médico porque la analítica era positiva y la alimentación debía ser muy controlada. También indicaba que la madre había sido abandonada por su compañero, el cual había vuelto a unirse a su anterior pareja. </w:t>
      </w:r>
    </w:p>
    <w:p w:rsidR="006854DA" w:rsidRDefault="006854DA" w:rsidP="006854DA">
      <w:pPr>
        <w:pStyle w:val="TextoNormal"/>
      </w:pPr>
      <w:r>
        <w:t xml:space="preserve">El Juzgado núm. 3 (de Familia) de Pamplona, incoó el procedimiento núm. 1.043- 93, y, tras recibir el consentimiento de los adoptantes (don J.L.R.M. y esposa) y el informe favorable del Fiscal, acordó la adopción por Auto de 13 enero 1994. </w:t>
      </w:r>
    </w:p>
    <w:p w:rsidR="006854DA" w:rsidRDefault="006854DA" w:rsidP="006854DA">
      <w:pPr>
        <w:pStyle w:val="TextoNormal"/>
      </w:pPr>
      <w:r>
        <w:t xml:space="preserve">El 16 de marzo de 1994, el Juzgado anuló las actuaciones por no haberse oído a la madre biológica, lo que conlleva una trasgresión de normas esenciales, que genera indefensión (SSTC 143/1990 y 298/1993). El mismo día exhortó al Juzgado de Paz de Corella, para que, con entrega de la copia que se acompaña, fuera oída “a fin de que pudiera manifestar lo que a su derecho convenga relativo a la adopción del menor D. manifestándole por ese Juzgado que el hecho de ser simplemente oída se debe a que se encuentra incursa en causa de denegación de la patria potestad, por lo que no se le pide asentimiento a la adopción”. </w:t>
      </w:r>
    </w:p>
    <w:p w:rsidR="006854DA" w:rsidRDefault="006854DA" w:rsidP="006854DA">
      <w:pPr>
        <w:pStyle w:val="TextoNormal"/>
      </w:pPr>
      <w:r>
        <w:t xml:space="preserve">El 28 de marzo de 1994, el Juzgado de Paz de Corella le notificó personalmente a doña H.D.A.D. la anterior resolución por lectura íntegra y entrega de copia literal. En la comparecencia, la interesada manifestó “que desde el primer momento la compareciente ha manifestado su deseo de tener consigo a su hijo D., no queriendo perder la patria potestad del mismo, que dentro de poco tiempo el Ayuntamiento de Corella les va a proporcionar casa donde van a tener cubiertas las necesidades, y podrá criar a su hijo. En cuanto a lo demás se remite a lo manifestado en otras comparecencias ante este Juzgado de Paz”. </w:t>
      </w:r>
    </w:p>
    <w:p w:rsidR="006854DA" w:rsidRDefault="006854DA" w:rsidP="006854DA">
      <w:pPr>
        <w:pStyle w:val="TextoNormal"/>
      </w:pPr>
      <w:r>
        <w:t>h) El Juzgado dictó Auto el 8 de abril de 1994, decidiendo la adopción del menor D. por los cónyuges propuestos por el Instituto de Bienestar Social. Entre otros extremos, razona que del expediente aportado por la entidad pública queda clara constancia del in</w:t>
      </w:r>
      <w:r>
        <w:lastRenderedPageBreak/>
        <w:t xml:space="preserve">cumplimiento, por parte de la madre natural, de los deberes y obligaciones establecidos en los arts. 154 y ss. del Código Civil, por lo que, dada la reiteración de tal incumplimiento y la situación que vive el pequeño, debe concluirse que basta con el requisito procesal de ser oída, por lo que su negativa a la adopción no impide que sea acordado, lo que se hace porque de las actuaciones practicadas resulta de claro interés para el menor. </w:t>
      </w:r>
    </w:p>
    <w:p w:rsidR="006854DA" w:rsidRDefault="006854DA" w:rsidP="006854DA">
      <w:pPr>
        <w:pStyle w:val="TextoNormal"/>
      </w:pPr>
      <w:r>
        <w:t xml:space="preserve">El Auto fue notificado a doña H.D.A.D. el siguiente 11 de mayo de 1994, manifestando que quería interponer recurso, y solicitando el nombramiento de oficio de Abogado y Procurador. </w:t>
      </w:r>
    </w:p>
    <w:p w:rsidR="006854DA" w:rsidRDefault="006854DA" w:rsidP="006854DA">
      <w:pPr>
        <w:pStyle w:val="TextoNormal"/>
      </w:pPr>
      <w:r>
        <w:t xml:space="preserve">El 8 de junio de 1994, el Juzgado designó de oficio Procurador y Abogado, este último en la persona de don Ignacio Rodríguez Ruiz de Alda, lo que fue notificado a la actora el siguiente día 13, indicando su domicilio y teléfono. </w:t>
      </w:r>
    </w:p>
    <w:p w:rsidR="006854DA" w:rsidRDefault="006854DA" w:rsidP="006854DA">
      <w:pPr>
        <w:pStyle w:val="TextoNormal"/>
      </w:pPr>
      <w:r>
        <w:t xml:space="preserve">i) Ese mismo día 13 de junio de 1994 fue interpuesto recurso de apelación, que dio lugar al rollo núm. 266-94 ante la Audiencia Provincial de Navarra. Tras la personación de los Procuradores, se dio trámite de instrucción, que fue declarado caducado sin que ninguna de las partes formulase petición o escrito alguno. El 7 de noviembre fueron citadas para la vista, señalada a las 10:30 horas del 14 de diciembre de 1994. </w:t>
      </w:r>
    </w:p>
    <w:p w:rsidR="006854DA" w:rsidRDefault="006854DA" w:rsidP="006854DA">
      <w:pPr>
        <w:pStyle w:val="TextoNormal"/>
      </w:pPr>
      <w:r>
        <w:t xml:space="preserve">El día 13 de diciembre de 1994, el Procurador de la actora presentó un escrito manifestando la imposibilidad del Abogado para comparecer el día señalado para la vista, a causa de una huelga de Renfe. La vista se celebró el día 14, compareciendo solamente el Ministerio Fiscal, que informó en favor de la adopción. La Audiencia dictó Auto 101/94, el 15 de diciembre, desestimando el recurso de apelación y confirmando el Auto de adopción. </w:t>
      </w:r>
    </w:p>
    <w:p w:rsidR="006854DA" w:rsidRDefault="006854DA" w:rsidP="006854DA">
      <w:pPr>
        <w:pStyle w:val="TextoNormal"/>
      </w:pPr>
      <w:r>
        <w:t xml:space="preserve">Afirma la Audiencia que “la incomparecencia de la representación apelante al acto de la vista del recurso ha impedido el conocimiento por la Sala de los eventuales motivos de oposición al Auto impugnado. No obstante, del examen y valoración por la Sala del resultado del conjunto probatorio practicado en la instancia, sólo cabe considerar la corrección de la precitada resolución, así como la suma conveniencia para el menor adoptado de su actual situación de convivencia familiar por contraste con la precedente referida a los graves trastornos derivados de la incapacidad de la apelante para una adecuada atención al hijo de muy corta edad, como es ya conocido de esta Sala, que tuvo la oportunidad de conocer anteriormente el expediente de acogimiento.” </w:t>
      </w:r>
    </w:p>
    <w:p w:rsidR="006854DA" w:rsidRDefault="006854DA" w:rsidP="006854DA">
      <w:pPr>
        <w:pStyle w:val="TextoNormal"/>
      </w:pPr>
      <w:r>
        <w:t>En aquel Auto, de 27 de abril anterior, la Sala había declarado: "Poco cabe añadir a las correctas consideraciones del Auto de instancia, como no sea alguna insistencia en datos inequívocamente evidenciados, como son el inadecuado marco vivencial en que se desenvuelve ordinariamente la recurrente, siendo conflictiva su relación con la familia del hombre con quien convive en un vehículo-caravana de ínfimas condiciones de habitabilidad; asimismo la edad de la madre apelante, 16 años, unida a su desinterés por el hijo de año y medio de edad, así como a su absoluto desconocimiento de las elementales normas de crianza de los menores de tan corta edad, de modo que al poco de su nacimiento dicho hijo llegó a encontrarse en grave peligro de muerte, y, finalmente, la casi total indisponibilidad por la recurrente de los medios de toda índole adecuados al desenvolvimiento vital del menor dentro de límites mínimamente aceptables según máximas de experiencia comunes. Todo ello, unido a los restantes datos proporcionados por el Instituto Navarro de Bienestar Social y el Servicio Navarro de Salud, cuya certeza debe mantenerse en cuanto no han sido desvirtuados en autos, hace procedente el mantenimiento de la resolución apelada, sin perjuicio del pleno respeto a la virtualidad del sentimiento maternal de la recurrente cuya inoperancia al presente viene impuesta por los males que indudablemente acarrearía al menor la convivencia con su madre en las actuales circunstancias descritas, como queda dicho".</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Por providencia de 25 de septiembre de 1995 la Sección Segunda de este Tribunal Constitucional requirió a la actora para que aportase copia del Auto del Juzgado y del escrito por el que solicitó la suspensión de la vista de apelación, con constancia de su presentación. Petición que fue atendida el 10 de octubre. </w:t>
      </w:r>
    </w:p>
    <w:p w:rsidR="006854DA" w:rsidRDefault="006854DA" w:rsidP="006854DA">
      <w:pPr>
        <w:pStyle w:val="TextoNormal"/>
      </w:pPr>
      <w:r>
        <w:t xml:space="preserve">El 18 diciembre 1995 fue admitida a trámite la demanda de amparo. </w:t>
      </w:r>
    </w:p>
    <w:p w:rsidR="006854DA" w:rsidRDefault="006854DA" w:rsidP="006854DA">
      <w:pPr>
        <w:pStyle w:val="TextoNormal"/>
      </w:pPr>
      <w:r>
        <w:t>Por providencia de 12 de febrero de 1996 fueron tenidos por recibidos los testimonios remitidos por los órganos judiciales, y por personado a la Procuradora Sra. Rodríguez Chacón en nombre del adoptante don J.L.R.M., dándose vista de las actuaciones para formular alegaciones.</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La parte recurrente dio por reproducidas las alegaciones de su demanda de amparo, el 5 de marzo de 1996; alegaciones que, en síntesis, son las siguientes: </w:t>
      </w:r>
    </w:p>
    <w:p w:rsidR="006854DA" w:rsidRDefault="006854DA" w:rsidP="006854DA">
      <w:pPr>
        <w:pStyle w:val="TextoNormal"/>
      </w:pPr>
      <w:r>
        <w:t xml:space="preserve">A) Se aduce que los expedientes de acogimiento y adopción deben tramitarse a través de un procedimiento de jurisdicción voluntaria, que se define como aquél en que sea necesaria o se solicite la intervención del Juez sin estar empeñada cuestión alguna entre partes conocidas y determinadas; pero, si se hiciere oposición por alguno que tenga interés en el asunto, el expediente debe hacerse contencioso (arts. 1.825, 1.817 y concordantes L.E.C.). Además, la privación de la patria potestad sólo puede realizarse por causas tasadas legalmente y a través del proceso declarativo correspondiente. </w:t>
      </w:r>
    </w:p>
    <w:p w:rsidR="006854DA" w:rsidRDefault="006854DA" w:rsidP="006854DA">
      <w:pPr>
        <w:pStyle w:val="TextoNormal"/>
      </w:pPr>
      <w:r>
        <w:t xml:space="preserve">En el presente caso, se declaró, por parte del Juzgado de Primera Instancia a doña H.D.A.D.incursa en causa de privación de la patria potestad, por lo que no era necesario su asentimiento para acordar la adopción, bastando su mera audiencia. Dicha declaración se hizo de oficio por el Juzgado y sin ningún tipo de proceso contradictorio, a la vista del expediente remitido por los Servicios de Bienestar Social del Gobierno de Navarra. Tal actuación -se afirma- atenta contra los derechos fundamentales de la actora, pues no pudo oponerse ni proponer prueba en contrario; ni siquiera conocer los hechos en su contra para poder contrarrestarlos. Una vez que manifestó su negativa a la adopción y su deseo de tener a su hijo con ella y mostrar su futura capacidad para criarlo “pues dentro de poco el Ayuntamiento de Corella les va a proporcionar una casa, donde van a tener cubiertas las necesidades y podrá criar a su hijo”, según la regla general el expediente debía haberse hecho contencioso. Pero tal posibilidad está vetada expresamente por el art. 1.827 L.E.C., con lo que el procedimiento legal le priva de la posibilidad de oponerse eficazmente a la pretendida adopción, y le impide el derecho a una defensa adecuada y con asistencia letrada, con las mismas armas procesales que la parte que insta la adopción. </w:t>
      </w:r>
    </w:p>
    <w:p w:rsidR="006854DA" w:rsidRDefault="006854DA" w:rsidP="006854DA">
      <w:pPr>
        <w:pStyle w:val="TextoNormal"/>
      </w:pPr>
      <w:r>
        <w:t xml:space="preserve">En la citación que se le realiza fue indicado que era para ser “simplemente oída”, por lo que lo único que hizo fue declarar su oposición a la adopción de su hijo y manifestar la situación en la que se encontraba. Dado que carecía de asistencia letrada, se le debía, al menos, haber informado de la posibilidad de que podía alegar, en su comparecencia, que no estaba incursa en ninguna causa de privación de la patria potestad. El Juez, si bien está constreñido por la Ley y a ella debe sujetarse, podía haber realizado una tutela efectiva del derecho de la actora al amparo del art. 1.818 L.E.C., que le permite variar o modificar las providencias que dictare sin sujeción a los términos y formas establecidos para los de la jurisdicción contenciosa y mostrarle la posibilidad de mostrar su posición adecuadamente, en un afán de otorgar las máximas garantías procesales dentro del procedimiento legal establecido. Al no hacerlo así, de hecho se creó una situación de indefensión contraria al art. 24 C.E., por cuanto doña H.D.A.D. careció de toda posibilidad de contradecir la calificación que el Juzgado realizaba sobre ella sin oportunidad alguna para defenderse. </w:t>
      </w:r>
    </w:p>
    <w:p w:rsidR="006854DA" w:rsidRDefault="006854DA" w:rsidP="006854DA">
      <w:pPr>
        <w:pStyle w:val="TextoNormal"/>
      </w:pPr>
      <w:r>
        <w:lastRenderedPageBreak/>
        <w:t xml:space="preserve">En la actual regulación del expediente de adopción, se iguala la situación procesal del privado de patria potestad en un proceso declarativo con el del calificado, sin proceso contradictorio alguno, como incurso en causa de privación de la patria potestad. Ello vulnera el principio de contradicción y la prohibición de indefensión (SSTC 175/1994, fundamento jurídico 4º, y 298/1993, fundamento jurídico 6º), pues el cauce procesal seguido en el caso concreto no respeta las garantías esenciales. </w:t>
      </w:r>
    </w:p>
    <w:p w:rsidR="006854DA" w:rsidRDefault="006854DA" w:rsidP="006854DA">
      <w:pPr>
        <w:pStyle w:val="TextoNormal"/>
      </w:pPr>
      <w:r>
        <w:t xml:space="preserve">B) También se han vulnerado derechos constitucionales en la segunda instancia - prosigue alegando la quejosa- originando indefensión. Únicamente a partir del momento que se informó que podía apelar y por tanto solicitar Letrado de oficio, pudo contar con asistencia letrada. Y fue entonces cuando su Abogado pudo conocer que existía un expediente de adopción, así como las circunstancias que se habían dado en la tramitación de la primera instancia. </w:t>
      </w:r>
    </w:p>
    <w:p w:rsidR="006854DA" w:rsidRDefault="006854DA" w:rsidP="006854DA">
      <w:pPr>
        <w:pStyle w:val="TextoNormal"/>
      </w:pPr>
      <w:r>
        <w:t xml:space="preserve">Interesaba a la recurrente en amparo oponer prueba sobre hechos tales como los siguientes: a) que la actuación de la madre no se debía a un abandono del menor voluntario doloso, sino a la carencia de una formación y debido a su escasa edad; b) que si no visitaba al menor hospitalizado era debido a su pobreza y carencia de vehículo propio; c) que habían cambiado las circunstancias personales de doña H.D.A.D., que tenía más edad, se había congraciado con su compañero S. y su familia, que a partir de entonces la protegían; d) que estaba en trámites de conseguir una vivienda y un trabajo, por lo que si hubiera tenido oportunidad hubiera solicitado mantener el acogimiento de su hijo hasta entonces, para luego poder cuidar de él. Sin embargo, no se pudo proponer prueba en esta segunda instancia (arts. 1.821, 897 y concordantes L.E.C.), pues mal se podía haber propuesto prueba alguna cuando no se había tenido oportunidad para hacerlo en la primera instancia. Por lo que se ha quebrantado el derecho a un proceso público en el que pueda utilizar todos los medios de prueba pertinentes para su defensa, creándole una situación de indefensión (art. 24 C.E., SSTC 162/1993, fundamento jurídico 2º, y 175/1994, fundamento jurídico 4º). </w:t>
      </w:r>
    </w:p>
    <w:p w:rsidR="006854DA" w:rsidRDefault="006854DA" w:rsidP="006854DA">
      <w:pPr>
        <w:pStyle w:val="TextoNormal"/>
      </w:pPr>
      <w:r>
        <w:t xml:space="preserve">Asimismo, al no suspender la vista de la apelación la Sala impidió que pudiera realizar una defensa no sólo formal sino material y eficaz de la oposición de doña H.D.A.D. a la adopción de su hijo, al ser la primera vez que tenía audiencia como verdadera parte procesal y contando con asistencia letrada efectiva. En dicha vista, el Letrado iba a poner de manifiesto la situación de indefensión en que se había hallado la actora durante todo el procedimiento, así como la conveniencia de mantener la situación de acogimiento del menor hasta que su madre tuviera una mejor situación personal y económica. </w:t>
      </w:r>
    </w:p>
    <w:p w:rsidR="006854DA" w:rsidRDefault="006854DA" w:rsidP="006854DA">
      <w:pPr>
        <w:pStyle w:val="TextoNormal"/>
      </w:pPr>
      <w:r>
        <w:t>La no suspensión de la vista oral de la apelación quebrantó su derecho a la tutela judicial efectiva (SSTC 162/1993, fundamento jurídico 4º, y 308/1993, fundamento jurídico 2º). La incomparecencia del Letrado a la vista del recurso fue debido a causas totalmente ajenas a su voluntad; puso la situación con la mayor rapidez en conocimiento de la Audiencia, que no adoptó resolución alguna. Incluso si se llegara a entender que hubo alguna negligencia por parte del Letrado, designado de oficio, debe prevalecer el derecho a la asistencia efectiva de la recurrente (STC 162/1993).</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El día 8 de marzo de 1996, la Procuradora Sra. Rodríguez Chacón pidió la desestimación del recurso de amparo, con imposición de costas. </w:t>
      </w:r>
    </w:p>
    <w:p w:rsidR="006854DA" w:rsidRDefault="006854DA" w:rsidP="006854DA">
      <w:pPr>
        <w:pStyle w:val="TextoNormal"/>
      </w:pPr>
      <w:r>
        <w:t xml:space="preserve">Nuestro sistema procesal -afirma la representación del Sr. R.M.- está configurado por las leyes de enjuiciamiento, que regulan los diferentes juicios y la jurisdicción voluntaria. La Ley 21/1987, de 11 noviembre, conocida genéricamente como Ley de Adopción, modifica diversos preceptos del Código Civil y de la Ley de Enjuiciamiento, articulándose en </w:t>
      </w:r>
      <w:r>
        <w:lastRenderedPageBreak/>
        <w:t xml:space="preserve">torno a un principio fundamental: la total y absoluta protección del menor, de tal suerte que, en caso de conflicto de intereses, deben prevalecer los de éste frente a cualesquiera otros. Por ello, la Ley otorga un papel preeminente a los poderes públicos e impide convertir la jurisdicción voluntaria en contenciosa (art. 1.827 L.E.C., cuya redacción fue reformada). Esta aparente limitación del derecho a la defensa no es tal: su contenido hay que integrarlo en la totalidad de la Ley, que hace prevalecer el interés del menor, la existencia de una justificada y detallada actuación de la entidad pública, así como la capacidad de iniciativa que se reserva en el procedimiento al Juez. </w:t>
      </w:r>
    </w:p>
    <w:p w:rsidR="006854DA" w:rsidRDefault="006854DA" w:rsidP="006854DA">
      <w:pPr>
        <w:pStyle w:val="TextoNormal"/>
      </w:pPr>
      <w:r>
        <w:t xml:space="preserve">Téngase en cuenta -sigue alegando- que el parcial derecho a la defensa que se pretende es totalmente contradictorio con los intereses del menor. A la vista del concepto de adopción (que requiere agilidad, privacidad, discreción entre otros aspectos, en beneficio del menor) es totalmente contradictorio mantener unos litigios contenciosos entre partes, sometidos a dilaciones, publicidad, etc., que producirían grave perjuicio al menor. </w:t>
      </w:r>
    </w:p>
    <w:p w:rsidR="006854DA" w:rsidRDefault="006854DA" w:rsidP="006854DA">
      <w:pPr>
        <w:pStyle w:val="TextoNormal"/>
      </w:pPr>
      <w:r>
        <w:t>Existe en autos un completo expediente de la entidad pública que demuestra la adecuación a Derecho de la decisión tomada en su día, por lo que en la primera instancia no se vulneraron los derechos constitucionales de la ahora quejosa. A la misma conclusión se llega respecto a la aducida vulneración de derechos en la vista de la apelación, dada la prevalencia de los intereses del menor: no existían nuevas circunstancias no consideradas en la primera instancia, por lo que la argumentación que iba a ser expuesta nada hubiese alterado la decisión adoptada.</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El Fiscal formuló su informe el 8 de marzo de 1996, interesando que se otorgara el amparo, con anulación del Auto dictado por la Audiencia Provincial y citación de las partes para una nueva vista del recurso de apelación. </w:t>
      </w:r>
    </w:p>
    <w:p w:rsidR="006854DA" w:rsidRDefault="006854DA" w:rsidP="006854DA">
      <w:pPr>
        <w:pStyle w:val="TextoNormal"/>
      </w:pPr>
      <w:r>
        <w:t xml:space="preserve">El Fiscal entiende que la estructura y naturaleza específica del recurso de amparo obliga a estudiar la queja relativa a la no suspensión de la vista de apelación ya que, si prosperase, las reclamaciones relativas a la imposibilidad de contradicción en el procedimiento de instancia y la imposibilidad de probar en segunda instancia las circunstancias atinentes a su defensa, podrían explicarse en una nueva comparecencia ante la Audiencia Provincial, dando satisfacción a las pretensiones de la recurrente, previa invocación de los derechos fundamentales [art. 44.1 c) LOTC]. </w:t>
      </w:r>
    </w:p>
    <w:p w:rsidR="006854DA" w:rsidRDefault="006854DA" w:rsidP="006854DA">
      <w:pPr>
        <w:pStyle w:val="TextoNormal"/>
      </w:pPr>
      <w:r>
        <w:t xml:space="preserve">Las actuaciones del rollo de apelación confirman que la suspensión de la vista fue solicitada y que la Sala celebró el acto y dictó el Auto definitivo con desconocimiento de los motivos de oposición al Auto del Juzgado. Pero ni en el texto del Auto de apelación ni en resolución aparte, se explican las razones para no acceder a la suspensión solicitada, que podían haberse expresado incluso en la propia diligencia de vista. </w:t>
      </w:r>
    </w:p>
    <w:p w:rsidR="006854DA" w:rsidRDefault="006854DA" w:rsidP="006854DA">
      <w:pPr>
        <w:pStyle w:val="TextoNormal"/>
      </w:pPr>
      <w:r>
        <w:t xml:space="preserve">Resulta difícil justificar -prosigue el Fiscal- la omisión de la Sala desde el art. 24.1 C.E. No hay contestación implícita, pues ninguno de los argumentos para confirmar la adopción guarda relación con la denegación de la suspensión ni con la indefensión que pretendía oponer la recurrente. La Sala hubiera debido explicar las razones por las que no suspendió la vista, sin que proceda en esta sede evaluar las que ofrece el Letrado en la demanda de amparo ni la prueba documental aportada. La falta de respuesta a su petición de suspensión lesiona el derecho del art. 24.1 C.E. por falta de motivación. </w:t>
      </w:r>
    </w:p>
    <w:p w:rsidR="006854DA" w:rsidRDefault="006854DA" w:rsidP="006854DA">
      <w:pPr>
        <w:pStyle w:val="TextoNormal"/>
      </w:pPr>
      <w:r>
        <w:t xml:space="preserve">Desde el punto de vista de la indefensión material y el derecho a la asistencia letrada, latente en toda la demanda, las SSTC 53/1990 y 132/1992 afirman el deber de cooperación del órgano judicial con el Abogado nombrado de oficio, para procurar al justiciable una asistencia real y efectiva. Bien es verdad que la mayoría de las Sentencias se producen en el marco del proceso penal (SSTC 178/1991, 162/1993 y 175/1994), pero es evidente que </w:t>
      </w:r>
      <w:r>
        <w:lastRenderedPageBreak/>
        <w:t xml:space="preserve">la adopción es un acto de igual o superior trascendencia que algunos procesos penales, por cuanto desvincula jurídicamente a una persona de su padre o madre biológicos para integrarlo de modo definitivo en una nueva familia. De otro lado, nada se pudo alegar por la recurrente con anterioridad en orden a una defensa técnica, limitándose su audiencia a manifestar el deseo de querer recuperar a su hijo en la comparecencia que efectuó en el Juzgado de Corella. </w:t>
      </w:r>
    </w:p>
    <w:p w:rsidR="006854DA" w:rsidRDefault="006854DA" w:rsidP="006854DA">
      <w:pPr>
        <w:pStyle w:val="TextoNormal"/>
      </w:pPr>
      <w:r>
        <w:t>No se nos oculta -concluye el Fiscal- que pudo existir una conducta no excesivamente diligente por parte del Letrado, que dejó pasar el trámite de instrucción sin alegar nada ni solicitar las pruebas que luego reclama en amparo; así como que su ausencia al acto de la vista podía haber sido suplida mediante la sustitución por un compañero o por desplazamiento a Pamplona por otros medios. Sin embargo, ello no libera al Tribunal enjuiciador de su deber de procurar la asistencia técnica efectiva, pues la única oportunidad que hubo a lo largo del proceso de adopción para hacer valer jurídicamente los derechos de la madre biológica era precisamente la vista de apelación. Procede, en suma, otorgar el amparo.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Por providencia de 16 de diciembre de 1996, la Sección Segunda acordó, en virtud del art. 88.1 LOTC, requerir las actuaciones del procedimiento de acogimiento del menor D. al Juzgado y a la Audiencia. La petición fue reiterada por oficio de 24 enero 1997. </w:t>
      </w:r>
    </w:p>
    <w:p w:rsidR="006854DA" w:rsidRDefault="006854DA" w:rsidP="006854DA">
      <w:pPr>
        <w:pStyle w:val="TextoNormal"/>
      </w:pPr>
      <w:r>
        <w:t>El 10 marzo se dio vista de las actuaciones al Fiscal y a las partes, para que pudieran formular alegaciones complementarias durante el plazo común de diez días.</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día 22 de marzo de 1997, la Procuradora Rodríguez Chacón insistió en la desestimación del recurso. Alega que no puede anularse el expediente de jurisdicción voluntaria porque, además de haber sido tramitado de forma impecable, en ningún momento se invocó vulneración de precepto constitucional. En cuanto al recurso de apelación, la intervención letrada en representación de las partes es facultativa (art. 1.825 L.E.C.), pues intervienen en defensa de su derecho que no tiene por qué coincidir con el del niño (p. ej. art. 180 del Código Civil); si fueran del mismo rango su intervención sería preceptiva. Por ello las únicas actuaciones necesarias son la propuesta de la entidad pública y la intervención del Ministerio Fiscal, en garantía de los derechos del menor cuya salvaguarda es la finalidad única del expediente. Por ello fue suficiente con la intervención del Fiscal ante la Audiencia Provincial, pues sólo él tiene atribuida la defensa del menor despojada de cualquier otro interés. Toda otra actuación letrada del adoptante o de la madre biológica, carece de entidad y por ello su intervención es potestativa y prescindible. </w:t>
      </w:r>
    </w:p>
    <w:p w:rsidR="006854DA" w:rsidRDefault="006854DA" w:rsidP="006854DA">
      <w:pPr>
        <w:pStyle w:val="TextoNormal"/>
      </w:pPr>
      <w:r>
        <w:t>El 21 de marzo de 1997, por escrito presentado en el Juzgado de Guardia el anterior día 19, el Procurador Jerez se ratificó en el contenido de su recurso de amparo. El 2 abril, el Fiscal, habiendo tomado conocimiento de la documentación complementaria interesada por la Sala, dijo que no precisaba realizar ninguna alegación complementaria.</w:t>
      </w:r>
    </w:p>
    <w:p w:rsidR="006854DA" w:rsidRDefault="006854DA" w:rsidP="006854DA">
      <w:pPr>
        <w:pStyle w:val="TextoNormal"/>
      </w:pPr>
    </w:p>
    <w:p w:rsidR="006854DA" w:rsidRDefault="006854DA" w:rsidP="006854DA">
      <w:pPr>
        <w:pStyle w:val="TextoNormal"/>
      </w:pPr>
      <w:r w:rsidRPr="006854DA">
        <w:rPr>
          <w:rStyle w:val="NumeroAFNegritaCaracter"/>
        </w:rPr>
        <w:t>10</w:t>
      </w:r>
      <w:r>
        <w:t>. Por providencia de fecha 13 de junio de 1997 se acordó señalar para la deliberación y votación de la presente Sentencia el día 16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Doña H.D.A.D. solicita amparo frente a las resoluciones judiciales que han acordado la adopción de su hijo D., nacido en agosto de 1992, por parte de un matrimonio que lo </w:t>
      </w:r>
      <w:r>
        <w:lastRenderedPageBreak/>
        <w:t>tiene en guarda y, posteriormente, en acogimiento desde marzo de 1993. Alega la vulneración de varios de los derechos que reconoce y protege el art. 24 C.E., fundamentalmente por dos motivos. El primero, porque el procedimiento ha sido tramitado por el Juzgado de Familia de manera informal, lo que le ha impedido ejercer sus derechos a la defensa, a la asistencia letrada, a la prueba y, en general, a un proceso con todas las garantías. En segundo lugar, afirma que la Sala que conocía del recurso de apelación contra el Auto de adopción la volvió a sumir en indefensión, porque no suspendió la celebración de la vista del recurso a pesar de que el Procurador había puesto de manifiesto el día anterior que le iba a resultar imposible comparecer al Abogado que la defendía de oficio, a causa de una huelga de ferrocarriles.</w:t>
      </w:r>
    </w:p>
    <w:p w:rsidR="006854DA" w:rsidRDefault="006854DA" w:rsidP="006854DA">
      <w:pPr>
        <w:pStyle w:val="TextoNormal"/>
      </w:pPr>
      <w:r>
        <w:t>Cada una de estas alegaciones requiere un análisis por separado.</w:t>
      </w:r>
    </w:p>
    <w:p w:rsidR="006854DA" w:rsidRDefault="006854DA" w:rsidP="006854DA">
      <w:pPr>
        <w:pStyle w:val="TextoNormal"/>
      </w:pPr>
    </w:p>
    <w:p w:rsidR="006854DA" w:rsidRDefault="006854DA" w:rsidP="006854DA">
      <w:pPr>
        <w:pStyle w:val="TextoNormal"/>
      </w:pPr>
      <w:r w:rsidRPr="006854DA">
        <w:rPr>
          <w:rStyle w:val="NumeroAFNegritaCaracter"/>
        </w:rPr>
        <w:t>2</w:t>
      </w:r>
      <w:r>
        <w:t>. Con carácter previo, sin embargo, es preciso subrayar que el procedimiento judicial de adopción no puede ser analizado aisladamente. Desde la perspectiva de los derechos fundamentales del art. 24 C.E., que garantizan una tutela judicial sin indefensión a través de un proceso justo, es relevante el dato de que la solicitud de adopción fue adoptada por una Administración pública, el Instituto Navarro de Bienestar Social, solicitud formulada tras sustanciar el correspondiente procedimiento administrativo (arts. 172 y 176 del Código Civil). En ese procedimiento, el menor D. había sido declarado en situación de desamparo, asumiendo la entidad pública su tutela legal, por resolución de 22 de diciembre de 1992, cuando el niño se encontraba internado en un hospital público gravemente enfermo.</w:t>
      </w:r>
    </w:p>
    <w:p w:rsidR="006854DA" w:rsidRDefault="006854DA" w:rsidP="006854DA">
      <w:pPr>
        <w:pStyle w:val="TextoNormal"/>
      </w:pPr>
      <w:r>
        <w:t>En segundo lugar, tampoco puede ser pasado por alto que los Tribunales civiles que resolvieron sobre la adopción del menor, mediante las resoluciones aquí impugnadas en amparo, acababan de tramitar un procedimiento judicial para resolver acerca del acogimiento del menor. En dicho procedimiento, tanto el Juzgado de Familia como la Audiencia Provincial examinaron los hechos que habían dado lugar a la actuación de la Administración navarra, así como las alegaciones formuladas por la madre del menor.  Esta última no solamente fue oída por el Juzgado, sino que había sido provista de Abogado y Procurador de oficio en el momento en que lo solicitó; profesionales que, por su parte, interpusieron recurso de apelación contra el Auto de acogimiento, formulando alegaciones en una vista pública celebrada ante el Tribunal superior, que finalmente fueron rechazadas por la Sección de la Audiencia en un Auto, de 27 de abril de 1994, al cual se remitió enteramente el Auto de 15 diciembre de 1994, ahora impugnado en esta sede constitucional de amparo.</w:t>
      </w:r>
    </w:p>
    <w:p w:rsidR="006854DA" w:rsidRDefault="006854DA" w:rsidP="006854DA">
      <w:pPr>
        <w:pStyle w:val="TextoNormal"/>
      </w:pPr>
    </w:p>
    <w:p w:rsidR="006854DA" w:rsidRDefault="006854DA" w:rsidP="006854DA">
      <w:pPr>
        <w:pStyle w:val="TextoNormal"/>
      </w:pPr>
      <w:r w:rsidRPr="006854DA">
        <w:rPr>
          <w:rStyle w:val="NumeroAFNegritaCaracter"/>
        </w:rPr>
        <w:t>3</w:t>
      </w:r>
      <w:r>
        <w:t>. La situación de supuesta indefensión que la madre del menor habría padecido en el procedimiento de adopción, tramitado por el Juzgado de Primera Instancia, se apoya en dos órdenes de consideraciones: las primeras se fijan en el procedimiento previsto por la ley, que según la demanda de amparo impide asegurar una defensa adecuada de los derechos de los padres biológicos del menor cuando el órgano judicial aprecia que se encuentran incursos en causa de privación de la patria potestad; el segundo tipo de alegaciones de indefensión se funda en las concretas circunstancias de las actuaciones seguidas en el caso de la demandante de amparo.</w:t>
      </w:r>
    </w:p>
    <w:p w:rsidR="006854DA" w:rsidRDefault="006854DA" w:rsidP="006854DA">
      <w:pPr>
        <w:pStyle w:val="TextoNormal"/>
      </w:pPr>
      <w:r>
        <w:t>La genérica alegación de que el procedimiento de adopción establecido por el Código Civil y la Ley de Enjuiciamiento Civil, a tenor de la reforma llevada a cabo por la Ley de Adopción (Ley 21/1987, de 11 noviembre), vulnera los derechos de defensa de la madre del menor, no puede ser aceptada. Como advertimos en la STC 298/1993, al resolver un recurso que presenta analogía con el presente, el art. 24 C.E. “no impone cauces procesales determinados, siempre que se respeten las garantías esenciales para proteger judicial</w:t>
      </w:r>
      <w:r>
        <w:lastRenderedPageBreak/>
        <w:t>mente los derechos e intereses legítimos de los justiciables (SSTC 11/1982, 1/1987, 43/1987, y 160/1991).  Lo fundamental, desde la óptica constitucional, es apreciar si en las circunstancias del concreto proceso seguido, el titular del derecho fundamental ha disfrutado de una posibilidad real de defender sus derechos e intereses legítimos, mediante los medios de alegación y de prueba suficientes cuando se actúa con una diligencia procesal razonable (SSTC 4/1982, fundamento jurídico 5º y 14/1992, fundamento jurídico 2º)”.</w:t>
      </w:r>
    </w:p>
    <w:p w:rsidR="006854DA" w:rsidRDefault="006854DA" w:rsidP="006854DA">
      <w:pPr>
        <w:pStyle w:val="TextoNormal"/>
      </w:pPr>
      <w:r>
        <w:t>“Esta ha sido -continuábamos diciendo en la STC 298/1993- la perspectiva seguida por el Tribunal al enjuiciar cuestiones de indefensión, suscitadas en supuestos análogos al presente, en las SSTC 13/1981 y 71/1990. En la primera de dichas Sentencias ya resaltamos que la diversidad de los supuestos contemplados en el Libro III de la Ley de Enjuiciamiento Civil, unida a las variadas tesis que existen acerca del carácter jurídico de tales manifestaciones de la jurisdicción voluntaria, impiden sentar conclusiones generales a la luz del art. 24 C.E. Es necesario, por el contrario, descender a los casos particulares para verlos a la luz del Texto constitucional, teniendo muy presentes algunos rasgos legales de estos procedimientos judiciales: destacadamente, que la ley ofrece amplia ocasión de alegaciones a quienes ostentan intereses legítimos en la decisión a tomar, así como para aportar documentos y todo tipo de justificaciones, atendiendo a un menor rigor formal y a la exclusión de preclusividad, y que el alcance de la cosa juzgada se encuentra limitado, como se deduce de los arts.  1.813, 1.816 y 1.818 L.E.C., entre otros (STC 13/1981, fundamentos jurídicos 3º y 4º). Y en la STC 71/1990 quedó sentado, con carácter general, que no es determinante que el procedimiento seguido por los Tribunales para resolver sobre los derechos de los progenitores sobre sus hijos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76/1990, fundamento jurídico 6º.5)” (STC 298/1993, fundamento jurídico 6º).</w:t>
      </w:r>
    </w:p>
    <w:p w:rsidR="006854DA" w:rsidRDefault="006854DA" w:rsidP="006854DA">
      <w:pPr>
        <w:pStyle w:val="TextoNormal"/>
      </w:pPr>
      <w:r>
        <w:t>A estas razones es preciso añadir que, al encauzar el conocimiento judicial de estas controversias sobre la situación familiar de los menores a través de procedimientos tan flexibles, sean o no caracterizables en sentido estricto como ejercicio de la jurisdicción voluntaria, la Ley de Enjuiciamiento Civil transparenta su intención de servir importantes fines. Uno, asegurar que todas las actuaciones serán llevadas a cabo “con la conveniente reserva”, evitando en particular que se quiebre la muralla de discreción que la ley establece entre la familia de origen y la familia adoptiva (art. 173.4 C.C. y art. 1.826 L.E.C.). Otro fin al que sirve el carácter informal e incisivo del procedimiento consiste en procurar que el Juzgado obtenga y verifique toda la información que resulte precisa para asegurarse de que la medida a acordar resultará beneficiosa para el menor, cuyos intereses son prevalentes (arts.  172.4, 173.2 in fine, 174 y 176.1 C.C. y art. 1.826 L.E.C.).</w:t>
      </w:r>
    </w:p>
    <w:p w:rsidR="006854DA" w:rsidRDefault="006854DA" w:rsidP="006854DA">
      <w:pPr>
        <w:pStyle w:val="TextoNormal"/>
      </w:pPr>
    </w:p>
    <w:p w:rsidR="006854DA" w:rsidRDefault="006854DA" w:rsidP="006854DA">
      <w:pPr>
        <w:pStyle w:val="TextoNormal"/>
      </w:pPr>
      <w:r w:rsidRPr="006854DA">
        <w:rPr>
          <w:rStyle w:val="NumeroAFNegritaCaracter"/>
        </w:rPr>
        <w:t>4</w:t>
      </w:r>
      <w:r>
        <w:t>. Atendidas las circunstancias concretas en que se han desarrollado las actuaciones que dieron lugar a los Autos impugnados, no cabe apreciar vulneración alguna del derecho a utilizar los medios de prueba pertinentes.</w:t>
      </w:r>
    </w:p>
    <w:p w:rsidR="006854DA" w:rsidRDefault="006854DA" w:rsidP="006854DA">
      <w:pPr>
        <w:pStyle w:val="TextoNormal"/>
      </w:pPr>
      <w:r>
        <w:t xml:space="preserve">Nunca, ni siquiera en el trámite de instrucción del recurso de apelación en que contaba con asistencia letrada, ni con anterioridad, en el previo procedimiento acerca del acogimiento del menor, ha propuesto la quejosa que se practique prueba alguna, ni ha intentado presentar documentos u ofrecer justificaciones, en los amplios términos que permiten el </w:t>
      </w:r>
      <w:r>
        <w:lastRenderedPageBreak/>
        <w:t>art. 1.816 y concordantes L.E.C., lo que distingue a este caso totalmente del que dio lugar al fallado en la STC 187/1996.</w:t>
      </w:r>
    </w:p>
    <w:p w:rsidR="006854DA" w:rsidRDefault="006854DA" w:rsidP="006854DA">
      <w:pPr>
        <w:pStyle w:val="TextoNormal"/>
      </w:pPr>
      <w:r>
        <w:t>Por consiguiente, lo mismo que concluimos en la STC 298/1993, fundamento jurídico 7º, mal puede decirse que este derecho a la prueba fue violado, cuando la parte no ejercitó su derecho a probar, proponiendo las pruebas que quería practicar y, en su caso, colaborando en su práctica. La demanda de amparo, además, no critica los hechos tenidos en cuenta en los procedimientos judiciales previos, que no han sido negados, sino confirmados, por las declaraciones de la interesada. Lo único que muestra es su disconformidad con las conclusiones alcanzadas por las resoluciones judiciales al valorar tales hechos, lo que resulta ajeno al derecho fundamental a la prueba (STC 26/1993, fundamento jurídico 4º).</w:t>
      </w:r>
    </w:p>
    <w:p w:rsidR="006854DA" w:rsidRDefault="006854DA" w:rsidP="006854DA">
      <w:pPr>
        <w:pStyle w:val="TextoNormal"/>
      </w:pPr>
    </w:p>
    <w:p w:rsidR="006854DA" w:rsidRDefault="006854DA" w:rsidP="006854DA">
      <w:pPr>
        <w:pStyle w:val="TextoNormal"/>
      </w:pPr>
      <w:r w:rsidRPr="006854DA">
        <w:rPr>
          <w:rStyle w:val="NumeroAFNegritaCaracter"/>
        </w:rPr>
        <w:t>5</w:t>
      </w:r>
      <w:r>
        <w:t>. En el capítulo de las alegaciones, es también indudable que la actora pudo ejercer sin obstáculos el derecho de defensa (STC 13/1981, fundamento jurídico 5º), como consta acreditado en las actuaciones judiciales. Ya cuando compareció en el previo procedimiento de acogimiento, el 2 de junio de 1993, evidenció que conocía que los funcionarios de la Administración navarra opinaban que era preferible que su hijo fuera adoptado por otra familia, y expresó su disconformidad sin cortapisas de ningún género. En su segunda comparecencia ante el Juzgado, el 28 de marzo de 1994, se le comunicó que su asentimiento no era considerado necesario para acordar la adopción, por entender que había incumplido los deberes inherentes a la patria potestad; dispuso de otra ocasión para expresar su oposición al acogimiento y a la propuesta de adopción de su hijo, lo que hizo sin traba alguna.</w:t>
      </w:r>
    </w:p>
    <w:p w:rsidR="006854DA" w:rsidRDefault="006854DA" w:rsidP="006854DA">
      <w:pPr>
        <w:pStyle w:val="TextoNormal"/>
      </w:pPr>
      <w:r>
        <w:t>Además, en aquel momento el Juzgado ya le había designado de oficio Abogado para asistirle en la defensa de sus derechos, concretamente el 1 de septiembre de 1993. Y dicho Abogado interpuso recurso de apelación contra el Auto que acordó el acogimiento del menor David, habiéndose instruido de la totalidad de las actuaciones administrativas y judiciales llevadas a cabo hasta entonces.  El Letrado se encontraba en contacto con la interesada, la cual había sido informada por el Juzgado de su dirección y teléfono, por lo que contaba, en suma, con los medios suficientes para defender adecuadamente sus derechos.</w:t>
      </w:r>
    </w:p>
    <w:p w:rsidR="006854DA" w:rsidRDefault="006854DA" w:rsidP="006854DA">
      <w:pPr>
        <w:pStyle w:val="TextoNormal"/>
      </w:pPr>
      <w:r>
        <w:t>Es cierto que la designación se había producido en un procedimiento judicial previo, y distinto, donde se dilucidaba la declaración administrativa de desamparo del menor y su acogimiento por una familia seleccionada por la entidad pública navarra.  Pero fueron los mismos órganos judiciales quienes lo resolvieron, en gran medida apoyándose en el conocimiento de los hechos que habían obtenido al acordar sobre la situación de desamparo del niño y su acogimiento familiar. Y, a tenor de dicha circunstancia, el Juzgado y el Colegio de Abogados tuvieron también cuidado de nombrar en uno y otro procedimientos al mismo Letrado, para que asistiera a la madre biológica del menor en la defensa de sus derechos con conocimiento de causa, lo que resulta significativo para cualquier apreciación material de indefensión.</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Ahora bien, aunque en el proceso seguido respecto al menor D. no se haya producido una situación material de indefensión, atendidas las circunstancias en que se desarrollaron los procedimientos de acogimiento y de adopción ante el Juzgado de Familia, no debemos olvidar que en este tipo de procesos civiles se encuentran en juego derechos e intereses legítimos de extraordinaria importancia, como ha destacado este Tribunal en las SSTC 143/1990 y 298/1993.  Tanto los del menor, como los de sus padres biológicos y los </w:t>
      </w:r>
      <w:r>
        <w:lastRenderedPageBreak/>
        <w:t>de las restantes personas implicadas en la situación, son intereses y derechos de la mayor importancia en el orden personal y familiar, que obligan a rodear de las mayores garantías los actos judiciales que les atañen.</w:t>
      </w:r>
    </w:p>
    <w:p w:rsidR="006854DA" w:rsidRDefault="006854DA" w:rsidP="006854DA">
      <w:pPr>
        <w:pStyle w:val="TextoNormal"/>
      </w:pPr>
      <w:r>
        <w:t>No resulta ocioso recordar que los riesgos de que la actuación de los poderes públicos, en situaciones percibidas como de desamparo de menores, pueda producir la indefensión de alguna de las personas concernidas, son riesgos previstos por el legislador.  En la Ley del Menor, aprobada por Ley Orgánica 1/1996, de 15 enero, se han reforzado algunas de las garantías que protegen a los afectados por las resoluciones públicas en esta materia. Dadas las consecuencias decisivas que acarrea la declaración de que un menor se encuentra desamparado, es especialmente significativo que ahora la entidad pública está legalmente obligada no solamente a notificar la resolución correspondiente a los padres del menor, en un plazo de cuarenta y ocho horas; también debe informarles “de forma presencial y de modo claro y comprensible de las causas que dieron lugar a la intervención de la Administración y de los posibles efectos de la decisión adoptada” (nuevo art. 172.1, primer párrafo, del Código Civil).</w:t>
      </w:r>
    </w:p>
    <w:p w:rsidR="006854DA" w:rsidRDefault="006854DA" w:rsidP="006854DA">
      <w:pPr>
        <w:pStyle w:val="TextoNormal"/>
      </w:pPr>
      <w:r>
        <w:t>El cumplimiento de este deber cualificado de notificación y de información, que deberá ser supervisado cuidadosamente por los Tribunales cuando la Administración proponga cualquier medida judicial de acogimiento o de adopción, o los interesados se opongan a sus resoluciones, disipa el riesgo de falta de conocimiento de los hechos determinantes para la defensa. En el caso presente, por lo demás, la demanda de amparo no pone reparo alguno a la resolución de desamparo acordada en su día por el Instituto Navarro de Bienestar Social, cuyo traslado a la interesada fue acordado en cumplimiento de la legislación administrativa común, antes de la reforma legal de que se acaba de hacer mención.</w:t>
      </w:r>
    </w:p>
    <w:p w:rsidR="006854DA" w:rsidRDefault="006854DA" w:rsidP="006854DA">
      <w:pPr>
        <w:pStyle w:val="TextoNormal"/>
      </w:pPr>
    </w:p>
    <w:p w:rsidR="006854DA" w:rsidRDefault="006854DA" w:rsidP="006854DA">
      <w:pPr>
        <w:pStyle w:val="TextoNormal"/>
      </w:pPr>
      <w:r w:rsidRPr="006854DA">
        <w:rPr>
          <w:rStyle w:val="NumeroAFNegritaCaracter"/>
        </w:rPr>
        <w:t>7</w:t>
      </w:r>
      <w:r>
        <w:t>. La pretensión subsidiaria de amparo, respecto a la falta de respuesta judicial motivada por parte de la Audiencia Provincial, para denegar la suspensión de la vista del recurso de apelación contra el Auto de adopción, por inasistencia del Letrado a causa de fuerza mayor, debe prosperar.</w:t>
      </w:r>
    </w:p>
    <w:p w:rsidR="006854DA" w:rsidRDefault="006854DA" w:rsidP="006854DA">
      <w:pPr>
        <w:pStyle w:val="TextoNormal"/>
      </w:pPr>
      <w:r>
        <w:t>En efecto, desde las SSTC 130/1986 y 237/1988 hemos destacado que, cuando alguna de las partes en un litigio solicita razonadamente la suspensión de la vista o del juicio, el Tribunal competente no puede ignorar su petición, y llevar a cabo la actuación judicial sin resolver motivadamente acerca de su solicitud, si con ello perjudica sus derechos de defensa. Así ocurre cuando el Tribunal dicta Sentencia “con desconocimiento de los fundamentos jurídicos de la apelación”, “sin motivar o explicar las razones por las que no resultaba justificada la causa de suspensión de la vista invocada por la parte apelante” (STC 130/1986, fundamento jurídico 3º).</w:t>
      </w:r>
    </w:p>
    <w:p w:rsidR="006854DA" w:rsidRDefault="006854DA" w:rsidP="006854DA">
      <w:pPr>
        <w:pStyle w:val="TextoNormal"/>
      </w:pPr>
      <w:r>
        <w:t>La razón estriba en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por lo que no es válido celebrar sin más la vista oral, “ignorando la petición de suspensión”, sobre la que no recayó pronunciamiento alguno ni, por ende, expresión de las razones por las que no resultaba procedente la suspensión solicitada (STC 237/1988, fundamento jurídico 4º).</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Las solicitudes de suspensión del trámite judicial previamente señalado generan una tensión evidente entre los contrapuestos derechos de las partes implicadas en el proceso. La STC 196/1994, fundamento jurídico 4º, lo ha sintetizado con claridad, al señalar que </w:t>
      </w:r>
      <w:r>
        <w:lastRenderedPageBreak/>
        <w:t>“el derecho a la tutela judicial efectiva exige que las normas procesales relativas a las justas causas de incomparecencia sean interpretadas en el sentido que favorezca el ejercicio de la acción y la continuación del proceso (STC 21/1989).  No obstante, también debemos advertir que esta interpretación, contraria a todo formalismo enervante del Derecho, no puede amparar actitudes carentes de la diligencia debida por parte del interesado, lesionadoras del derecho a la tutela judicial efectiva de la contraparte, de la garantía a un proceso sin dilaciones indebidas o a la regularidad, buen funcionamiento y, en definitiva, integridad objetiva del procedimiento (SSTC 21/1989, 373/1993 y 86/1994).”</w:t>
      </w:r>
    </w:p>
    <w:p w:rsidR="006854DA" w:rsidRDefault="006854DA" w:rsidP="006854DA">
      <w:pPr>
        <w:pStyle w:val="TextoNormal"/>
      </w:pPr>
      <w:r>
        <w:t>Empero, de lo que no cabe duda es de que el órgano judicial debe adoptar su decisión mediante una resolución motivada, que se pronuncie expresamente sobre la causa de suspensión alegada, el momento y la forma de su justificación. Así lo hemos subrayado en todas las Sentencias de que acaba de hacerse mención, recaídas en procesos no penales. Por lo que no resulta adecuado traer a colación la jurisprudencia recaída en materia penal, en las SSTC 42/1982, 37/1988 y 162/1993, ya que, como destaca en su informe el Fiscal, presenta perfiles propios, que derivan del derecho del condenado a que un Tribunal superior revise el fallo y la pena, y de que el apartado 3 del art. 6 del Convenio Europeo de Derechos Humanos otorga al acusado en procesos punitivos un conjunto específico de derechos, que no pueden extrapolarse sin más a otras partes del proceso penal, o a otro tipo de procesos.</w:t>
      </w:r>
    </w:p>
    <w:p w:rsidR="006854DA" w:rsidRDefault="006854DA" w:rsidP="006854DA">
      <w:pPr>
        <w:pStyle w:val="TextoNormal"/>
      </w:pPr>
    </w:p>
    <w:p w:rsidR="006854DA" w:rsidRDefault="006854DA" w:rsidP="006854DA">
      <w:pPr>
        <w:pStyle w:val="TextoNormal"/>
      </w:pPr>
      <w:r w:rsidRPr="006854DA">
        <w:rPr>
          <w:rStyle w:val="NumeroAFNegritaCaracter"/>
        </w:rPr>
        <w:t>9</w:t>
      </w:r>
      <w:r>
        <w:t>. La huelga de ferrocarriles que impidió al Abogado de la quejosa regresar a España en la fecha prevista, dos días antes de la vista del recurso, y que no fue comunicada en ningún momento con antelación ni a él ni a la agencia de viajes que había organizado sus desplazamientos, constituía sin duda “un hecho imprevisible” que hubiera podido justificar la inasistencia a la vista y, por ende, su suspensión (STC 196/1994, fundamento jurídico 5º). Es cierto que la Ley de Enjuiciamiento Civil, a diferencia de la Ley de Procedimiento Laboral, no contempla como causas de suspensión hipótesis distintas a la enfermedad del Abogado, el fallecimiento de uno de sus más próximos parientes o la coincidencia de señalamientos, y subordina la suspensión por “justa causa” al previo acuerdo entre las partes (art.  323.5 L.E.C.), que en este caso no se produjo, según consta en las actuaciones.  Pero la letra de la Ley no puede impedir que se pueda atender la hipótesis, ciertamente excepcional, de que surja una causa de fuerza mayor que obligue a la aplicación analógica de los preceptos de la Ley (STC 83/1983, fundamento jurídico 2º in fine).</w:t>
      </w:r>
    </w:p>
    <w:p w:rsidR="006854DA" w:rsidRDefault="006854DA" w:rsidP="006854DA">
      <w:pPr>
        <w:pStyle w:val="TextoNormal"/>
      </w:pPr>
      <w:r>
        <w:t>En definitiva, la total falta de respuesta judicial a la solicitud, formulada por el Procurador de la apelante en el primer momento en que fue posible hacerlo, por un lado; y, por otro, la trascendencia de la vista a celebrar, momento en el que el Abogado designado de oficio iba a tener ocasión de articular una defensa técnica de los derechos de la madre biológica, conducen a entender vulnerado el derecho fundamental de ésta a una tutela judicial efectiva y sin indefensión (art. 24.1 C.E.).</w:t>
      </w:r>
    </w:p>
    <w:p w:rsidR="006854DA" w:rsidRDefault="006854DA" w:rsidP="006854DA">
      <w:pPr>
        <w:pStyle w:val="TextoNormal"/>
      </w:pPr>
    </w:p>
    <w:p w:rsidR="006854DA" w:rsidRDefault="006854DA" w:rsidP="006854DA">
      <w:pPr>
        <w:pStyle w:val="TextoNormal"/>
      </w:pPr>
      <w:r w:rsidRPr="006854DA">
        <w:rPr>
          <w:rStyle w:val="NumeroAFNegritaCaracter"/>
        </w:rPr>
        <w:t>10</w:t>
      </w:r>
      <w:r>
        <w:t>. No corresponde a este Tribunal, como postula la parte demandada en este recurso de amparo, entrar a valorar el peso de los argumentos que el Abogado de la quejosa afirma que iba a hacer valer en el recurso de apelación contra la adopción acordada por el Juzgado. Esa valoración corresponde a la Audiencia Provincial, que deberá decidir con libertad de criterio acerca del fondo del asunto.</w:t>
      </w:r>
    </w:p>
    <w:p w:rsidR="006854DA" w:rsidRDefault="006854DA" w:rsidP="006854DA">
      <w:pPr>
        <w:pStyle w:val="TextoNormal"/>
      </w:pPr>
      <w:r>
        <w:t xml:space="preserve">Es también cierto, como indica el Ministerio Fiscal, que la parte apelante dejó transcurrir el trámite de instrucción del recurso sin solicitar la práctica de prueba alguna, y sin anunciar ningún motivo de quebrantamiento de las formas del juicio (arts.  893 y 859 </w:t>
      </w:r>
      <w:r>
        <w:lastRenderedPageBreak/>
        <w:t>L.E.C.); trámite de instrucción que transcurrió durante el mes de septiembre de 1994 y, por ende, de todo punto ajeno a las dificultades para comparecer en la vista del recurso, el día 14 de diciembre siguiente. Pero ello no impide al Abogado ofrecer las razones que asisten a su patrocinada para oponerse a la adopción decretada por el Juzgado de Familia que, de nuevo, sólo al Tribunal civil de apelación corresponde apreciar, a tenor de los preceptos del Código Civil y de la Ley Orgánica 1/1996, de Protección Jurídica del Menor, que resultan aplicables.</w:t>
      </w:r>
    </w:p>
    <w:p w:rsidR="006854DA" w:rsidRDefault="006854DA" w:rsidP="006854DA">
      <w:pPr>
        <w:pStyle w:val="TextoNormal"/>
      </w:pPr>
      <w:r>
        <w:t>El recurso de apelación, cuya vista era esencial para posibilitar la defensa de la madre del menor, no debió celebrarse sin resolver expresa y motivadamente sobre la petición de suspender la vista por causa de fuerza mayor, presentada por la parte apelante. Por consiguiente, a fin de restablecer a la quejosa en la integridad de su derecho procede anular el Auto dictado por la Sección de la Audiencia, y retrotraer las actuaciones para que se señale nueva fecha para celebrar la vista del recurso de apelación.</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parcialmente el amparo solicitado por doña H.D.A.D. y, en consecuencia:</w:t>
      </w:r>
    </w:p>
    <w:p w:rsidR="006854DA" w:rsidRDefault="006854DA" w:rsidP="006854DA">
      <w:pPr>
        <w:pStyle w:val="TextoNormal"/>
      </w:pPr>
      <w:r>
        <w:t>1º Anular el Auto dictado por la Audiencia Provincial de Navarra (Sección Tercera) de 15 diciembre 1994, en el rollo de apelación núm. 266/94.</w:t>
      </w:r>
    </w:p>
    <w:p w:rsidR="006854DA" w:rsidRDefault="006854DA" w:rsidP="006854DA">
      <w:pPr>
        <w:pStyle w:val="TextoNormal"/>
      </w:pPr>
      <w:r>
        <w:t>2º Retrotraer las actuaciones judiciales al momento del señalamiento de la vista del recurso de apelación, a fin de que la parte recurrente sea oída debidamente asistida de Letrado.</w:t>
      </w:r>
    </w:p>
    <w:p w:rsidR="006854DA" w:rsidRDefault="006854DA" w:rsidP="006854DA">
      <w:pPr>
        <w:pStyle w:val="TextoNormal"/>
      </w:pPr>
    </w:p>
    <w:p w:rsidR="006854DA" w:rsidRDefault="006854DA" w:rsidP="006854DA">
      <w:pPr>
        <w:pStyle w:val="TextoNormal"/>
      </w:pPr>
      <w:r>
        <w:t>Publíquese esta Sentencia en el "Boletín Oficial del Estado", sustituyendo los apellidos de las partes por sus iniciales.</w:t>
      </w:r>
    </w:p>
    <w:p w:rsidR="006854DA" w:rsidRDefault="006854DA" w:rsidP="006854DA">
      <w:pPr>
        <w:pStyle w:val="TextoNormal"/>
      </w:pPr>
      <w:r>
        <w:t>Dada en Madrid, a dieciseis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1" w:name="SENTENCIA_1997_115"/>
      <w:r>
        <w:lastRenderedPageBreak/>
        <w:t>SENTENCIA 115/1997, de 16 de junio de 1997</w:t>
      </w:r>
    </w:p>
    <w:bookmarkEnd w:id="31"/>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julio de 1997)</w:t>
      </w:r>
    </w:p>
    <w:p w:rsidR="006854DA" w:rsidRDefault="006854DA" w:rsidP="006854DA">
      <w:pPr>
        <w:pStyle w:val="TtuloBOE"/>
      </w:pPr>
    </w:p>
    <w:p w:rsidR="006854DA" w:rsidRDefault="006854DA" w:rsidP="006854DA">
      <w:pPr>
        <w:pStyle w:val="SntesisDescriptiva"/>
      </w:pPr>
      <w:r>
        <w:t>ECLI:ES:TC:1997:115</w:t>
      </w:r>
    </w:p>
    <w:p w:rsidR="006854DA" w:rsidRDefault="006854DA" w:rsidP="006854DA">
      <w:pPr>
        <w:pStyle w:val="SntesisDescriptiva"/>
      </w:pPr>
    </w:p>
    <w:p w:rsidR="006854DA" w:rsidRDefault="006854DA" w:rsidP="006854DA">
      <w:pPr>
        <w:pStyle w:val="SntesisDescriptiva"/>
      </w:pPr>
      <w:r>
        <w:t>Recurso de amparo 1.230/1995. Contra providencia del Juzgado de Instrucción núm. 4 de Valladolid que denegó el beneficio de remisión condicional de la pena de diez días de arresto menor a la que había sido condenado el recurrente por Sentencia de ese mismo Juzgado y confirmada posteriormente en apelación.</w:t>
      </w:r>
    </w:p>
    <w:p w:rsidR="006854DA" w:rsidRDefault="006854DA" w:rsidP="006854DA">
      <w:pPr>
        <w:pStyle w:val="SntesisDescriptiva"/>
      </w:pPr>
    </w:p>
    <w:p w:rsidR="006854DA" w:rsidRDefault="006854DA" w:rsidP="006854DA">
      <w:pPr>
        <w:pStyle w:val="SntesisAnaltica"/>
      </w:pPr>
      <w:r>
        <w:t>Vulneración del derecho a la tutela judicial efectiva: motivación insuficiente de la resolución recurrida.</w:t>
      </w:r>
    </w:p>
    <w:p w:rsidR="006854DA" w:rsidRDefault="006854DA" w:rsidP="006854DA">
      <w:pPr>
        <w:pStyle w:val="SntesisAnaltica"/>
      </w:pPr>
    </w:p>
    <w:p w:rsidR="006854DA" w:rsidRDefault="006854DA" w:rsidP="006854DA">
      <w:pPr>
        <w:pStyle w:val="Extracto"/>
      </w:pPr>
      <w:r>
        <w:t>1.</w:t>
      </w:r>
      <w:r>
        <w:tab/>
        <w:t>Es evidente no sólo la ausencia de toda motivación en la resolución recurrida en amparo -decisión que por lo demás, habría de considerarse formalmente inadecuada al haber revestido forma de providencia y no de Auto- sino también la falta de intervención del Ministerio Público en la tramitación del beneficio de suspensión condicional. No existe, por consiguiente, modo alguno de averiguar qué razones condujeron al órgano judicial a denegar el indicado beneficio y, por tanto, a disponer la restricción de su derecho a la libertad, a fin de que, en función de las mismas, pudiera procederse a un control de dicha resolución determinante de su condición de arbitraria o no arbitraria. Si a ello añadimos la relativa extrañeza que produce, desde la óptica actual de una ejecución de las penas tendente a evitar el ingreso en prisión de quienes son condenados a penas cortas privativas de libertad, que se decrete tal ingreso respecto de quien, como el demandante de amparo, ha sido condenado a una pena de tan ínfima duración como la de arresto menor por tiempo de diez días -especialmente si se tiene en cuenta que, debido a la cortísima duración de dicha pena incluso de imponerse en su grado máximo (treinta días, a tenor de lo dispuesto en el art. 30 del anterior Código Penal), la propia ley facultaba al Tribunal para que autorizara que su cumplimiento tuviera lugar en el domicilio del condenado (art.85 del anterior Código penal)-, resulta aún más patente la necesidad de aportación de razonamientos suficientes para justificar el hecho de que, a pesar de reunir el solicitante de amparo todos los requisitos legalmente exigidos para la concesión del beneficio solicitado, éste le fuera denegado [F.J. 2].</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núm.1.230/95, interpuesto por la Procuradora de los Tribunales doña Amalia Banderas Rosado en nombre y representación de don Javier Martín del Caño, con la asistencia letrada de don Miguel Angel Ruiz Manosalvas contra la providencia del Juzgado de Instrucción núm. 4 de Valladolid, de 9 de Marzo de 1995. Ha intervenido el Ministerio Fiscal. Ha sido Ponente el Magistrado don Vicente Gimeno Sendra,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de fecha 4 de abril de 1995, el demandante de amparo manifestó a este Tribunal su intención de recurrir la providencia del Juzgado de Instrucción núm. 4 de Valladolid, de 9 de marzo de 1995, por la que se le denegaba el beneficio de la remisión condicional de la pena de diez días de arresto menor a la que había sido condenado por Sentencia dictada por ese mismo Juzgado en juicio verbal de faltas y confirmada por la Audiencia Provincial de Valladolid. A tal efecto, solicitó que se le designaran Abogado y Procurador del turno de oficio.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se basa, en síntesis, en los siguientes hechos: </w:t>
      </w:r>
    </w:p>
    <w:p w:rsidR="006854DA" w:rsidRDefault="006854DA" w:rsidP="006854DA">
      <w:pPr>
        <w:pStyle w:val="TextoNormal"/>
      </w:pPr>
      <w:r>
        <w:t xml:space="preserve">a) Por Sentencia del Juzgado de Instrucción núm. 4 de Valladolid de 12 de junio de 1994, el hoy demandante de amparo fue condenado, como autor responsable de una falta de lesiones, a la pena de diez días de arresto menor carcelario. </w:t>
      </w:r>
    </w:p>
    <w:p w:rsidR="006854DA" w:rsidRDefault="006854DA" w:rsidP="006854DA">
      <w:pPr>
        <w:pStyle w:val="TextoNormal"/>
      </w:pPr>
      <w:r>
        <w:t xml:space="preserve">b) Interpuesto recurso de apelación contra la anterior resolución, en lo tocante al cumplimiento en prisión de los diez días de arresto menor que el demandante de amparo solicitaba lo fueran en su domicilio, fue desestimado por Sentencia de la Sección Segunda de la Audiencia Provincial de Valladolid de 18 de febrero de 1995. </w:t>
      </w:r>
    </w:p>
    <w:p w:rsidR="006854DA" w:rsidRDefault="006854DA" w:rsidP="006854DA">
      <w:pPr>
        <w:pStyle w:val="TextoNormal"/>
      </w:pPr>
      <w:r>
        <w:t xml:space="preserve">c) El Sr. Martín del Caño se dirigió entonces por escrito al Juzgado de Instrucción solicitando que le fuera concedido el beneficio de remisión condicional de la pena impuesta, a cuyo efecto alegaba reunir las condiciones requeridas por el art. 93 del Código Penal, así como que el cumplimiento en prisión de la condena impuesta iría en contra de su rehabilitación y reinserción social conseguida a través del trabajo estable que actualmente desempeñaba. Por providencia de fecha 9 de marzo de 1995, el Juez declaró no haber lugar a lo solicitado en dicho escrito y ordenó el ingreso en prisión del condenado. </w:t>
      </w:r>
    </w:p>
    <w:p w:rsidR="006854DA" w:rsidRDefault="006854DA" w:rsidP="006854DA">
      <w:pPr>
        <w:pStyle w:val="TextoNormal"/>
      </w:pPr>
      <w:r>
        <w:t>La defensa del demandante de amparo ha solicitado también, paralelamente, el indulto total de dicha condena.</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Se aduce en la demanda que la mencionada providencia del Juzgado de Instrucción núm. 4 de Valladolid ha vulnerado los derechos del actor: 1) a la tutela judicial efectiva sin indefensión, dada su absoluta carencia de motivación y por haber sido dictada sin el informe preceptivo del Ministerio Fiscal y sin expresar en ella el Juzgador las razones que fundamentaron la denegación del beneficio, además de por no haber revestido dicha resolución la forma de Auto; y 2) a la proporcionalidad de la pena impuesta y orientación de la misma a la reinserción social del condenado, ignoradas en este caso por cuanto, a la vista de la estabilidad laboral del recurrente y de la escasa entidad de la infracción cometida, la </w:t>
      </w:r>
      <w:r>
        <w:lastRenderedPageBreak/>
        <w:t xml:space="preserve">decisión de que el cumplimiento de su condena a diez días de arresto menor se produjera en prisión sería evidentemente contraria a dicha finalidad. </w:t>
      </w:r>
    </w:p>
    <w:p w:rsidR="006854DA" w:rsidRDefault="006854DA" w:rsidP="006854DA">
      <w:pPr>
        <w:pStyle w:val="TextoNormal"/>
      </w:pPr>
      <w:r>
        <w:t>En consecuencia, se pide a este Tribunal que anule la providencia impugnada, así como todas las actuaciones judiciales posteriores a la misma. Por medio de "OTROSÍ", se solicita también la suspensión de su ejecución, al amparo de lo dispuesto en el art. 56 LOTC.</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5 de junio de 1995, la Sección Primera tuvo por admitido el precedente escrito y acordó dar traslado de los documentos adjuntos al Colegio de Procuradores de Madrid y al Consejo General de la Abogacía a fin de que, si procedía, efectuasen las designaciones solicitadas. Por otra providencia de 3 de julio de 1995, se tuvieron por hechas dichas designaciones y se concedió al Ministerio Fiscal y al solicitante de amparo un plazo de veinte días para formular la correspondiente demanda de amparo. Habiéndose excusado de la defensa el Letrado designado en primer lugar para la defensa del recurrente, por considerar que la pretensión de éste resultaba insostenible, la Sección, por providencia de 17 de julio de 1995, solicitó dictamen al respecto al Consejo General de la Abogacía, siendo el mismo emitido, con fecha de 10 de octubre de 1995, en sentido favorable al mantenimiento de la pretensión. Por providencia de 30 de octubre de 1995, la Sección dió traslado de las actuaciones al Letrado designado en segundo lugar a efectos de formalización de la demanda de amparo, siendo ésta presentada en el Juzgado de Guardia el 25 de noviembre de 1995.</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24 de junio de 1996, la Sección tuvo por admitida a trámite la demanda de amparo, sin perjuicio de lo que pudiere resultar de los antecedentes, y, a tenor de lo dispuesto en el art.51 de la LOTC, requirió atentamente a los órganos judiciales de instancia y de apelación para que, en el plazo de diez días, remitieran testimonio de las actuaciones, interesando al propio tiempo el emplazamiento, en ese mismo término, de cuantos, a excepción del solicitante de amparo, hubiesen sido parte en el proceso a fin de que pudieran comparecer ante este Tribunal si así lo deseaban. Por otra providencia de 17 de septiembre de 1996, la Sección tuvo por recibidas las actuaciones solicitadas y acordó conceder al Ministerio Fiscal y al demandante de amparo un plazo de veinte días para formular cuantas alegaciones estimasen convenientes.</w:t>
      </w:r>
    </w:p>
    <w:p w:rsidR="006854DA" w:rsidRDefault="006854DA" w:rsidP="006854DA">
      <w:pPr>
        <w:pStyle w:val="TextoNormal"/>
      </w:pPr>
    </w:p>
    <w:p w:rsidR="006854DA" w:rsidRDefault="006854DA" w:rsidP="006854DA">
      <w:pPr>
        <w:pStyle w:val="TextoNormal"/>
      </w:pPr>
      <w:r w:rsidRPr="006854DA">
        <w:rPr>
          <w:rStyle w:val="NumeroAFNegritaCaracter"/>
        </w:rPr>
        <w:t>6</w:t>
      </w:r>
      <w:r>
        <w:t>. Por escrito registrado en este Tribunal el 3 de octubre de 1996, la representación del demandante de amparo dió por reproducidas las alegaciones contenidas en la demanda de amparo. El Fiscal ante el Tribunal Constitucional, por su parte, concluía su escrito de fecha 10 de octubre de 1996 interesando la estimación del presente recurso por considerar que, efectivamente, la denegación al recurrente del beneficio de la remisión condicional de la pena careció de toda motivación y, en consecuencia, debía entenderse lesiva del derecho reconocido en el art.24.1 C.E.</w:t>
      </w:r>
    </w:p>
    <w:p w:rsidR="006854DA" w:rsidRDefault="006854DA" w:rsidP="006854DA">
      <w:pPr>
        <w:pStyle w:val="TextoNormal"/>
      </w:pPr>
    </w:p>
    <w:p w:rsidR="006854DA" w:rsidRDefault="006854DA" w:rsidP="006854DA">
      <w:pPr>
        <w:pStyle w:val="TextoNormal"/>
      </w:pPr>
      <w:r w:rsidRPr="006854DA">
        <w:rPr>
          <w:rStyle w:val="NumeroAFNegritaCaracter"/>
        </w:rPr>
        <w:t>7</w:t>
      </w:r>
      <w:r>
        <w:t>. Por providencia de 13 de junio de 1997 se acordó señalar el día 16 de junio para deliberación y votación de la presente Sentencia.</w:t>
      </w:r>
    </w:p>
    <w:p w:rsidR="006854DA" w:rsidRDefault="006854DA" w:rsidP="006854DA">
      <w:pPr>
        <w:pStyle w:val="TextoNormal"/>
      </w:pPr>
    </w:p>
    <w:p w:rsidR="006854DA" w:rsidRDefault="006854DA" w:rsidP="006854DA">
      <w:pPr>
        <w:pStyle w:val="TextoNormalNegritaCentrado"/>
        <w:keepNext/>
      </w:pPr>
      <w:r>
        <w:lastRenderedPageBreak/>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objeto procesal del presente recurso de amparo se contrae a determinar si la providencia del Juzgado de Instrucción núm. 4 de Valladolid, de 9 de Marzo de 1.995, por la que, sin motivación alguna, se denegó al recurrente el beneficio de la remisión condicional, vulneró o no el derecho a la tutela judicial efectiva del art. 24 L.E.</w:t>
      </w:r>
    </w:p>
    <w:p w:rsidR="006854DA" w:rsidRDefault="006854DA" w:rsidP="006854DA">
      <w:pPr>
        <w:pStyle w:val="TextoNormal"/>
      </w:pPr>
      <w:r>
        <w:t>Pero, antes de entrar en el examen del fondo del presente recurso de amparo, procede despejar en sentido negativo toda duda acerca de una eventual falta de agotamiento por parte del recurrente de la vía judicial ordinaria, al no haber presentado recurso alguno contra la providencia impugnada en la demanda de amparo, pues, con independencia del hecho de que dicha resolución revistiera forma de providencia y no de Auto, y de que en la misma no se indicara la posibilidad de recurrirla, tal cuestión ya fue examinada por este Tribunal en la STC 224/1992 (en aquella ocasión respecto de Auto dictado por la Audiencia Provincial y la eventual procedencia de recurso de súplica contra el mismo) para concluir que, de conformidad con lo dispuesto en el art. 6 de la entonces todavía vigente Ley de Condena Condicional de 1908 (hoy en día derogada, tras la entrada en vigor del Código Penal de 1995, por el apartado b) de la Disposición derogatoria única de dicho texto legal), podía interpretarse que no era recurrible por el interesado la decisión por la que se le denegaba el beneficio de la remisión condicional de la pena.</w:t>
      </w:r>
    </w:p>
    <w:p w:rsidR="006854DA" w:rsidRDefault="006854DA" w:rsidP="006854DA">
      <w:pPr>
        <w:pStyle w:val="TextoNormal"/>
      </w:pPr>
    </w:p>
    <w:p w:rsidR="006854DA" w:rsidRDefault="006854DA" w:rsidP="006854DA">
      <w:pPr>
        <w:pStyle w:val="TextoNormal"/>
      </w:pPr>
      <w:r w:rsidRPr="006854DA">
        <w:rPr>
          <w:rStyle w:val="NumeroAFNegritaCaracter"/>
        </w:rPr>
        <w:t>2</w:t>
      </w:r>
      <w:r>
        <w:t>. Sentado lo precedente, la cuestión que se plantea en el presente recurso es muy similar a la analizada en la STC 224/1992, lo que supone que la doctrina en ella contenida resulte de plena aplicación en el caso de autos.</w:t>
      </w:r>
    </w:p>
    <w:p w:rsidR="006854DA" w:rsidRDefault="006854DA" w:rsidP="006854DA">
      <w:pPr>
        <w:pStyle w:val="TextoNormal"/>
      </w:pPr>
      <w:r>
        <w:t>Decíamos en la citada Sentencia que el hecho de que el art.92.1 del anterior Código Penal (actual art. 80.1 C.P.)  confiriera a los Jueces y Tribunales la atribución de otorgar motivadamente el beneficio de la remisión condicional no significaba que su denegación no hubiera de ser igualmente motivada, ya que, aun cuando el mencionado precepto no exigiera expresamente dicha motivación sino en el caso de concesión de tal beneficio, "la facultad legalmente atribuida a un órgano judicial para que adopte con carácter discrecional una decisión en un sentido u otro... viene condicionada estrechamente a la exigencia de que tal resolución esté motivada, pues sólo así puede procederse a un control posterior de la misma en evitación de toda posible arbitrariedad".</w:t>
      </w:r>
    </w:p>
    <w:p w:rsidR="006854DA" w:rsidRDefault="006854DA" w:rsidP="006854DA">
      <w:pPr>
        <w:pStyle w:val="TextoNormal"/>
      </w:pPr>
      <w:r>
        <w:t xml:space="preserve">Aplicada esta doctrina al presente caso, se hace evidente no sólo la ausencia de toda motivación en la resolución recurrida en amparo -decisión que por lo demás, habría de considerarse formalmente inadecuada al haber revestido forma de providencia y no de Auto- sino también la falta de intervención del Ministerio Público en la tramitación del beneficio. No existe, por consiguiente, modo alguno de averiguar qué razones condujeron al órgano judicial a denegar el indicado beneficio y, por tanto, a disponer la restricción de su derecho a la libertad, a fin de que, en función de las mismas, pudiera procederse a un control de dicha resolución determinante de su condición de arbitraria o no arbitraria. Si a ello añadimos la relativa extrañeza que produce, desde la óptica actual de una ejecución de las penas tendente a evitar el ingreso en prisión de quienes son condenados a penas cortas privativas de libertad, que se decrete tal ingreso respecto de quien, como el demandante de amparo, ha sido condenado a una pena de tan ínfima duración como la de arresto menor por tiempo de diez días -especialmente si se tiene en cuenta que, debido a la cortísima duración de dicha pena incluso de imponerse en su grado máximo (30 días, a tenor de lo dispuesto en el art.30 del anterior Código Penal), la propia ley facultaba al Tribunal para </w:t>
      </w:r>
      <w:r>
        <w:lastRenderedPageBreak/>
        <w:t>que autorizara que su cumplimiento tuviera lugar en el domicilio del condenado (art.85 del anterior Código penal)-, resulta aún más patente la necesidad de aportación de razonamientos suficientes para justificar el hecho de que, a pesar de reunir el solicitante de amparo todos los requisitos legalmente exigidos para la concesión del beneficio solicitado, éste le fuera denegado.</w:t>
      </w:r>
    </w:p>
    <w:p w:rsidR="006854DA" w:rsidRDefault="006854DA" w:rsidP="006854DA">
      <w:pPr>
        <w:pStyle w:val="TextoNormal"/>
      </w:pPr>
      <w:r>
        <w:t>Cabe, por consiguiente, concluir que la providencia recurrida, que debió revestir la forma de Auto, incurrió en una vulneración del derecho del actor a la tutela judicial efectiva al no contener motivación alguna que explicara la denegación al mismo del beneficio de la remisión condicional. No obstante, habiendo ya cumplido la pena de diez días de arresto menor impuesta, el fallo no puede sino limitarse a un reconocimiento del indicado derecho, sin otras consecuencias que las meramente declarativas y las prejudiciales que de este pronunciamiento pudieran derivarse.</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por don Javier Martín del Caño y, en consecuencia:</w:t>
      </w:r>
    </w:p>
    <w:p w:rsidR="006854DA" w:rsidRDefault="006854DA" w:rsidP="006854DA">
      <w:pPr>
        <w:pStyle w:val="TextoNormal"/>
      </w:pPr>
      <w:r>
        <w:t>1º. Reconocer el derecho del demandante de amparo a la tutela judicial efectiva sin indefensión.</w:t>
      </w:r>
    </w:p>
    <w:p w:rsidR="006854DA" w:rsidRDefault="006854DA" w:rsidP="006854DA">
      <w:pPr>
        <w:pStyle w:val="TextoNormal"/>
      </w:pPr>
      <w:r>
        <w:t>2º. Anular la resolución del Juzgado de Instrucción núm. 4 de Valladolid de 9 de marzo de 1995, por falta de motivación de la denegación del beneficio de remisión condicional de la pena de arresto menor impuesta al actor.</w:t>
      </w:r>
    </w:p>
    <w:p w:rsidR="006854DA" w:rsidRDefault="006854DA" w:rsidP="006854DA">
      <w:pPr>
        <w:pStyle w:val="TextoNormal"/>
      </w:pPr>
    </w:p>
    <w:p w:rsidR="006854DA" w:rsidRDefault="006854DA" w:rsidP="006854DA">
      <w:pPr>
        <w:pStyle w:val="TextoNormal"/>
      </w:pPr>
      <w:r>
        <w:t>Publíquese este Sentencia en el "Boletín Oficial del Estado".</w:t>
      </w:r>
    </w:p>
    <w:p w:rsidR="006854DA" w:rsidRDefault="006854DA" w:rsidP="006854DA">
      <w:pPr>
        <w:pStyle w:val="TextoNormal"/>
      </w:pPr>
      <w:r>
        <w:t>Dada en Madrid, dieciséis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2" w:name="SENTENCIA_1997_116"/>
      <w:r>
        <w:lastRenderedPageBreak/>
        <w:t>SENTENCIA 116/1997, de 23 de junio de 1997</w:t>
      </w:r>
    </w:p>
    <w:bookmarkEnd w:id="32"/>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ECLI:ES:TC:1997:116</w:t>
      </w:r>
    </w:p>
    <w:p w:rsidR="006854DA" w:rsidRDefault="006854DA" w:rsidP="006854DA">
      <w:pPr>
        <w:pStyle w:val="SntesisDescriptiva"/>
      </w:pPr>
    </w:p>
    <w:p w:rsidR="006854DA" w:rsidRDefault="006854DA" w:rsidP="006854DA">
      <w:pPr>
        <w:pStyle w:val="SntesisDescriptiva"/>
      </w:pPr>
      <w:r>
        <w:t>Recurso de amparo 1.365/1993. Contra Auto de la Audiencia Provincial de Madrid confirmando en súplica otro anterior desestimatorio de recurso de apelación interpuesto contra los pronunciados por el Juez de Instrucción núm. 5 de Madrid y que denegaron el procesamiento por injurias instado por el recurrente frente a las expresiones vertidas por el querellado en el curso de emisiones radiofónicas.</w:t>
      </w:r>
    </w:p>
    <w:p w:rsidR="006854DA" w:rsidRDefault="006854DA" w:rsidP="006854DA">
      <w:pPr>
        <w:pStyle w:val="SntesisDescriptiva"/>
      </w:pPr>
    </w:p>
    <w:p w:rsidR="006854DA" w:rsidRDefault="006854DA" w:rsidP="006854DA">
      <w:pPr>
        <w:pStyle w:val="SntesisAnaltica"/>
      </w:pPr>
      <w:r>
        <w:t>Vulneración del derecho a la tutela judicial efectiva: denegación no motivada de la práctica de la prueba solicitada por el recurrente.</w:t>
      </w:r>
    </w:p>
    <w:p w:rsidR="006854DA" w:rsidRDefault="006854DA" w:rsidP="006854DA">
      <w:pPr>
        <w:pStyle w:val="SntesisAnaltica"/>
      </w:pPr>
    </w:p>
    <w:p w:rsidR="006854DA" w:rsidRDefault="006854DA" w:rsidP="006854DA">
      <w:pPr>
        <w:pStyle w:val="Extracto"/>
      </w:pPr>
      <w:r>
        <w:t>1.</w:t>
      </w:r>
      <w:r>
        <w:tab/>
        <w:t>Este Tribunal ha venido manteniendo que el requisito establecido en el art. 44.1 c) de su Ley Orgánica ha de ser interpretado con criterio finalista, atendiendo, más que al puro formalismo de la expresa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46/1983, 75/1984 y 203/1988) [F.J. 3].</w:t>
      </w:r>
    </w:p>
    <w:p w:rsidR="006854DA" w:rsidRDefault="006854DA" w:rsidP="006854DA">
      <w:pPr>
        <w:pStyle w:val="Extracto"/>
      </w:pPr>
    </w:p>
    <w:p w:rsidR="006854DA" w:rsidRDefault="006854DA" w:rsidP="006854DA">
      <w:pPr>
        <w:pStyle w:val="Extracto"/>
      </w:pPr>
      <w:r>
        <w:t>2.</w:t>
      </w:r>
      <w:r>
        <w:tab/>
        <w:t>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Una exigencia simétrica impone al juzgador la obligación de razonar también, en su caso, la inadmisión o la impertinencia, sin cuya motivación tales decisiones podrían incurrir en arbitrariedad y, por tanto, quebrantar el derecho fundamental en cuestión. Aquí se plantea una vez más la tensión dialéctica entre la independencia del Poder Judicial, titular de la función jurisdiccional, y la salvaguarda de las garantías constitucionales que nos corresponde, tal y como se diseña en el art. 123 de nuestra Constitución [F. J. 4].</w:t>
      </w:r>
    </w:p>
    <w:p w:rsidR="006854DA" w:rsidRDefault="006854DA" w:rsidP="006854DA">
      <w:pPr>
        <w:pStyle w:val="Extracto"/>
      </w:pPr>
    </w:p>
    <w:p w:rsidR="006854DA" w:rsidRDefault="006854DA" w:rsidP="006854DA">
      <w:pPr>
        <w:pStyle w:val="Extracto"/>
      </w:pPr>
      <w:r>
        <w:t>3.</w:t>
      </w:r>
      <w:r>
        <w:tab/>
        <w:t>Corresponde al juzgador decidir sobre la admisibilidad de cada tipo de prueba según su naturaleza y su relación con cuanto se intenta verificar, adecuación e idoneidad con reflejo en la admisibilidad y pertinencia. Una vez que la respuesta a estas incógnitas previas sea positiva, la práctica ha de guardar las formas que garanticen su pureza, con respeto al principio de contradicción como requisitos no sólo de su validez sino también de su eficacia probatoria, a la hora de la valoración en conciencia por el Juez, libertad de valoración cuyo norte han de ser las reglas de la sana crítica que en definitiva nos ponen en el terreno del sentido común guiado por la experiencia profesional [F.J. 4].</w:t>
      </w:r>
    </w:p>
    <w:p w:rsidR="006854DA" w:rsidRDefault="006854DA" w:rsidP="006854DA">
      <w:pPr>
        <w:pStyle w:val="Extracto"/>
      </w:pPr>
    </w:p>
    <w:p w:rsidR="006854DA" w:rsidRDefault="006854DA" w:rsidP="006854DA">
      <w:pPr>
        <w:pStyle w:val="Extracto"/>
      </w:pPr>
      <w:r>
        <w:lastRenderedPageBreak/>
        <w:t>4.</w:t>
      </w:r>
      <w:r>
        <w:tab/>
        <w:t>No cabe sostener que el haz de derechos cobijados en el art. 24 C.E. a la hora de configurar la efectividad de la tutela judicial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partícipes y, entre ellas, que no se produzca un cierre arbitrario del acceso al proceso [F.J. 5].</w:t>
      </w:r>
    </w:p>
    <w:p w:rsidR="006854DA" w:rsidRDefault="006854DA" w:rsidP="006854DA">
      <w:pPr>
        <w:pStyle w:val="Extracto"/>
      </w:pPr>
    </w:p>
    <w:p w:rsidR="006854DA" w:rsidRDefault="006854DA" w:rsidP="006854DA">
      <w:pPr>
        <w:pStyle w:val="Extracto"/>
      </w:pPr>
      <w:r>
        <w:t>5.</w:t>
      </w:r>
      <w:r>
        <w:tab/>
        <w:t>En el presente caso, como subraya el Fiscal, se propuso como prueba la audición de las grabaciones magnetofónicas de lo dicho en la radio por el periodista, para demostrar con ella no sólo la realidad material, reconocida por el autor de las palabras, sino además un elemento muy importante en todo mensaje, el contexto dentro del cual se pronunciaron, contexto que sirve para poner de manifiesto su talante. Este elemento de juicio es importante para ponderar lo sucedido desde una perspectiva constitucional, ya que la mera lectura de esas expresiones conduciría, en principio, a calificarlas lesivas de la reputación y fama del aludido, haciéndole desmerecer en la consideración ajena, sin que tal primera impresión pueda ser volatilizada por la circunstancia de que fuera esa la manera de hablar o expresarse el imputado y, menos aún, porque los vocablos utilizados figuren en el diccionario, como se razona en las resoluciones impugnadas para denegar el procesamiento. Por otra parte, tampoco resulta congruente con el interés constitucional en el justo desarrollo del proceso, que el fundamento de esa decisión judicial, se ponga en que no están las cintas originales y las que están no son auténticas, después de haber declarado impertinente la prueba pericial para su verificación. Así, incurriendo en contradicción flagrante, se rechazó por irrelevante una prueba tenida, a la vez, por necesaria e incluso decisiva a la hora de desestimar la pretensión acusatoria. En su virtud, ha de darse amparo a quien lo pide [F. 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 xml:space="preserve">En el recurso de amparo núm. 1.365/93, interpuesto por Don Ramón Mendoza Fontela, a quien representa la Procuradora de los Tribunales doña María Jesús González Díez y asiste el Abogado don Miguel Bajo Fernández, contra el Auto que la Sección Segunda de la Audiencia Provincial de Madrid dictó el 3 de marzo de 1993, confirmando en súplica </w:t>
      </w:r>
      <w:r>
        <w:lastRenderedPageBreak/>
        <w:t>otro de 16 de diciembre de 1992, en el que desestimó el recurso de apelación interpuesto contra los pronunciados por el Juez de Instrucción núm. 5 de Madrid en el sumario especial 2/92, denegando el procesamiento por injurias graves con publicidad y concluyendo el sumario. Han comparecido el Ministerio Fiscal y don José María García Pérez y don Manuel Martín Ferrand, representados por el Procurador de los Tribunales don Juan Luis Pérez-Mulet y Suárez con la dirección del Letrado don Adrián Dupuy López, siendo Ponente el Magistrado don Rafael de Mendizábal Allende,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Don Ramón Mendoza Fontela, en escrito registrado el 28 de abril de 1993, interpuso el recurso de amparo del cual se hace mérito en el encabezamiento, donde se nos dice que el 21 de noviembre de 1991 dedujo querella por injurias graves con publicidad contra don José María García Pérez, como autor, y don Manuel Martín Ferrand, como responsable civil subsidiario, por las expresiones que el primero había vertido en diversas emisiones radiofónicas entre junio y octubre de 1991. Estas expresiones son, entre otras: mierda, mentiroso, embustero, cobarde, enloquecido, mísero, roñoso, caduco, sujeto, sujetillo, truhán, tonto, torpe, dictatorial, caciquil, bazofia, tragaldabas, canalla, chocho, pasado, zoquete, dañino, cantamañanas, Ramón, Ramoncito, Ramoncete, de las mentiras, de los infundios y de las patrañas del Sr. Mendoza, pobre animal, vete a hacer gárgaras, Ramoncín el mentiroso, váyase a comer mierda, Sr. Mendoza, los desmanes cometidos por el Presidente del Real Madrid, caballerete de pelo blanco, cantamañanas de pelo blanco, tus desvaríos seniles, señor tan mayor y por su edad mental. A las anteriores hay que añadir el insulto hijo de puta, que, en referencia a don Ramón Mendoza Fontela, don José María García Pérez puso en boca de un tercero ya fallecido. La querella, que por reparto correspondió al Juez de Instrucción núm. 5 de Madrid, fue admitida a trámite en Auto de 28 de noviembre, ampliándose después en sendos escritos de 18 de febrero y 21 de abril de 1992, como consecuencia de otras presuntas injurias vertidas respectivamente en un artículo publicado en el diario "Ya" (27 de enero de 1992) y en una declaración en prueba de confesión prestada por el querellado en procedimiento civil seguido a su instancia contra don Ramón Mendoza Fontela. </w:t>
      </w:r>
    </w:p>
    <w:p w:rsidR="006854DA" w:rsidRDefault="006854DA" w:rsidP="006854DA">
      <w:pPr>
        <w:pStyle w:val="TextoNormal"/>
      </w:pPr>
      <w:r>
        <w:t xml:space="preserve">El Juez instructor, en Auto de 23 de julio de 1992, denegó el procesamiento de los querellados porque las únicas expresiones proferidas por don José María García Pérez que podían ser examinadas, habida cuenta de que no se habían aportado las cintas originales de las emisiones radiofónicas y las suministradas por el querellante no disfrutaban de las garantías suficientes de autenticidad, eran las que, enunciadas en la querella, fueron reconocidas y asumidas por el querellado, siendo así que en tales expresiones no concurría el animus iniurandi, no habiendo hecho su autor otra cosa que ejercer legítimamente el derecho fundamental reconocido en el art. 20.1 d) de la Constitución. En opinión del Juez, las expresiones y calificativos utilizados por el querellado se corresponden «a conceptos indicados en el diccionario de la Real Academia de la Lengua, lo que evidencia la inexistencia de una voluntad o intención de deshonrar, menospreciar o desacreditar (a don Ramón Mendoza), no siendo posible que las expresiones sean tenidas en cuenta de forma aislada (...), sino dentro del contexto en que fueron proferidas...» (fundamento jurídico 1 y único). Dado que ese contexto era el informativo, el Juez entendió que don José María García Pérez no había injuriado al querellante, sino que se había limitado a ejercer su derecho a la libertad de informar sobre las actuaciones públicas de un personaje público, utilizando </w:t>
      </w:r>
      <w:r>
        <w:lastRenderedPageBreak/>
        <w:t xml:space="preserve">para ello el tono que le es habitual y característico. Don Ramón Mendoza Fontela interpuso recurso de reforma, solicitando, además, la práctica de prueba consistente en el análisis de las cintas magnetofónicas aportadas. El recurso fue desestimado en otro Auto de 5 de agosto en el que el Juez sostiene que no existen «indicios racionales de criminalidad en la conducta del querellado(,) pues en todas las expresiones que son objeto de las presentes diligencias está ausente el ánimo de injuriar» (fundamento jurídico único) y rechaza la prueba solicitada por extemporánea e innecesaria. En Auto de igual fecha declaró terminado el sumario. </w:t>
      </w:r>
    </w:p>
    <w:p w:rsidR="006854DA" w:rsidRDefault="006854DA" w:rsidP="006854DA">
      <w:pPr>
        <w:pStyle w:val="TextoNormal"/>
      </w:pPr>
      <w:r>
        <w:t xml:space="preserve">El Ministerio Fiscal, en escrito de 1 de octubre, se dirigió a la Sección Segunda de la Audiencia Provincial de Madrid manifestando su disconformidad con lo decidido por el Juez instructor e interesando la revocación del Auto de conclusión del sumario con el objeto de que se ordenara a aquél el procesamiento de los querellados pues, a su juicio, era evidente la existencia de indicios racionales de criminalidad. Don Ramón Mendoza Fontela, en escrito de 16 de octubre, reprodujo ante la Audiencia la petición de procesamiento. El mencionado Tribunal, en Auto de 16 de diciembre, acordó desestimar las peticiones de uno y otro, confirmando íntegramente los pronunciados por el Juez de Instrucción ya que, según su criterio, las expresiones enjuiciadas habían sido proferidas por don José María García Pérez en ejercicio de su derecho ex art. 20.1 d) de la Constitución, por lo que el derecho al honor del querellante debía ceder ante el valor prevalente de la libertad de información, sin que, por lo demás, existieran indicios racionales de que la finalidad perseguida por aquél fuera perjudicar el honor de éste, al margen de que sus modos fueran más o menos vulgares o chabacanos. Don Ramón Mendoza Fontela interpuso recurso de súplica contra el Auto en que así se acordó, al que se adhirió el Ministerio Fiscal y que fue desestimado en otro de 3 de marzo de 1993. </w:t>
      </w:r>
    </w:p>
    <w:p w:rsidR="006854DA" w:rsidRDefault="006854DA" w:rsidP="006854DA">
      <w:pPr>
        <w:pStyle w:val="TextoNormal"/>
      </w:pPr>
      <w:r>
        <w:t xml:space="preserve">La Audiencia Provincial reiteró en este Auto su idea de que no existían indicios racionales de criminalidad «suficientes para acordar el procesamiento (...) (pues) las expresiones carecen de entidad relevante para ser criminalizadas(,) teniendo en cuenta el contexto general de los programas deportivos en que fueron emitidos, el carácter notoriamente público y expuesto a críticas deportivas de la persona del querellante y la tónica habitual del vocabulario y expresiones que desde hace largos años viene empleando el querellado a través de su programa radiofónico, con general tolerancia, sin que ello signifique que por este simple hecho hayan de quedar inmunes si realmente fuesen constitutivos de delito...»  (fundamento jurídico 1). De otro lado -continúa la Audiencia- no consta la existencia de ánimo de injuriar «por el solo hecho de utilizar las mencionadas expresiones, pues a la habitualidad notoria de su uso por el querellado contra todo tipo de personajes del deporte -lo que se repite intrascendente a los efectos penales caso de constituir delito, si bien es obvio que excluye o al menos limita la especial intencionalidad exigible en el caso concreto-, ha de añadirse (...) la falta de motivación personal apreciable en la causa a la que respondiesen las supuestas injurias y calumnias, que ni siquiera el querellante ha apuntado en ningún momento» (fundamento jurídico 2). </w:t>
      </w:r>
    </w:p>
    <w:p w:rsidR="006854DA" w:rsidRDefault="006854DA" w:rsidP="006854DA">
      <w:pPr>
        <w:pStyle w:val="TextoNormal"/>
      </w:pPr>
      <w:r>
        <w:t xml:space="preserve">En la demanda de amparo se dice que las resoluciones judiciales impugnadas han vulnerado los derechos fundamentales del recurrente al honor (art. 18.1 C.E.), a un proceso con todas las garantías (art. 24.2 C.E.) y a la tutela judicial efectiva (art. 24.1 C.E.). El primero, porque los órganos judiciales no han ponderado de manera constitucionalmente legítima su contenido mínimo e irrenunciable y han errado a la hora de considerar amparado a don José María García Pérez por las garantías del art. 20.1 d) de la Constitución. </w:t>
      </w:r>
    </w:p>
    <w:p w:rsidR="006854DA" w:rsidRDefault="006854DA" w:rsidP="006854DA">
      <w:pPr>
        <w:pStyle w:val="TextoNormal"/>
      </w:pPr>
      <w:r>
        <w:t xml:space="preserve">La vulneración del derecho a un proceso con todas las garantías deriva de la infracción del derecho a utilizar los medios de prueba pertinentes para la defensa y por confusión </w:t>
      </w:r>
      <w:r>
        <w:lastRenderedPageBreak/>
        <w:t xml:space="preserve">entre las funciones instructoras y las de enjuiciamiento, con resultado de indefensión. Esta queja viene motivada, en buena medida, en no haberse aportado a la causa las grabaciones correspondientes a los programas radiofónicos en los que don José María García Pérez profirió las expresiones denunciadas, siendo así que tal falta de aportación tuvo su causa en la simple negación de su existencia por parte de los querellados, negativa que los órganos judiciales aceptaron. Todo ello con independencia de que, aportadas por el actor sus propias grabaciones (no impugnadas de contrario) y reconocidas por el querellado las expresiones que se le imputaban, la inexistencia de grabaciones originales era poco menos que irrelevante. En todo caso, si para el Juez instructor era fundamental disponer de las cintas originales, debió actuar con mayor diligencia y no limitarse a dar por buena la negativa de los querellados. Al no haberlo hecho así -y no haber advertido al querellante sobre la transcendencia que otorgaba a las grabaciones-, el Juez ha venido a fundamentar la decisión sobre su propia inactividad. De otro lado, la pruebas aportadas fueron objeto de valoración judicial en un momento previo al procesalmente apropiado -el juicio oral-, de manera que se imposibilitó el acceso de las pruebas aportadas al juicio oral y su valoración se produjo en fase de admisión dando prevalencia, precisamente, a la no aportación de otra prueba (las cintas originales). Finalmente, el razonamiento judicial fundamentador de la denegación del procesamiento ha excedido los límites propios de la función "indiciario-analizadora" a la que está llamado el Juez instructor, pues ha transformado la necesidad de acreditar la existencia de indicios racionales de criminalidad en la obligación -jurídicamente imposible- de hacer prueba plena y anticipada en un momento procesal inoportuno. En otras palabras, el Juez ha instruido y fallado al mismo tiempo. </w:t>
      </w:r>
    </w:p>
    <w:p w:rsidR="006854DA" w:rsidRDefault="006854DA" w:rsidP="006854DA">
      <w:pPr>
        <w:pStyle w:val="TextoNormal"/>
      </w:pPr>
      <w:r>
        <w:t>El derecho a la tutela judicial efectiva ha sido desconocido porque se ha resuelto el procedimiento mediante una proscrita absolución en la instancia. Además, las resoluciones recurridas carecen de una verdadera y constitucionalmente legítima motivación. El Auto del Juez resolutorio del recurso de reforma responde al esquema de "Auto-formulario " (como lo demuestra que finalice rechazando un recurso de apelación que no fue planteado) en el que no se da cumplida respuesta a las argumentaciones en que se fundamentó el recurso. Todos los Autos recurridos introducen elementos arbitrarios e injustificados a la hora de resolver las cuestiones objeto de debate, pues sólo se trataba de pronunciarse sobre la procedencia o improcedencia del procesamiento, siendo suficiente, a tal fin, la constatación de si en la solicitud del querellante había un mínimo de razonabilidad; al negar el procesamiento pese a la concurrencia de ese mínimo, aquellos Autos han incurrido en arbitrariedad lesiva del derecho a la tutela judicial, pues de arbitraria ha de tildarse una denegación de procesamiento fundamentada en la propia inactividad judicial (pasividad ante la negativa de la contraparte sobre la inexistencia de grabaciones originales) y en la asunción por parte del instructor de unas funciones (las de enjuiciamiento e, incluso, las de creación normativa -pues se crea una nueva eximente no contemplada en la legislación penal: la condición de periodista habitualmente mal hablado-) que no le son propias. Concluye la demanda con la súplica de que se otorgue el amparo, anulando los Autos que son su objeto y restableciendo así al demandante en la integridad de los derechos fundamentales que dice vulnerados mediante la adopción del procesamiento por él interesado en su momento.</w:t>
      </w:r>
    </w:p>
    <w:p w:rsidR="006854DA" w:rsidRDefault="006854DA" w:rsidP="006854DA">
      <w:pPr>
        <w:pStyle w:val="TextoNormal"/>
      </w:pPr>
    </w:p>
    <w:p w:rsidR="006854DA" w:rsidRDefault="006854DA" w:rsidP="006854DA">
      <w:pPr>
        <w:pStyle w:val="TextoNormal"/>
      </w:pPr>
      <w:r w:rsidRPr="006854DA">
        <w:rPr>
          <w:rStyle w:val="NumeroAFNegritaCaracter"/>
        </w:rPr>
        <w:t>2</w:t>
      </w:r>
      <w:r>
        <w:t>. La Sección Tercera, en providencia de 4 de octubre de 1993, admitió a trámite la demanda, requiriendo a la Sección Segunda de la Audiencia Provincial de Madrid y al Juez de Instrucción núm. 5 de dicha ciudad la remisión de las actuaciones y al segundo de ellos el emplazamiento de quienes fueron parte en el proceso para que pudieran compare</w:t>
      </w:r>
      <w:r>
        <w:lastRenderedPageBreak/>
        <w:t xml:space="preserve">cer en éste si les conviniere, todo ello condicionado a que por la Procuradora doña María Jesús González Díez se acreditase la representación que decía ostentar de don Ramón Mendoza Fontela, lo que llevó a efecto en escrito de 21 de septiembre de 1995. </w:t>
      </w:r>
    </w:p>
    <w:p w:rsidR="006854DA" w:rsidRDefault="006854DA" w:rsidP="006854DA">
      <w:pPr>
        <w:pStyle w:val="TextoNormal"/>
      </w:pPr>
      <w:r>
        <w:t xml:space="preserve">Don José María García Pérez y don Manuel Martín Ferrand comparecieron mediante escrito presentado el 13 de diciembre de 1993, por lo que, una vez subsanada la falta de acreditación de la representación del segundo por parte del Procurador don Juan Luis Pérez-Mulet y Suárez, se les tuvo por parte en providencia de 24 de enero de 1994, en la que, habiendo sido recibidas las actuaciones reclamadas, se acusó recibo y se dio vista a las partes por plazo común de veinte días. </w:t>
      </w:r>
    </w:p>
    <w:p w:rsidR="006854DA" w:rsidRDefault="006854DA" w:rsidP="006854DA">
      <w:pPr>
        <w:pStyle w:val="TextoNormal"/>
      </w:pPr>
      <w:r>
        <w:t xml:space="preserve">3 . Don José María García Pérez y don Manuel Martín Ferrand, en escrito presentado el 17 de febrero, se opusieron al amparo solicitado y, antes de entrar en materia, se extendieron sobre tres cuestiones por ellos denominadas previas. La primera, referente a la posición procesal en la causa penal del don Manuel Martín Ferrand; la segunda, acerca de las diferencias existentes entre el escrito del recurso de súplica interpuesto contra el Auto dictado por la Audiencia Provincial el 16 de diciembre de 1992, que consta en las actuaciones originales, y el que como tal fue presentado con la demanda de amparo; y la tercera, relativa a los insultos proferidos en una Asamblea General de Socios del Real Madrid por don Ramón Mendoza Fontela contra don José María García Pérez y su padre, don José García Méndez, y al cruce de acciones judiciales, civiles y penales, entre uno y otros, alguna de las cuales incluso acabó en este Tribunal en solicitud de amparo, que fue rechazada en providencia. </w:t>
      </w:r>
    </w:p>
    <w:p w:rsidR="006854DA" w:rsidRDefault="006854DA" w:rsidP="006854DA">
      <w:pPr>
        <w:pStyle w:val="TextoNormal"/>
      </w:pPr>
      <w:r>
        <w:t xml:space="preserve">Después de hacer las anteriores consideraciones previas, los codemandados recuerdan a este Tribunal que, en su Auto 348/1.992, ha manifestado que la ponderación entre los derechos fundamentales al honor y a la libertad de información no tiene que ser igual en el supuesto del ejercicio de una acción civil que en el de una acción penal en la que, evidentemente, deben jugar otra clase de consideraciones, entre otras, y singularmente el que se cumplan las condiciones de aplicabilidad de los tipos penales, ya que si concurren tales condiciones no cabe resarcimiento alguno por esa vía del honor vulnerado por propio imperativo constitucional, y entre esas condiciones se encuentra el ánimo difamatorio. Esta afirmación del Tribunal Constitucional quizás explique que en la demanda de amparo se guarde silencio sobre la Sentencia civil que a su favor obtuvo don Ramón Mendoza Fontela contra don José María García Pérez en un proceso de protección al honor sobre expresiones análogas a las que pretende se enjuicien y sancionen en el proceso penal, si bien emitidas en programas radiofónicos distintos; no existe otra explicación que la de ocultar al Tribunal Constitucional la existencia de ese proceso civil y de aquella Sentencia, en la que se concluye que las expresiones del periodista no estaban amparadas ni por la libre información, ni por la libertad de expresión. Pero ahora estamos en un proceso penal y la ponderación de los derechos en conflicto no es la misma que en un proceso civil y, en concreto, exige la presencia del animus iniurandi, que la Audiencia Provincial de Madrid consideró ausente con unos argumentos que no cabe tachar de irrazonables, por lo que no puede ser apreciada la alegada vulneración de los arts. 18.1 y 24.1 de la Constitución. </w:t>
      </w:r>
    </w:p>
    <w:p w:rsidR="006854DA" w:rsidRDefault="006854DA" w:rsidP="006854DA">
      <w:pPr>
        <w:pStyle w:val="TextoNormal"/>
      </w:pPr>
      <w:r>
        <w:t xml:space="preserve">La Audiencia Provincial de Madrid y el Tribunal Supremo se han pronunciado en asuntos muy similares al debatido en igual sentido que el contenido en los Autos recurridos, en resoluciones cuyo contenido permite traer a colación las "consideraciones de tipo general" que el Magistrado don Eugenio Díaz Eimil realizó en su voto particular a la STC 121/1989 acerca de la "relatividad de lo jurídico" y del "ámbito propio de la jurisdicción constitucional de amparo en relación con la potestad jurisdiccional de los Jueces y Tribunales", cuyas consideraciones permiten concluir que los Autos dictados por la Sección Segunda </w:t>
      </w:r>
      <w:r>
        <w:lastRenderedPageBreak/>
        <w:t xml:space="preserve">de la Audiencia Provincial de Madrid no han realizado una ponderación notoria e indubitadamente lesiva del derecho al honor; por tanto, no se justifica la siempre excepcional protección última que supone el amparo. En resumen, la decisión del Tribunal Constitucional en este recurso de amparo debe ser de desestimación porque el propio Tribunal ha reconocido el carácter eminentemente relativo y circunstancial del delito de injurias (STC 136/1990) y porque una resolución de desestimación seguiría una línea análoga a la tomada en el recurso de amparo 812/92, interpuesto por el padre del periodista aquí codemandado contra Auto por el que no se admitió la querella por él interpuesta contra don Ramón Mendoza Fontela. </w:t>
      </w:r>
    </w:p>
    <w:p w:rsidR="006854DA" w:rsidRDefault="006854DA" w:rsidP="006854DA">
      <w:pPr>
        <w:pStyle w:val="TextoNormal"/>
      </w:pPr>
      <w:r>
        <w:t xml:space="preserve">Ni el Juez de Instrucción ni la Audiencia Provincial fundamentaron la negativa al procesamiento en la ausencia de una prueba solicitada por el querellante, muy al contrario aquél resolvió con fundamento en el reconocimiento por don José María García Pérez de las expresiones que se le imputaban en el escrito de querella y en las contenidas en el diario "Ya", concluyendo que faltaba el animus iniurandi. Buena prueba de ello es que, solicitada la práctica de prueba pericial fonográfica en el escrito de interposición del recurso de reforma, el Juez la rechazó por considerarla, además de extemporánea, innecesaria. La falta de cintas originales o a la no verificación de las aportadas no fue la razón de denegar el procesamiento. Además, ante la Audiencia Provincial, el querellante no hizo uso de la facultad que le atribuye el art. 627.3º de la Ley de Enjuiciamiento Criminal en orden a solicitar la práctica de nuevas diligencias, limitándose a reiterar su petición de procesamiento, por lo que en relación con este derecho fundamental falta el requisito de la invocación ex art. 44.1 c) de la Ley Orgánica del Tribunal Constitucional. En fin, el propio demandante de amparo reconoce en su demanda que dicho medio probatorio no era necesario. </w:t>
      </w:r>
    </w:p>
    <w:p w:rsidR="006854DA" w:rsidRDefault="006854DA" w:rsidP="006854DA">
      <w:pPr>
        <w:pStyle w:val="TextoNormal"/>
      </w:pPr>
      <w:r>
        <w:t xml:space="preserve">El derecho a un proceso con todas las garantías tampoco ha resultado vulnerado. El Juez instructor fue don José Alberto Gallego Laguna, quien no formó parte de la Sección de la Audiencia Provincial de Madrid, y esta Sección no estaba viciada de parcialidad porque no formó parte de la misma el Juez instructor. y porque ninguno de sus miembros realizó actividad instructora. No se entiende la invocación de las SSTC 145/1988 y 164/1988. Finalmente, el derecho a la tutela judicial efectiva tampoco ha sido desconocido pues no ha habido absolución en la instancia, las resoluciones recurridas no carecen de base legal, ni fueron adoptadas con extralimitación de funciones ni les falta la necesaria motivación. </w:t>
      </w:r>
    </w:p>
    <w:p w:rsidR="006854DA" w:rsidRDefault="006854DA" w:rsidP="006854DA">
      <w:pPr>
        <w:pStyle w:val="TextoNormal"/>
      </w:pPr>
      <w:r>
        <w:t xml:space="preserve">4 . El solicitante de amparo evacuó el anterior traslado en escrito presentado el 18 de febrero, en el que, sin añadir nuevas alegaciones a las ya expuestas en el de demanda, solicitó que fueran requeridos la Sección Segunda de la Audiencia Provincial y el Juez de Instrucción núm. 5, ambos de Madrid, para que pusieran a disposición de este Tribunal las cintas magnetofónicas aportadas con el escrito de querella. Esta solicitud fue atendida en providencia de 28 de febrero. </w:t>
      </w:r>
    </w:p>
    <w:p w:rsidR="006854DA" w:rsidRDefault="006854DA" w:rsidP="006854DA">
      <w:pPr>
        <w:pStyle w:val="TextoNormal"/>
      </w:pPr>
      <w:r>
        <w:t>5 . El Fiscal formuló sus alegaciones en igual fecha y en su escrito aduce que la prueba de análisis de las cintas magnetofónicas presentadas junto con el escrito de querella no era extemporánea, pues no se había dictado aún Auto de conclusión del sumario, y, además, fue solicitada en el primer momento hábil siguiente a tener conocimiento de que el instructor no otorgaba valor alguno a las mencionadas cintas. Dicha prueba tampoco era innecesaria, ya que en su falta se basó el Juez para denegar el procesamiento pedido. Así pues, la prueba fue solicitada en tiempo y forma y su denegación privó al solicitante de un medio de defensa necesario para probar hechos decisivos para su pretensión: el contexto en que las expresiones pretendidamente injuriosas se profirieron. No se puede fundamen</w:t>
      </w:r>
      <w:r>
        <w:lastRenderedPageBreak/>
        <w:t xml:space="preserve">tar la denegación del procesamiento en la falta de las cintas magnetofónicas originales o en la no autentificación de las aportadas para, inmediatamente, después calificar la prueba pericial fonográfica de innecesaria y confirmar el Auto recurrido. Con ello se privó al querellante de un medio de prueba cuya ausencia es la base misma de la desestimación de su pretensión y la que ocasiona el archivo de las actuaciones. Consecuentemente, se ha producido la quiebra del derecho a la prueba del solicitante de amparo y el recurso debe prosperar en este punto. </w:t>
      </w:r>
    </w:p>
    <w:p w:rsidR="006854DA" w:rsidRDefault="006854DA" w:rsidP="006854DA">
      <w:pPr>
        <w:pStyle w:val="TextoNormal"/>
      </w:pPr>
      <w:r>
        <w:t xml:space="preserve">Lo expuesto bastaría para la estimación del recurso por razones formales, pero, por si el Tribunal Constitucional no coincidiera con la conclusión anterior, es necesario hacer algunas consideraciones sobre el fondo del asunto, que afecta al derecho fundamental sustantivo al honor. Los motivos aducidos en los Autos recurridos para denegar el procesamiento solicitado son fundamentalmente tres. El primero se refiere a la falta de las cintas originales, que impide conocer el contexto en que las expresiones recogidas en la querella -y reconocidas como suyas por el querellado- fueron emitidas y, en este punto, hay que estar a lo dicho en relación con el derecho a la prueba. El segundo atiende a la prevalencia de la libertad de información sobre el derecho al honor. Esta consecuencia es obtenida de la ponderación que de ambos derechos, cuya revisión corresponde a este Tribunal, realizan los órganos judiciales, la cual es inadecuada y no se atiene a la jurisprudencia constitucional. No cabe duda de que las expresiones contenidas en el escrito de querella, y resumidas por el Fiscal en su petición de procesamiento, son formalmente injuriosas, en cualquier contexto en que se formulen. La tercera razón para denegar el procesamiento radica en la inexistencia de animus iniurandi. Es éste el extremo más problemático, pues -en principio- la apreciación de si existe o no es una facultad exclusiva del juzgador, pero, conforme a la doctrina contenida en la STC 52/1992, ello no impide que el juicio de constitucionalidad incluya el grado e intensidad de la lesión que al derecho al honor hayan ocasionado las expresiones que tratan de ampararse en el derecho a la información. Afirmar, como hace la Audiencia Provincial, que las expresiones proferidas por el querellado "carecen de potencia ofensiva", supone una ponderación en extremo desatinada y que vulnera el contenido esencial del derecho al honor. Así pues, ninguna de las tres razones apuntadas para denegar el procesamiento es válida desde la perspectiva constitucional de protección al honor. Ahora bien, no puede este Tribunal, como se solicita en la demanda de amparo, acordar el procesamiento solicitado (STC 30/1985). </w:t>
      </w:r>
    </w:p>
    <w:p w:rsidR="006854DA" w:rsidRDefault="006854DA" w:rsidP="006854DA">
      <w:pPr>
        <w:pStyle w:val="TextoNormal"/>
      </w:pPr>
      <w:r>
        <w:t xml:space="preserve">Las anteriores conclusiones llevan a la estimación del amparo, pero el alcance de su otorgamiento exige algunas consideraciones adicionales. El delito imputado a don José María García Pérez, de acuerdo con lo dispuesto en los arts. 112.6 y 113 del Código Penal, ha prescrito y, si bien esta apreciación no le corresponde hacerla al Tribunal Constitucional, debe tenerla presente para determinar el alcance de su Sentencia. En concreto, la estimación del recurso de amparo debe quedar reducida a la constatación de la quiebra del derecho a la prueba, el reconocimiento al demandante de ese derecho, la nulidad del Auto dictado el 5 de agosto de 1992 por el Juez de Instrucción núm. 5 de Madrid, que declara la improcedencia de la prueba fonográfica, y la devolución de las actuaciones al instructor para que -si estima que la responsabilidad penal sigue viva- decrete la procedencia de la mencionada prueba. </w:t>
      </w:r>
    </w:p>
    <w:p w:rsidR="006854DA" w:rsidRDefault="006854DA" w:rsidP="006854DA">
      <w:pPr>
        <w:pStyle w:val="TextoNormal"/>
      </w:pPr>
      <w:r>
        <w:t xml:space="preserve">6. Don José María García Pérez y don Manuel Martín Ferrand presentaron escrito el 29 de abril de 1994 afirmando que el delito de injurias imputado al primero había prescrito y solicitando que en la Sentencia que se dicte se recoja tal circunstancia, que extingue la acción penal del recurrente de amparo. </w:t>
      </w:r>
    </w:p>
    <w:p w:rsidR="006854DA" w:rsidRDefault="006854DA" w:rsidP="006854DA">
      <w:pPr>
        <w:pStyle w:val="TextoNormal"/>
      </w:pPr>
      <w:r>
        <w:lastRenderedPageBreak/>
        <w:t xml:space="preserve">7 . Una vez recibidas las cintas magnetofónicas que fueron reclamadas en providencia de 28 de febrero de 1994, en otra de 14 de abril se puso esta circunstancia en conocimiento de las partes para que, en el plazo común de diez días, solicitaran lo que tuvieran por conveniente, siendo presentado el 25 de abril escrito por el demandante de amparo en el que interesó como prueba la audición de aquéllas, solicitud que reiteró el 11 de abril de 1995. Los codemandados, en escrito registrado el 29 de abril de 1994, se remitieron a las consideraciones que sobre tales soportes habían hecho en su escrito de alegaciones. La Sección Cuarta, en providencia de 1 de junio de 1995, dio traslado de la solicitud de prueba al Fiscal y a los codemandados que se opusieron a su práctica en sendos escritos presentados los días 8 y 9 de junio, respectivamente. La Sala Segunda denegó la prueba en Auto de 25 de julio. </w:t>
      </w:r>
    </w:p>
    <w:p w:rsidR="006854DA" w:rsidRDefault="006854DA" w:rsidP="006854DA">
      <w:pPr>
        <w:pStyle w:val="TextoNormal"/>
      </w:pPr>
      <w:r>
        <w:t>8. En providencia de 20 de junio de 1997 se señaló para deliberación y fallo de la presente Sentencia el día 23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Aun cuando desde una perspectiva formal sean cuatro los Autos de los que se pide amparo, dentro de una secuencia procesal de recursos, reforma, apelación y súplica, con una diana inmediata, el último, por ratificar los precedentes, no es menos cierto que desde una perspectiva material o sustantiva sólo se pone en tela de juicio el primero de ellos, al cual se achaca unas sedicentes violaciones de garantías constitucionales, si bien por elevación se ponga el punto de mira en los demás, cuyo contenido coincide sustancialmente con aquél y, en algún aspecto, fueron rechazando tales reproches. El soporte del amparo, como fundamento de la pretensión de que se anulen tales actos del Poder Judicial, se encuentra en el menoscabo o quebrantamiento de cuatro derechos fundamentales, uno sustantivo, el que protege el honor y otros dos cuyo talante es procesal, la efectividad de la tutela judicial e instrumentalmente el proceso con todas las garantías, donde encaja la posibilidad de utilizar los medios de prueba pertinentes para la defensa en juicio.  Ahora bien antagónicamente se implica, como eje de esta constelación de cuestiones, la libertad de expresión. Entran en juego, pues, como polos de la tensión dialéctica los arts. 18 y 20 de nuestra Constitución, más el 24 en varias de sus facetas por garantizarse allí el cauce procesal para el ejercicio de los derechos subjetivos e intereses legítimos de los ciudadanos, personas naturales o jurídicas, incluso las públicas en determinadas situaciones.</w:t>
      </w:r>
    </w:p>
    <w:p w:rsidR="006854DA" w:rsidRDefault="006854DA" w:rsidP="006854DA">
      <w:pPr>
        <w:pStyle w:val="TextoNormal"/>
      </w:pPr>
      <w:r>
        <w:t xml:space="preserve">Dicho lo cual, caen por su propio peso y se desgajan una serie de cuestiones que pertenecen al plano de la legalidad, sin dimensión constitucional. La principal, en su doble acepción de primera y más importante, si concurre, o no, el animus iniuriandi, que es la columna vertebral de la argumentación desarrollada en los Autos impugnados. La existencia de esa intención o de ese propósito concreto de ofender, cuya intensidad enerva y puede llegar a volatilizar, es un componente subjetivo del delito de injurias, con el trasfondo del honor como bien jurídico protegido -art. 18.1 de la Constitución-, fundamento a su vez de la llamada antijuridicidad material. En suma, ese rasgo es un aspecto del "tipo" o descripción estereotipada de los comportamientos punibles, contenidos en los arts. 453 y 457 del Código Penal.  Decidir si se da o no se da forma parte de la operación de encajar lo sucedido en la norma, subsunción en ella del supuesto de hecho, con la consiguiente calificación jurídica. Esta operación supone -por un lado- la selección de la norma, incluso en su dimensión temporal (vigencia, retroactividad, ultraactividad) y espacial (territorialidad) con su interpretación (STC 133/1995) y - por el otro- la acotación de la realidad por medio </w:t>
      </w:r>
      <w:r>
        <w:lastRenderedPageBreak/>
        <w:t>de la actividad probatoria, con el recibimiento a prueba, la comprobación de su pertinencia, la práctica y la valoración de la legitimidad de su obtención y de su fuerza convincente. Todo ello es en definitiva el contenido de la potestad de juzgar, tal y como ha sido diseñada por este Tribunal Constitucional, correspondiente con carácter exclusivo y excluyente a los Jueces y Tribunales titulares del Poder Judicial, que han de ejercer esa función jurisdiccional con absoluta independencia, vale decir con plena libertad de criterio, solamente sometidos al imperio de la Ley y el Derecho, sin interferencia alguna. En consecuencia, caen fuera de nuestro ámbito tales cuestiones, y deben quedar excluidas desde ahora mismo, dejando tan sólo para el debate aquellas otras que tienen una dimensión constitucional.</w:t>
      </w:r>
    </w:p>
    <w:p w:rsidR="006854DA" w:rsidRDefault="006854DA" w:rsidP="006854DA">
      <w:pPr>
        <w:pStyle w:val="TextoNormal"/>
      </w:pPr>
      <w:r>
        <w:t>No la tiene tampoco, y ha de ser eliminado en el umbral del enjuiciamiento, el tema de una sedicente o eventual prescripción del delito de injurias, alegación planteada en momento procesalmente intempestivo, fuera y después de la demanda, donde tienen su sede todos los motivos de impugnación cuyo supuesto de hecho existiera y fuera conocido al tiempo de formularla, sin posibilidad de una fe de erratas una vez precluida tal oportunidad. La prescripción, como una de las modalidades de extinción de la responsabilidad por razón de delito o de infracción administrativa, se incluye en el Código Penal o en las Leyes correspondientes y en tal sede son regulados sus elementos componentes (plazo, cómputo, interrupción).  La determinación de su incidencia en el caso concreto es una cuestión de legalidad, privativa de los Jueces y Tribunales. Aun cuando tenga un apoyo constitucional en el principio de seguridad jurídica (art. 9 C.E.), no configura un derecho subjetivo en favor de las personas y es un mandato cuyo destinatario directo e inmediato son los poderes públicos, el legislativo para configurarlo como así lo ha hecho en el Código y el judicial para su interpretación y aplicación por esa su situación en el plano de la legalidad, desprovista de carga constitucional alguna por si misma.</w:t>
      </w:r>
    </w:p>
    <w:p w:rsidR="006854DA" w:rsidRDefault="006854DA" w:rsidP="006854DA">
      <w:pPr>
        <w:pStyle w:val="TextoNormal"/>
      </w:pPr>
      <w:r>
        <w:t>Una vez reducido a su número exacto el elenco de los temas conflictivos, queda ahora tan sólo una preocupación metodológica, por virtud del principio de la economía de medios, para conseguir también la mayor claridad en la exposición, siempre deseable si se atiende a la función pedagógica de la jurisprudencia.  En consecuencia, ha de anteponerse el enjuiciamiento del caso desde el derecho a la prueba, netamente procesal, porque afecta a las garantías del proceso en su fase de desarrollo y si el reproche fuere atendido provocaría automáticamente la nulidad de lo actuado, sin prejuzgar la decisión final. En esta, en cambio, inciden directamente los reproches al discurso de los Autos, a sus razonamientos jurídicos o motivación, cuyo éxito tendría como efecto un reenvío para nueva reflexión a la luz de otras pautas, impidiendo el enjuiciamiento del derecho al honor y de la libertad de expresión, que se refleja en la ponderación de ambos.</w:t>
      </w:r>
    </w:p>
    <w:p w:rsidR="006854DA" w:rsidRDefault="006854DA" w:rsidP="006854DA">
      <w:pPr>
        <w:pStyle w:val="TextoNormal"/>
      </w:pPr>
    </w:p>
    <w:p w:rsidR="006854DA" w:rsidRDefault="006854DA" w:rsidP="006854DA">
      <w:pPr>
        <w:pStyle w:val="TextoNormal"/>
      </w:pPr>
      <w:r w:rsidRPr="006854DA">
        <w:rPr>
          <w:rStyle w:val="NumeroAFNegritaCaracter"/>
        </w:rPr>
        <w:t>2</w:t>
      </w:r>
      <w:r>
        <w:t>. Determinado el objeto de este recurso de amparo y el ámbito dialéctico que del mismo han diseñado las partes en sus respectivos escritos, antes de iniciar nuestro enjuiciamiento es necesario realizar algunas precisiones previas como respuesta a las consideraciones, también previas, que en su escrito de alegaciones realizan don José María García Pérez y don Manuel Martín Ferrand.</w:t>
      </w:r>
    </w:p>
    <w:p w:rsidR="006854DA" w:rsidRDefault="006854DA" w:rsidP="006854DA">
      <w:pPr>
        <w:pStyle w:val="TextoNormal"/>
      </w:pPr>
      <w:r>
        <w:t xml:space="preserve">La posición procesal en la causa penal del segundo de ellos resulta irrelevante a los efectos de este recurso de amparo, en la medida en que, como no podría ser de otra forma, este Tribunal debe abstenerse (art. 117.3 C.E.)  de hacer pronunciamiento alguno sobre las eventuales consecuencias penales y civiles de los hechos objeto de la querella. Otro tanto cabe decir de las diferencias existentes entre el escrito del recurso de súplica interpuesto contra el Auto dictado por la Audiencia Provincial el 16 de diciembre de 1992, que consta </w:t>
      </w:r>
      <w:r>
        <w:lastRenderedPageBreak/>
        <w:t>en las actuaciones originales, y el que como tal fue presentado con la demanda de amparo, porque cualquiera de los dos que se considere como el adecuado, la conclusión no puede ser otra que el cumplimiento de los presupuestos de procedibilidad del recurso, que es lo que aquí y ahora interesa, con independencia de las razones que pudieran explicar tal circunstancia y los motivos ocultos que los codemandados dicen adivinar en el demandante de amparo.</w:t>
      </w:r>
    </w:p>
    <w:p w:rsidR="006854DA" w:rsidRDefault="006854DA" w:rsidP="006854DA">
      <w:pPr>
        <w:pStyle w:val="TextoNormal"/>
      </w:pPr>
      <w:r>
        <w:t>Los supuestos insultos proferidos en una Asamblea General de Socios del Real Madrid por don Ramón Mendoza Fontela contra don José María García Pérez y su padre, y el entrecruzamiento entre ellos de acciones civiles y penales para la defensa de su respectivo honor, así como el éxito o fracaso de las mismas, lo único que pone de manifiesto es que sus relaciones no son precisamente amistosas. Pero ello, que puede tener trascendencia para la valoración de sus respectivas conductas por los Jueces y Tribunales ordinarios, carece de la más mínima relevancia al objeto de este recurso de amparo en el que hemos de indagar si el Juez de Instrucción núm. 5 de Madrid y la Sección Segunda de la Audiencia Provincial, también de Madrid, con las decisiones que han adoptado han vulnerado los derechos fundamentales que se invocan en la demanda.</w:t>
      </w:r>
    </w:p>
    <w:p w:rsidR="006854DA" w:rsidRDefault="006854DA" w:rsidP="006854DA">
      <w:pPr>
        <w:pStyle w:val="TextoNormal"/>
      </w:pPr>
      <w:r>
        <w:t>Para terminar con estas consideraciones previas a las que nos obliga el contenido del escrito de alegaciones presentado por don José María García Pérez y don Manuel Martín Ferrand, hemos de precisar que la inadmisión en providencia de 3 de junio de 1992 del recurso de amparo núm. 812/92, interpuesto por don José García Méndez contra resoluciones judiciales por las que no se admitió la querella por él deducida contra don Ramón Mendoza Fontela, en modo alguno predetermina, como parecen dar a entender los codemandados, la desestimación de éste que ahora centra nuestra atención, ya que en uno y otro se trata de hechos y procedimientos judiciales distintos, cada uno de ellos con su propia historia y sus singulares características específicas. Si el presente recurso de amparo llega a ser desestimado, lo será porque las vulneraciones constitucionales denunciadas en la demanda no se han producido pero no porque este Tribunal haya inadmitido el mencionado recurso 812/92, en el largo contencioso que, a todas luces, viene enfrentando a sus protagonistas.</w:t>
      </w:r>
    </w:p>
    <w:p w:rsidR="006854DA" w:rsidRDefault="006854DA" w:rsidP="006854DA">
      <w:pPr>
        <w:pStyle w:val="TextoNormal"/>
      </w:pPr>
    </w:p>
    <w:p w:rsidR="006854DA" w:rsidRDefault="006854DA" w:rsidP="006854DA">
      <w:pPr>
        <w:pStyle w:val="TextoNormal"/>
      </w:pPr>
      <w:r w:rsidRPr="006854DA">
        <w:rPr>
          <w:rStyle w:val="NumeroAFNegritaCaracter"/>
        </w:rPr>
        <w:t>3</w:t>
      </w:r>
      <w:r>
        <w:t>. Desbrozado el camino podemos ya abordar, de acuerdo con el esquema lógico expuesto en el primero de los fundamentos jurídicos, el análisis de la denunciada infracción del derecho a la prueba (art. 24.2 C.E.), no sin antes dar respuesta al obstáculo procesal que, en relación con el mismo, los codemandados ponen de manifiesto, casi de pasada, en su escrito de alegaciones. Afirman que el demandante no ha dado cumplimiento al requisito contenido en el art. 44.1 c) de la Ley Orgánica de este Tribunal, por no haber solicitado de la Audiencia Provincial la práctica de la prueba que denegó el Juez instructor.</w:t>
      </w:r>
    </w:p>
    <w:p w:rsidR="006854DA" w:rsidRDefault="006854DA" w:rsidP="006854DA">
      <w:pPr>
        <w:pStyle w:val="TextoNormal"/>
      </w:pPr>
      <w:r>
        <w:t xml:space="preserve">Dicho Juez declaró concluso el sumario en Auto de 5 de agosto de 1992 y emplazó a las partes por término de diez días para ante la Audiencia Provincial.  Comparecidas aquéllas ante el mencionado Tribunal, se les dio traslado a los efectos del art. 627 de la Ley de Enjuiciamiento Criminal, que el querellante evacuó en escrito en el que reprodujo su solicitud de procesamiento de don José María García Pérez y, si bien no pidió expresamente, en uso de la facultad que el párrafo tercero del mencionado precepto legal le atribuía, la práctica de la diligencia de prueba que denegó el Juez, dejó planteada la cuestión en la consideración segunda, apartado 1.E («...no es sostenible ni tolerable que el Auto denegatorio del procesamiento se haya limitado sin más a rechazar las cintas, sin requerir nuevamente a la emisora para la aportación de las cintas y sin considerar que dichas cintas de cassette constituyen una de las diligencias de prueba del procedimiento (...)  debía haber </w:t>
      </w:r>
      <w:r>
        <w:lastRenderedPageBreak/>
        <w:t>analizado internamente el valor probatorio de las cintas de cassette aportadas que, aunque no son las originales de la emisora, sí admiten una valoración junto con los demás medios de convicción o diligencias de prueba celebradas en la fase de instrucción»).</w:t>
      </w:r>
    </w:p>
    <w:p w:rsidR="006854DA" w:rsidRDefault="006854DA" w:rsidP="006854DA">
      <w:pPr>
        <w:pStyle w:val="TextoNormal"/>
      </w:pPr>
      <w:r>
        <w:t>Así las cosas, es indiscutible que don Ramón Mendoza Fontela hizo uso de todos los recursos y cauces procesales que tenía a su disposición para que la prueba que propuso en su momento fuera practicada [art. 44.1 a) LOTC], ya que planteó ante la Audiencia Provincial la necesidad de llevarla a efecto para decidir sobre la procedencia o no del procesamiento que solicitó y, siendo ello así, ha de concluirse que, en relación con el derecho fundamental a utilizar los medios de prueba necesarios para la defensa, respetó el carácter subsidiario del recurso de amparo, dando ocasión a la Audiencia de reparar la lesión que hoy dice se le ha causado [art. 44.1 c) LOTC], desvaneciéndose de este modo el obstáculo procesal que respecto del derecho fundamental citado han traído a colación los codemandados.  Debe recordarse que ya desde un principio (STC 47/1982) este Tribunal ha venido manteniendo que el requisito establecido en el art. 44.1 c) de su Ley Orgánica ha de ser interpretado con criterio finalista, atendiendo, más que al puro formalismo de la expresa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46/1983, 75/1984 y 203/1988). Con este requisito se trata, en definitiva, de ofrecer al órgano judicial base suficiente para conocer las concretas vulneraciones constitucionales que se dicen producidas (SSTC 34/1986, 75/1988 y 164/1989), base que la Audiencia Provincial tuvo, como se ha visto, a su disposición.</w:t>
      </w:r>
    </w:p>
    <w:p w:rsidR="006854DA" w:rsidRDefault="006854DA" w:rsidP="006854DA">
      <w:pPr>
        <w:pStyle w:val="TextoNormal"/>
      </w:pPr>
    </w:p>
    <w:p w:rsidR="006854DA" w:rsidRDefault="006854DA" w:rsidP="006854DA">
      <w:pPr>
        <w:pStyle w:val="TextoNormal"/>
      </w:pPr>
      <w:r w:rsidRPr="006854DA">
        <w:rPr>
          <w:rStyle w:val="NumeroAFNegritaCaracter"/>
        </w:rPr>
        <w:t>4</w:t>
      </w:r>
      <w:r>
        <w:t>. El derecho a la defensa es exactamente el antídoto de la tacha más grave que puede enervar la efectividad de la tutela judicial hasta hacerla desaparecer, la indefensión, y a su vez actúa como cabecera o capitular de otros derechos que le siguen en el mismo texto constitucional. Uno de ellos, y uno de los más importantes, "el derecho a utilizar los medios de prueba pertinentes para su defensa", inseparable de éste. Su configuración, que tiene asiento propio en las Leyes de Enjuiciamiento y muy especialmente en la Civil, por su función supletoria, diseña una secuencia en la que son fases sucesivas, aun cuando no siempre necesarias, el recibimiento a prueba, a instancia de la parte o de oficio por el Juez cuando así se permita, la proposición de los distintos medios de prueba y la admisión o rechazo, que implica un juicio sobre la pertinencia, la práctica y, en fin, su valoración. Lo dicho pone de manifiesto, por la misma fuerza del relato, que es siempre posible una respuesta judicial negativa en cualesquiera de esas etapas y, por lo tanto, que existiendo un derecho genérico a la prueba, no se traduce sin embargo en un derecho absoluto y automático a ella, en todos los procesos y en cualquiera de sus grados, sea cual fuere el medio propuesto y lo que se pretenda probar.</w:t>
      </w:r>
    </w:p>
    <w:p w:rsidR="006854DA" w:rsidRDefault="006854DA" w:rsidP="006854DA">
      <w:pPr>
        <w:pStyle w:val="TextoNormal"/>
      </w:pPr>
      <w:r>
        <w:t>Ahora bien, 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Una exigencia simétrica impone al juzgador la obligación de razonar también, en su caso, la inadmisión o la impertinencia, sin cuya motivación tales decisiones podrían incurrir en arbitrariedad y, por tanto, quebrantar el derecho fundamental en cuestión. Aquí se plantea una vez más la tensión dialéctica entre la independencia del Poder Judicial, titular de la función jurisdic</w:t>
      </w:r>
      <w:r>
        <w:lastRenderedPageBreak/>
        <w:t>cional y la salvaguarda de las garantías constitucionales que nos corresponde, tal y como se diseña en el art. 123 de nuestra Constitución.</w:t>
      </w:r>
    </w:p>
    <w:p w:rsidR="006854DA" w:rsidRDefault="006854DA" w:rsidP="006854DA">
      <w:pPr>
        <w:pStyle w:val="TextoNormal"/>
      </w:pPr>
      <w:r>
        <w:t>Pues bien, el contenido de la potestad de juzgar extiende su ámbito no sólo a la premisa mayor, en una metáfora silogística. También le corresponde la determinación del presupuesto de hecho -premisa menor- cuya subsunción en la norma desencadenará el pronunciamiento final o conclusión. Para fijar lo sucedido con significación jurídica se arbitran los medios de prueba que regulan, desde una óptica sustantiva el Código Civil y desde la procesal la Ley de Enjuiciamiento Criminal, en este caso. En tal sentido, hemos dicho tantas veces que excusa toda cita, que corresponde al juzgador decidir sobre la admisibilidad de cada tipo de prueba según su naturaleza y su relación con cuanto se intenta verificar, adecuación e idoneidad con reflejo en la admisibilidad y pertinencia. Una vez que la respuesta a estas incógnitas previas sea positiva, la práctica ha de guardar las formas que garanticen su pureza, con respeto al principio de contradicción como requisitos no sólo de su validez sino también de su eficacia probatoria, a la hora de la valoración en conciencia por el Juez, libertad de valoración cuyo norte han de ser las reglas de la sana crítica que en definitiva nos ponen en el terreno del sentido común guiado por la experiencia profesional.</w:t>
      </w:r>
    </w:p>
    <w:p w:rsidR="006854DA" w:rsidRDefault="006854DA" w:rsidP="006854DA">
      <w:pPr>
        <w:pStyle w:val="TextoNormal"/>
      </w:pPr>
    </w:p>
    <w:p w:rsidR="006854DA" w:rsidRDefault="006854DA" w:rsidP="006854DA">
      <w:pPr>
        <w:pStyle w:val="TextoNormal"/>
      </w:pPr>
      <w:r w:rsidRPr="006854DA">
        <w:rPr>
          <w:rStyle w:val="NumeroAFNegritaCaracter"/>
        </w:rPr>
        <w:t>5</w:t>
      </w:r>
      <w:r>
        <w:t>. Sentado lo dicho, no estará de más determinar con la mayor precisión hasta donde llega el derecho a la prueba de quien hoy demanda amparo, dada su condición de acusador en un proceso penal. En sus líneas generales hemos marcado suficientemente la diferencia que, desde la perspectiva de los derechos fundamentales en juego dentro del proceso penal, existe entre las partes en contienda según su posición de acusadoras o de acusadas (STC 41/1997), y, en concreto, se ha negado al Ministerio Fiscal la titularidad del derecho de defensa aludido con ese nombre en el art. 24.2 C.E. (ATC 63/1997), por ser el norte y finalidad principal de su función procesal el ejercicio del ius puniendi del Estado mediante la acción penal y no la protección de los derechos y libertades del ciudadano, aun cuando nunca puedan serle ajenos.</w:t>
      </w:r>
    </w:p>
    <w:p w:rsidR="006854DA" w:rsidRDefault="006854DA" w:rsidP="006854DA">
      <w:pPr>
        <w:pStyle w:val="TextoNormal"/>
      </w:pPr>
      <w:r>
        <w:t>Sin embargo, no cabe sostener que el haz de derechos cobijados en el art. 24 C.E.  a la hora de configurar la efectividad de la tutela judicial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participes y, entre ellas, que no se produzca un cierre arbitrario del acceso al proceso.</w:t>
      </w:r>
    </w:p>
    <w:p w:rsidR="006854DA" w:rsidRDefault="006854DA" w:rsidP="006854DA">
      <w:pPr>
        <w:pStyle w:val="TextoNormal"/>
      </w:pPr>
      <w:r>
        <w:t>Pues bien, en el presente caso, como subraya el Fiscal, se propuso como prueba la audición de las grabaciones magnetofónicas de lo dicho en la radio por el periodista, para demostrar con ella no sólo la realidad material, reconocida por el autor de las palabras, sino además un elemento muy importante en todo mensaje, el contexto dentro del cual se pronunciaron, contexto que sirve para poner de manifiesto su talante. Este elemento de juicio es importante para ponderar lo sucedido desde una perspectiva constitucional, ya que la mera lectura de esas expresiones conduciría, en principio, a calificarlas lesivas de la reputación y fama del aludido, haciendole desmerecer en la consideración ajena, sin que tal primera impresión pueda ser volatilizada por la circunstancia de que fuera esa la manera de hablar o expresarse el imputado y, menos aún, porque los vocablos utilizados figuren en el diccionario, como se razona en las resoluciones impugnadas para denegar el procesamiento.</w:t>
      </w:r>
    </w:p>
    <w:p w:rsidR="006854DA" w:rsidRDefault="006854DA" w:rsidP="006854DA">
      <w:pPr>
        <w:pStyle w:val="TextoNormal"/>
      </w:pPr>
      <w:r>
        <w:lastRenderedPageBreak/>
        <w:t>Por otra parte, tampoco resulta congruente con el interés constitucional en el justo desarrollo del proceso, que el fundamento de esa decisión judicial, se ponga en que no están las cintas originales y las que están no son auténticas, después de haber declarado impertinente la prueba pericial para su verificación. Así, incurriendo en contradicción flagrante, se rechazó por irrelevante una prueba tenida, a la vez, por necesaria e incluso decisiva a la hora de desestimar la pretensión acusatoria. En su virtud, ha de darse amparo a quien lo pide.</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y, en su virtud:</w:t>
      </w:r>
    </w:p>
    <w:p w:rsidR="006854DA" w:rsidRDefault="006854DA" w:rsidP="006854DA">
      <w:pPr>
        <w:pStyle w:val="TextoNormal"/>
      </w:pPr>
      <w:r>
        <w:t>1º Reconocer el derecho del recurrente a la tutela judicial efectiva sin sufrir indefensión.</w:t>
      </w:r>
    </w:p>
    <w:p w:rsidR="006854DA" w:rsidRDefault="006854DA" w:rsidP="006854DA">
      <w:pPr>
        <w:pStyle w:val="TextoNormal"/>
      </w:pPr>
      <w:r>
        <w:t>2º Declarar la nulidad de los Autos dictados por el Juez de Instrucción núm. 5 de Madrid el 23 de julio y 5 de agosto de 1992 y la de los pronunciados por la Sección Segunda de la Audiencia Provincial de Madrid el 16 de diciembre de 1992 y 3 de marzo de 1993, en el sumario núm. 2/92 (p. especial).</w:t>
      </w:r>
    </w:p>
    <w:p w:rsidR="006854DA" w:rsidRDefault="006854DA" w:rsidP="006854DA">
      <w:pPr>
        <w:pStyle w:val="TextoNormal"/>
      </w:pPr>
      <w:r>
        <w:t>3º Restablecer al recurrente en la integridad de su derecho, retrotrayendo las actuaciones al momento procesal oportuno para que pueda procederse a la práctica de la prueba pericial solicitada y denegada.</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veintitrés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3" w:name="SENTENCIA_1997_117"/>
      <w:r>
        <w:lastRenderedPageBreak/>
        <w:t>SENTENCIA 117/1997, de 23 de junio de 1997</w:t>
      </w:r>
    </w:p>
    <w:bookmarkEnd w:id="33"/>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ECLI:ES:TC:1997:117</w:t>
      </w:r>
    </w:p>
    <w:p w:rsidR="006854DA" w:rsidRDefault="006854DA" w:rsidP="006854DA">
      <w:pPr>
        <w:pStyle w:val="SntesisDescriptiva"/>
      </w:pPr>
    </w:p>
    <w:p w:rsidR="006854DA" w:rsidRDefault="006854DA" w:rsidP="006854DA">
      <w:pPr>
        <w:pStyle w:val="SntesisDescriptiva"/>
      </w:pPr>
      <w:r>
        <w:t>Recurso de amparo 1.609/1993 1.658/1993 3.328/1993 (acumulados). Contra Sentencias de la Sala de lo Contencioso-Administrativo del T.S.J. de Castilla-La Mancha recaídas en autos seguidos contra Resoluciones del Tribunal Económico-Administrativo Regional de dicha Comunidad sobre liquidación del Impuesto de la Renta de las Personas Físicas.</w:t>
      </w:r>
    </w:p>
    <w:p w:rsidR="006854DA" w:rsidRDefault="006854DA" w:rsidP="006854DA">
      <w:pPr>
        <w:pStyle w:val="SntesisDescriptiva"/>
      </w:pPr>
    </w:p>
    <w:p w:rsidR="006854DA" w:rsidRDefault="006854DA" w:rsidP="006854DA">
      <w:pPr>
        <w:pStyle w:val="SntesisAnaltica"/>
      </w:pPr>
      <w:r>
        <w:t>Supuesta vulneración de los principios de legalidad e igualdad y del derecho a la tutela judicial efectiva.</w:t>
      </w:r>
    </w:p>
    <w:p w:rsidR="006854DA" w:rsidRDefault="006854DA" w:rsidP="006854DA">
      <w:pPr>
        <w:pStyle w:val="SntesisAnaltica"/>
      </w:pPr>
    </w:p>
    <w:p w:rsidR="006854DA" w:rsidRDefault="006854DA" w:rsidP="006854DA">
      <w:pPr>
        <w:pStyle w:val="Extracto"/>
      </w:pPr>
      <w:r>
        <w:t>1.</w:t>
      </w:r>
      <w:r>
        <w:tab/>
        <w:t>No cabe apreciar la indefensión alegada por la recurrente que, tanto en las reclamaciones economico-administrativas como en las jurisdiccionales a su instancia seguidas, pudo alegar en defensa de sus derechos e intereses frente a las liquidaciones impugnadas, cuanto estimara procedente a tales efectos. Es más, en los procesos contencioso-administrativos se revisaron con todas las garantías legales las infracciones de las actuaciones administrativas denunciadas por la recurrente. Si éstas no han sido apreciadas por las Sentencias impugnadas, no cabe plantear nuevamente ante este Tribunal lo ya resuelto por los órganos judiciales dentro de la potestad que corresponde a los mismos de forma exclusiva y excluyente en virtud de lo dispuesto en el art. 117.3 C.E. Si este Tribunal revisara ahora lo ya resuelto por los órganos judiciales, apreciando en el problema debatido una dimensión constitucional que, como tal, no fue planteada en el proceso antecedente «-la discriminación contraria al art. 14 C.E.-», desconocería, como ya hemos dicho, lo dispuesto en el art. 44.1 c) de nuestra Ley Orgánica que preserva la naturaleza subsidiaria del recurso de amparo [F.J. 2].</w:t>
      </w:r>
    </w:p>
    <w:p w:rsidR="006854DA" w:rsidRDefault="006854DA" w:rsidP="006854DA">
      <w:pPr>
        <w:pStyle w:val="Extracto"/>
      </w:pPr>
    </w:p>
    <w:p w:rsidR="006854DA" w:rsidRDefault="006854DA" w:rsidP="006854DA">
      <w:pPr>
        <w:pStyle w:val="Extracto"/>
      </w:pPr>
      <w:r>
        <w:t>2.</w:t>
      </w:r>
      <w:r>
        <w:tab/>
        <w:t>No es preciso que examinemos la fundamentación que sobre el extremo relativo al principio de legalidad (art. 25.1 C.E.) hacen las Sentencias impugnadas para confirmar el criterio de las resoluciones administrativas, concluyendo que no se ha producido la vulneración de dicho principio, porque este problema se ha planteado en términos similares a los formulados por la actora, en la cuestión de inconstitucionalidad sobre el art. 15.3 de la Ley 20/1989 que fue resuelto por nuestra STC 38/1997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Julio- Diego González Campos, don Rafael de Mendizábal Allende, don Carles Viver Pi- Sunyer y don Tomás S. Vives Antón,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los recursos de amparo acumulados 1.609/93, 1.658/93 y 3.328/93 promovidos, por doña Carmen García Gutiérrez, representada por la Procuradora de los Tribunales doña María Luisa Montero Correal, contra las Sentencias de la Sala de lo Contencioso-Administrativo del Tribunal Superior de Justicia de Castilla-La Mancha, núms. 188 y 191, ambas de 27 de abril de 1993, y contra la Sentencia del mismo órgano jurisdiccional núm. 475, de 25 de octubre del mismo año, recaída en autos seguidos contra resoluciones del Tribunal Económico- Administrativo Regional de Castilla-La Mancha sobre liquidación del Impuesto de la Renta de las Personas Físicas. Ha comparecido el Abogado del Estado y ha intervenido el Ministerio Fiscal. Ha sido Ponente el Magistrado don Fernando García-Mon y González-Regueral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ante este Tribunal el día 19 de mayo de 1993, la Procuradora de los Tribunales doña María Luisa Montero Correal, en nombre y representación de doña Carmen García Gutiérrez, interpuso recurso de amparo constitucional contra la Sentencia de la Sala de lo Contencioso- Administrativo del Tribunal Superior de Justicia de Castilla-La Mancha, de 27 de abril de ese mismo año.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demanda se basa en los siguientes hechos: </w:t>
      </w:r>
    </w:p>
    <w:p w:rsidR="006854DA" w:rsidRDefault="006854DA" w:rsidP="006854DA">
      <w:pPr>
        <w:pStyle w:val="TextoNormal"/>
      </w:pPr>
      <w:r>
        <w:t xml:space="preserve">a) En el mes de junio de 1984, la recurrente en amparo y su cónyuge presentaron declaración por el Impuesto de la Renta de las Personas Físicas correspondiente al ejercicio de 1983. </w:t>
      </w:r>
    </w:p>
    <w:p w:rsidR="006854DA" w:rsidRDefault="006854DA" w:rsidP="006854DA">
      <w:pPr>
        <w:pStyle w:val="TextoNormal"/>
      </w:pPr>
      <w:r>
        <w:t xml:space="preserve">b) La Inspección de la Delegación de Hacienda de Guadalajara citó el 28 de febrero de 1988 al marido de la demandante de amparo para llevar a cabo determinadas actuaciones de comprobación e investigación. A resulta de dichas actuaciones se incoó Acta de disconformidad el día 26 de mayo de 1988, por el concepto impositivo y ejercicio referenciados, en la que se suprimieron ciertas deducciones efectuadas por el sujeto pasivo y se computó un incremento patrimonial no justificado, derivado de ingresos en cuentas bancarias. </w:t>
      </w:r>
    </w:p>
    <w:p w:rsidR="006854DA" w:rsidRDefault="006854DA" w:rsidP="006854DA">
      <w:pPr>
        <w:pStyle w:val="TextoNormal"/>
      </w:pPr>
      <w:r>
        <w:t xml:space="preserve">c) Practicada liquidación confirmatoria de la propuesta inspectora formulada en el Acta, se interpuso reclamación económico-administrativa ante el Tribunal Económico-Administrativo Regional de Castilla-La Mancha. Este órgano, con arreglo a lo dispuesto en el art. 18 de la Ley 20/1989 de 28 de julio, anuló mediante resolución de 26 de octubre de 1989 la liquidación practicada al estimar que el expediente resultaba afectado por la STC 45/1989, y ordenó la práctica de nueva liquidación de acuerdo con los criterios expresados en la citada Ley 20/1989. d) En cumplimiento de la citada resolución, mediante escrito de 22 de mayo de 1990, el marido de la hoy demandante de amparo don Feliciano Román Ruiz optó por la tributación individual. Con fecha 12 de febrero de 1991 se notificó la liquidación girada a doña Carmen García Gutiérrez por el Impuesto sobre la Renta </w:t>
      </w:r>
      <w:r>
        <w:lastRenderedPageBreak/>
        <w:t xml:space="preserve">correspondiente al ejercicio de 1983, y por una deuda tributaria total de 410.000 pesetas, compuesta por 207.407 pesetas de cuota, 103.730 pesetas de sanción y 99.190 pesetas por intereses de demora. </w:t>
      </w:r>
    </w:p>
    <w:p w:rsidR="006854DA" w:rsidRDefault="006854DA" w:rsidP="006854DA">
      <w:pPr>
        <w:pStyle w:val="TextoNormal"/>
      </w:pPr>
      <w:r>
        <w:t>e) Contra la citada liquidación se interpuso reclamación económico- administrativa que fue desestimada por resolución del Tribunal Económico- Administrativo Regional de Castilla-La Mancha, de 18 de marzo de 1992. Contra esta resolución se interpuso recurso contencioso-administrativo que fue desestimado por la Sentencia objeto de impugnación en el presente proceso constitucional.</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su demanda de amparo aduce la recurrente la vulneración de los siguientes derechos fundamentales: </w:t>
      </w:r>
    </w:p>
    <w:p w:rsidR="006854DA" w:rsidRDefault="006854DA" w:rsidP="006854DA">
      <w:pPr>
        <w:pStyle w:val="TextoNormal"/>
      </w:pPr>
      <w:r>
        <w:t xml:space="preserve">a) Sostiene la demandante que se ha omitido todo trámite de audiencia para la determinación de la cuota tributaria y para la imposición de la sanción, por lo que, con tal proceder, la Administración la habría colocado en una situación de indefensión contraria al derecho fundamental que reconoce el art. 24.1 C.E., sin que pueda admitirse -como lo hizo el órgano judicial a quo- que de las disposiciones reguladoras del impuesto puede deducirse una especie de representación tácita de la demandante asumida por su esposo. </w:t>
      </w:r>
    </w:p>
    <w:p w:rsidR="006854DA" w:rsidRDefault="006854DA" w:rsidP="006854DA">
      <w:pPr>
        <w:pStyle w:val="TextoNormal"/>
      </w:pPr>
      <w:r>
        <w:t xml:space="preserve">b) Se denuncia también la vulneración del derecho a la legalidad en materia penal y sancionadora (art. 25.1 C.E.) porque la recurrente en amparo fue sancionada por acciones y omisiones que en el momento de producirse no constituían lícito administrativo según la legislación vigente en aquel momento. Tras la STC 45/1989 que declaró la inconstitucionalidad de la acumulación de renta, no puede imputarse a la unidad familiar las infracciones y sanciones tributarias. En los supuestos de tributación separada, al que se habían acogido la recurrente y su esposo, tales infracciones y sanciones pertenecen exclusivamente a la esfera de cada uno de los sujetos pasivos. Además, la STC 45/1989 alcanza a la imposibilidad de liquidación de un tributo sobre la base de normas contrarias a la Constitución. </w:t>
      </w:r>
    </w:p>
    <w:p w:rsidR="006854DA" w:rsidRDefault="006854DA" w:rsidP="006854DA">
      <w:pPr>
        <w:pStyle w:val="TextoNormal"/>
      </w:pPr>
      <w:r>
        <w:t xml:space="preserve">c) Por último, alega la demandante de amparo la lesión del derecho a la igualdad ex art. 14 C.E. por haberse otorgado validez a las actuaciones realizadas por el cónyuge de la recurrente respecto de ésta sin fundamento legal suficiente. En este sentido no se habría respetado su posición de igualdad ante la ley por el sólo hecho de atender a su condición de mujer casada, con vulneración de su derecho a un trato igual que el que, sin embargo, se mantuvo con su esposo. </w:t>
      </w:r>
    </w:p>
    <w:p w:rsidR="006854DA" w:rsidRDefault="006854DA" w:rsidP="006854DA">
      <w:pPr>
        <w:pStyle w:val="TextoNormal"/>
      </w:pPr>
      <w:r>
        <w:t>Por medio de otrosí se solicitó la suspensión de la ejecución de la Sentencia y de las resoluciones administrativas que aquélla confirmaba.</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18 de abril de 1994 la Sección Tercera acordó admitir a trámite la demanda y, en aplicación de lo dispuesto en el art. 51 LOTC, dirigir atenta comunicación al Tribunal Económico-Administrativo Regional de Castilla-La Mancha y a la Sala de lo Contencioso-Administrativo del Tribunal Superior de Justicia de aquella Comunidad Autónoma para que remitiesen copia adverada de las correspondientes actuaciones, interesando igualmente del órgano judicial que previamente emplazase a quienes hubieran sido parte en el procedimiento para que, si así lo deseasen, pudiesen comparecer, en el plazo de diez días, en el presente proceso constitucional.</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La Sección Tercera por providencia de 14 de julio de 1994 acordó acusar recibo de las actuaciones recibidas y dar vista de las mismas a la parte recurrente, al Abogado del </w:t>
      </w:r>
      <w:r>
        <w:lastRenderedPageBreak/>
        <w:t>Estado y al Ministerio Fiscal para que, dentro del plazo común de veinte días, presentasen las alegaciones que estimasen pertinentes, según determina el art. 52.1 de la LOTC.</w:t>
      </w:r>
    </w:p>
    <w:p w:rsidR="006854DA" w:rsidRDefault="006854DA" w:rsidP="006854DA">
      <w:pPr>
        <w:pStyle w:val="TextoNormal"/>
      </w:pPr>
    </w:p>
    <w:p w:rsidR="006854DA" w:rsidRDefault="006854DA" w:rsidP="006854DA">
      <w:pPr>
        <w:pStyle w:val="TextoNormal"/>
      </w:pPr>
      <w:r w:rsidRPr="006854DA">
        <w:rPr>
          <w:rStyle w:val="NumeroAFNegritaCaracter"/>
        </w:rPr>
        <w:t>6</w:t>
      </w:r>
      <w:r>
        <w:t>. El día 14 de septiembre de 1994 presentó sus alegaciones la representación procesal de la demandante. En su escrito se insistió sobre los aspectos fundamentales de su pretensión de amparo y, particularmente sobre la indefensión padecida en el procedimiento administrativo en relación con el denunciado trato discriminatorio dado a la demandante en relación con su cónyuge, así como la inexistencia de norma sancionadora en el momento de acaecer los hechos pretendidamente ilícitos y la imposibilidad constitucional de imponer retroactivamente sanciones tributarias.</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El escrito de alegaciones del Abogado del Estado se registró el día 8 de septiembre de 1994. Esta representación inicia su exposición mediante un análisis de cada una de las tres supuestos de violaciones de derechos denunciadas en la demanda, alcanzando la conclusión de que el presente proceso de amparo ha de encuadrarse en el ámbito que delimita el art. 43 de la LOTC. Precisamente por ello se centra en el estudio del acto administrativo liquidatorio del que traen origen todas las actuaciones. Mediante este acto se fijó una deuda tributaria compuesta de tres elementos: cuota, intereses moratorios y sanción por infracción de omisión. No todos estos elementos tienen igual relevancia constitucional. </w:t>
      </w:r>
    </w:p>
    <w:p w:rsidR="006854DA" w:rsidRDefault="006854DA" w:rsidP="006854DA">
      <w:pPr>
        <w:pStyle w:val="TextoNormal"/>
      </w:pPr>
      <w:r>
        <w:t xml:space="preserve">La determinación administrativa de cuotas tributarias y de intereses de demora son materias ajenas al ámbito constitucionalmente protegidos por los arts. 24 y 25.1 de la Constitución. Este último precepto constitucional se refiere a quien haya sido "condenado o sancionado" por delito, falta o infracción administrativa. La cuota tributaria no es notoriamente una sanción, sino la concreción cuantitativa del deber constitucional establecido por el art. 31.1 C.E. Tampoco tienen naturaleza sancionadora los intereses de demora (SSTC 76/1990 y 206/1993). De igual modo ni la determinación administrativa de la cuota tributaria ni la cuantificación de los intereses de demora guardan relación con la prohibición constitucional de indefensión ex art. 24.1 C.E. Se sigue de todo ello que la denunciada vulneración del art. 24.2 C.E. únicamente podrá examinarse respecto de la sanción que fue impuesta a la demandante de amparo. En lo que hace a la cuota tributaria y a los intereses de demora, la falta de audiencia es una cuestión de estricta legalidad y que ya ha sido examinada por el órgano competente para conocer de la misma. </w:t>
      </w:r>
    </w:p>
    <w:p w:rsidR="006854DA" w:rsidRDefault="006854DA" w:rsidP="006854DA">
      <w:pPr>
        <w:pStyle w:val="TextoNormal"/>
      </w:pPr>
      <w:r>
        <w:t xml:space="preserve">Hecha esta precisión inicial, examina el Abogado del Estado si se dio cumplimiento al requisito previsto en el art. 44.1 c) LOTC. A su juicio ni del análisis del recurso contencioso-administrativo ni del posterior escrito de conclusiones se deduce referencia alguna explícita o implícita a la eventual vulneración del derecho a la igualdad (art. 14 C.E.). Es claro pues, que la queja de amparo se plantea en este particular extremo per saltum, con incumplimiento de lo previsto en el citado art. 44.1 c) LOTC. Otro tanto cabe decir en relación con la supuesta violación del art. 24 C.E. Es cierto, que ante el Tribunal Contencioso- Administrativo se adujo la infracción de una circular de la Dirección General de la Inspección Financiera y Tributaria, pero se alegó como una cuestión de mera legalidad sin conexión o trascendencia constitucional alguna. En resumen, pues, en cuanto a las supuestas lesiones de los arts. 14 y 24 C.E. concurre el motivo de inadmisión previsto en el art. 50.1 a) LOTC en relación con los arts. 43.1 y 44.1 c) LOTC. </w:t>
      </w:r>
    </w:p>
    <w:p w:rsidR="006854DA" w:rsidRDefault="006854DA" w:rsidP="006854DA">
      <w:pPr>
        <w:pStyle w:val="TextoNormal"/>
      </w:pPr>
      <w:r>
        <w:t xml:space="preserve">El amparo queda así reducido a la supuesta vulneración del derecho reconocido en el art. 25.1 C.E. No obstante, y con carácter meramente subsidiario, el Abogado del Estado examina las quejas de la actora en relación con el derecho a la igualdad y a una tutela judicial efectiva sin indefensión. </w:t>
      </w:r>
    </w:p>
    <w:p w:rsidR="006854DA" w:rsidRDefault="006854DA" w:rsidP="006854DA">
      <w:pPr>
        <w:pStyle w:val="TextoNormal"/>
      </w:pPr>
      <w:r>
        <w:lastRenderedPageBreak/>
        <w:t xml:space="preserve">Comenzando por este último derecho fundamental señala el Abogado del Estado que la indefensión denunciada es, en todo caso, puramente formal y, por tanto, constitucionalmente irrelevante. Toda la tramitación del procedimiento en que se impuso originariamente la sanción tuvo lugar antes de ser publicadas la STC 45/1989 y la Ley 20/1989 de 28 de julio. Puede comprobarse que las alegaciones del marido de la actora se refieren a toda la unidad familiar, es decir, los intereses de la demandante fueron defendidos por el marido y no consta oposición ni protesta alguna de la actora contra ello. Tampoco parece verosímil que la demandante ignorase que su marido defendía los intereses comunes ante la Hacienda (art. 1385 del Código Civil). Por otro lado, el escrito de 7 de mayo de 1990 en que se informaba de la posibilidad de optar por la tributación separada regulada en la Ley 20/1989 fue dirigido a ambos cónyuges y por tanto también a la ahora recurrente en amparo. Cumple igualmente recordar, que tanto en el derecho civil (art. 1710) como en el tributario [art. 27.3 b) del Reglamento General de la Inspección de los Tributos] conocen el mandato representativo que se puede inferir per facta concludentia, esto es por hechos concluyentes del obligado tributario. Valorando en su conjunto las actuaciones inspectoras bien puede inferirse que la recurrente conoció y consintió la actuación de su marido. </w:t>
      </w:r>
    </w:p>
    <w:p w:rsidR="006854DA" w:rsidRDefault="006854DA" w:rsidP="006854DA">
      <w:pPr>
        <w:pStyle w:val="TextoNormal"/>
      </w:pPr>
      <w:r>
        <w:t xml:space="preserve">Tampoco puede prosperar la queja de la demandante en relación con la pretendida vulneración del derecho a la igualdad. Ni la resolución administrativa se aparta de precedente alguno, ni existe aplicación de una norma pretendidamente contraria al principio de igualdad. Podría tal vez suponerse que se imputa a la Administración un trato perjudicial y discriminatorio basado en el sexo, y en el estado civil de la demandante o en ambos (mujer casada), pero falta en el expediente administrativo cualquier dato que permita fundamentar la existencia de un comportamiento inconstitucionalmente discriminador. En realidad lo que hace la demandante es reiterar la supuesta infracción del art. 24.2 C.E. </w:t>
      </w:r>
    </w:p>
    <w:p w:rsidR="006854DA" w:rsidRDefault="006854DA" w:rsidP="006854DA">
      <w:pPr>
        <w:pStyle w:val="TextoNormal"/>
      </w:pPr>
      <w:r>
        <w:t xml:space="preserve">Finalmente analiza el Abogado del Estado la vulneración del art. 25.1 C.E. En su criterio, la aceptación de la tesis del llamado "vacío normativo" conduce a las más graves injusticias y desigualdades, pues beneficia a quienes más han incumplido y perjudica a quienes cumplieron. La STC 45/1989 no declara inconstitucional el principio de sujeción conjunta, sino la instrumentación legal de este principio a través de la acumulación de rentas. Por esta razón el art. 4.2 se declaró inconstitucional, pero no nulo, pues lo que infringía los límites dispuestos por la Constitución no era lo que la norma decía sino lo que dicha norma omitía. La elección del régimen de sujeción al impuesto es algo que corresponde al legislador y de ahí que el Tribunal Constitucional afirmase en el fundamento jurídico 11 de dicha Sentencia que corresponde al legislador llevar a cabo las modificaciones o adaptaciones pertinentes del régimen legal del Impuesto. Esta exhortación al legislador fue rápidamente atendida mediante la Ley 20/1989 de 28 de julio que adaptó la Ley del Impuesto a la STC 45/1989. Resulta así que el régimen de tributación separada contenido en la Ley 20/1989 sirve para purgar todo efecto inconstitucional derivado de la acumulación de rentas en la tributación conjunta, y su aplicación retroactiva supone, por tanto, un trato más favorable para la mayor parte de los casos de acumulación de rentas impuesta por el texto anterior de la Ley 44/1978. De este modo la retroactividad del régimen de la Ley 20/1989 produce una sucesión normativa sin fisuras. </w:t>
      </w:r>
    </w:p>
    <w:p w:rsidR="006854DA" w:rsidRDefault="006854DA" w:rsidP="006854DA">
      <w:pPr>
        <w:pStyle w:val="TextoNormal"/>
      </w:pPr>
      <w:r>
        <w:t xml:space="preserve">Existe incluso en el fundamento jurídico 11 de la STC 45/1989 un atisbo acerca de la legítima aplicación retroactiva de la posterior y más favorable legislación adaptadora. En efecto, en dicho fundamento se afirma enfáticamente que los preceptos declarados inconstitucionales no pueden aplicarse al ejercicio de 1988. Item más: se dice que el Impuesto de ese ejercicio se ha devengado ya, si bien no puede ser liquidado de acuerdo con preceptos inconstitucionales. En relación con los ejercicios anteriores a 1988 lo que hizo la STC </w:t>
      </w:r>
      <w:r>
        <w:lastRenderedPageBreak/>
        <w:t xml:space="preserve">45/1989 fue establecer límites a la posible retroactividad de la más favorable regulación nacida de la Ley 20/1989. A quien en los ejercicios anteriores a 1988 hubiera pagado lo que procedía con arreglo a la inconstitucional acumulación de rentas se le prohíbe deducir pretensiones de restitución. Son por el contrario, quienes no cumplieron como debían los que comparativamente reciben el mejor trato. En el caso de estos contribuyentes incumplidores, la inexistencia de actos firmes permite que su conducta resulte "premiada" con la aplicación retroactiva de la ley posterior más favorable. </w:t>
      </w:r>
    </w:p>
    <w:p w:rsidR="006854DA" w:rsidRDefault="006854DA" w:rsidP="006854DA">
      <w:pPr>
        <w:pStyle w:val="TextoNormal"/>
      </w:pPr>
      <w:r>
        <w:t xml:space="preserve">Por todas estas consideraciones entiende el Abogado del Estado que no existe la denunciada vulneración del derecho a la legalidad en materia sancionadora que garantiza el art. 25.1 de la C.E. En su opinión, hay retroactividad in mitius o in bonam partem y además, las nuevas sanciones individuales son consecuencia de una opción libre y voluntaria de la propia demandante por la tributación individual. Por todo ello se interesa la desestimación de la presente demanda de amparo. </w:t>
      </w:r>
    </w:p>
    <w:p w:rsidR="006854DA" w:rsidRDefault="006854DA" w:rsidP="006854DA">
      <w:pPr>
        <w:pStyle w:val="TextoNormal"/>
      </w:pPr>
      <w:r>
        <w:t xml:space="preserve">9. El Fiscal ante el Tribunal Constitucional presentó su escrito de alegaciones el día 23 de septiembre de 1994. Tras una sucinta exposición de los hechos, examina el Ministerio Publico cada una de las vulneraciones denunciadas en la demanda de amparo. </w:t>
      </w:r>
    </w:p>
    <w:p w:rsidR="006854DA" w:rsidRDefault="006854DA" w:rsidP="006854DA">
      <w:pPr>
        <w:pStyle w:val="TextoNormal"/>
      </w:pPr>
      <w:r>
        <w:t xml:space="preserve">En lo que se refiere al derecho a la tutela judicial efectiva en lo tocante a la ausencia de todo trámite de audiencia en el procedimiento administrativo, se advierte que esta cuestión ya fue resuelta por la Sentencia ahora impugnada en la que se señaló que el obligado tributario eran todos los miembros de la unidad familiar. En este sentido es preciso tener en cuenta que, al tiempo de presentarse la primera declaración tributaria, la legislación vigente imponía la declaración conjunta de los miembros de la unidad familiar, por lo que resultaba lógico el sistema de representación tácita a que alude la Sentencia impugnada. En todo caso, es preciso tener en cuenta que la indefensión constitucionalmente relevante es únicamente aquella indefensión material y no meramente formal y, por otra parte que las exigencias del art. 24 C.E. no son sin más trasladables a toda tramitación administrativa (STC 65/1985, entre otras). De este modo, aun admitiendo la posibilidad de que la demandante de amparo no hubiera tenido conocimiento de todas las actuaciones administrativas e inspectoras hasta que se le notificó personalmente la liquidación, es lo cierto que contra la misma interpuso recurso económico-administrativo y también el contencioso-administrativo que dio lugar a la Sentencia ahora recurrida en amparo. En dichos recursos tuvo ocasión para utilizar todos los medios de defensa y prueba que estimó oportunos. </w:t>
      </w:r>
    </w:p>
    <w:p w:rsidR="006854DA" w:rsidRDefault="006854DA" w:rsidP="006854DA">
      <w:pPr>
        <w:pStyle w:val="TextoNormal"/>
      </w:pPr>
      <w:r>
        <w:t xml:space="preserve">Tampoco puede prosperar la queja de la recurrente en relación con la alegada vulneración de su derecho a la igualdad. La demandante de amparo fundamenta esencialmente esta queja en la plena capacidad de la mujer casada para la defensa de sus intereses propios. Entiende el Fiscal que esta argumentación carece en sí misma de contenido pues no se ha producido vulneración alguna del citado derecho fundamental. De hecho, aunque hipotéticamente se admitiera la existencia de una inicial vulneración del principio de igualdad en las actuaciones administrativas, la misma habría sido subsanada al entenderse la Administración directa y personalmente con la demandante de amparo, y al actuar ella personalmente contra el acto administrativo recurrido. </w:t>
      </w:r>
    </w:p>
    <w:p w:rsidR="006854DA" w:rsidRDefault="006854DA" w:rsidP="006854DA">
      <w:pPr>
        <w:pStyle w:val="TextoNormal"/>
      </w:pPr>
      <w:r>
        <w:t xml:space="preserve">Por último examina el Ministerio Público la denunciada lesión del principio de legalidad ex art. 25.1 C.E. que se apoya básicamente en dos argumentos: a) Considera anti-jurídica la imputación a la unidad familiar de infracciones y sanciones tributarias que pertenecen exclusivamente a la esfera de cada uno de los sujetos pasivos; y b) tras la STC 45/1989 es imposible liquidar un tributo sobre la base de normas contrarias a la Constitución. </w:t>
      </w:r>
    </w:p>
    <w:p w:rsidR="006854DA" w:rsidRDefault="006854DA" w:rsidP="006854DA">
      <w:pPr>
        <w:pStyle w:val="TextoNormal"/>
      </w:pPr>
      <w:r>
        <w:lastRenderedPageBreak/>
        <w:t xml:space="preserve">Con relación al segundo de los mencionados argumentos, considera el Ministerio Fiscal que no ha existido vacío legislativo alguno como consecuencia de la citada Sentencia Constitucional y que, en consecuencia, la Administración podía, como así hizo, practicar la correspondiente liquidación tras conceder a los interesados la opción por la tributación conjunta o separada. En lo que se refiere a las sanciones la Sentencia que ahora se impugna efectúa un tratamiento unitario para los dos recurrentes en la vía contencioso-administrativa, con apoyo en lo dispuesto en el art. 15.3 de la Ley 20/1989. Dicho artículo ha sido declarado conforme a la Constitución por la STC 146/1994 en cuanto a la atribución del carácter de deudas tributarias mínimas a las satisfechas por los sujetos pasivos con ocasión de las liquidaciones efectuadas con anterioridad a la STC 45/1989. </w:t>
      </w:r>
    </w:p>
    <w:p w:rsidR="006854DA" w:rsidRDefault="006854DA" w:rsidP="006854DA">
      <w:pPr>
        <w:pStyle w:val="TextoNormal"/>
      </w:pPr>
      <w:r>
        <w:t xml:space="preserve">Ahora la citada STC 146/1994 declaró la inconstitucionalidad y nulidad del art. 7.2 de la Ley 20/1989 en la medida en que incluye las sanciones en la obligación solidaria que en el mismo se establece. Dicha inconstitucionalidad se justifica porque dicho precepto conculca el principio de personalidad de la pena y, en consecuencia, vulnera el art. 25.1 de la C.E. (fundamento jurídico 4º). Según la demandante de amparo la sanción que se le impone es por lo que denomina una "infracción de omisión", sin que nos conste si se impusieron sanciones al cónyuge de la demandante, ni su tipificación, el art. 77 de la L.G.T. considera infracciones simples "el incumplimiento de obligaciones o deberes tributarios exigidos a cualquier persona, sea o no sujeto pasivo, por razón de la gestión de los tributos y cuando no constituyan infracciones graves". Pues bien, precisamente, sobre la base del mecanismo de la representación tácita, impugnado por la demandante de amparo, entiende el Ministerio Fiscal que no existen datos para afirmar que la demandante cometiese la infracción tributaria que se le imputa mediante la correspondiente sanción, por lo que se habría producido la vulneración del principio de personalidad de las sanciones establecida en el art. 25 de la C.E. y a que alude la STC 146/1994. </w:t>
      </w:r>
    </w:p>
    <w:p w:rsidR="006854DA" w:rsidRDefault="006854DA" w:rsidP="006854DA">
      <w:pPr>
        <w:pStyle w:val="TextoNormal"/>
      </w:pPr>
      <w:r>
        <w:t xml:space="preserve">Por todo lo expuesto, concluye el Ministerio Fiscal interesando que en su día se dicte Sentencia en la que se declare que los actos recurridos no han vulnerado los derechos a la tutela judicial efectiva y de igualdad de la demandante, ni tampoco el principio de legalidad en lo que se refiere a la liquidación practicada. Otorgándose, sin embargo, el amparo, en lo que se refiere a la imposición a la demandante de una sanción por infracción de omisión, ya que la misma ha vulnerado el art. 25.1 C.E. </w:t>
      </w:r>
    </w:p>
    <w:p w:rsidR="006854DA" w:rsidRDefault="006854DA" w:rsidP="006854DA">
      <w:pPr>
        <w:pStyle w:val="TextoNormal"/>
      </w:pPr>
      <w:r>
        <w:t xml:space="preserve">10. Habiendo interesado la demandante la suspensión de los actos y resoluciones impugnadas, la Sección Tercera mediante providencia de 18 de abril de 1994, acordó formar la oportuna pieza separada para la tramitación del incidente de suspensión, que fue resuelto mediante Auto de 9 de mayo de 1994, por el que se acordó denegar la suspensión interesada. </w:t>
      </w:r>
    </w:p>
    <w:p w:rsidR="006854DA" w:rsidRDefault="006854DA" w:rsidP="006854DA">
      <w:pPr>
        <w:pStyle w:val="TextoNormal"/>
      </w:pPr>
      <w:r>
        <w:t xml:space="preserve">11. El día 25 de mayo de 1993, doña María Luisa Montero Correal, Procuradora de los Tribunales, en nombre y representación de doña Carmen García Gutiérrez interpuso recurso de amparo constitucional contra la Sentencia núm. 191, de 27 de abril de 1993, dictada por la Sala de lo Contencioso- Administrativo del Tribunal Superior de Justicia de Castilla-La Mancha y por la que se desestimó el recurso promovido por la ahora demandante de amparo contra resolución del Tribunal Económico Administrativo Regional de Castilla-La Mancha de 16 de enero de 1992, que confirmó las liquidaciones practicadas por la Inspección de la Delegación de Hacienda de Guadalajara, por el concepto de Impuesto sobre la Renta de las Personas Físicas, correspondiente al ejercicio de 1982. </w:t>
      </w:r>
    </w:p>
    <w:p w:rsidR="006854DA" w:rsidRDefault="006854DA" w:rsidP="006854DA">
      <w:pPr>
        <w:pStyle w:val="TextoNormal"/>
      </w:pPr>
      <w:r>
        <w:t xml:space="preserve">12. En su demanda de amparo aduce la actora la vulneración de sus derechos fundamentales a la igualdad (art. 14 C.E.), a una tutela judicial efectiva (art. 24.1 C.E.) y al principio de legalidad en el ámbito del derecho administrativo sancionador. La invocación </w:t>
      </w:r>
      <w:r>
        <w:lastRenderedPageBreak/>
        <w:t xml:space="preserve">de los citados derechos fundamentales se articula con idéntica fundamentación a la expuesta en la demanda de amparo que dio lugar al recurso 1.609/93, por lo que resulta innecesaria su reiteración en este lugar. </w:t>
      </w:r>
    </w:p>
    <w:p w:rsidR="006854DA" w:rsidRDefault="006854DA" w:rsidP="006854DA">
      <w:pPr>
        <w:pStyle w:val="TextoNormal"/>
      </w:pPr>
      <w:r>
        <w:t xml:space="preserve">13. Por providencia de la Sección Cuarta, de 18 de abril de 1994, se acordó admitir a trámite la demanda y en aplicación de lo dispuesto en el art. 51 LOTC interesar del Tribunal Económico-Administrativo Regional y de la Sala de lo Contencioso-Administrativo del Tribunal Superior de Justicia de Castilla-La Mancha copia adverada de las actuaciones correspondientes. Igualmente se dirigió atenta comunicación al referido órgano judicial para que, antes de remitir los Autos emplazase a quienes hubieren sido parte en el procedimiento, para que pudiesen, si así lo estimasen oportuno, comparecer en el presente proceso constitucional y defender sus derechos e intereses. </w:t>
      </w:r>
    </w:p>
    <w:p w:rsidR="006854DA" w:rsidRDefault="006854DA" w:rsidP="006854DA">
      <w:pPr>
        <w:pStyle w:val="TextoNormal"/>
      </w:pPr>
      <w:r>
        <w:t xml:space="preserve">14. Por providencia de 14 de julio de 1994, la Sección Tercera acordó acusar recibo de las actuaciones remitidas y dar vista de las mismas a la parte recurrente, al Abogado del Estado y al Ministerio Fiscal para que dentro del plazo común de veinte días presentasen las alegaciones que estimasen pertinentes, con arreglo a lo dispuesto en el art. 52.1 de la LOTC. </w:t>
      </w:r>
    </w:p>
    <w:p w:rsidR="006854DA" w:rsidRDefault="006854DA" w:rsidP="006854DA">
      <w:pPr>
        <w:pStyle w:val="TextoNormal"/>
      </w:pPr>
      <w:r>
        <w:t xml:space="preserve">15. El día 14 de septiembre de 1994 presentó sus alegaciones la demandante de amparo que son del todo coincidente con las formuladas en el recurso 1.609/93. </w:t>
      </w:r>
    </w:p>
    <w:p w:rsidR="006854DA" w:rsidRDefault="006854DA" w:rsidP="006854DA">
      <w:pPr>
        <w:pStyle w:val="TextoNormal"/>
      </w:pPr>
      <w:r>
        <w:t xml:space="preserve">16. El día 8 de septiembre de 1994, presentó el Abogado del Estado su escrito de alegaciones, cuyos argumentos coinciden en lo sustancial con los expuestos en el recurso de amparo núm. 1.609/93, interesándose expresamente la acumulación de los mismos. </w:t>
      </w:r>
    </w:p>
    <w:p w:rsidR="006854DA" w:rsidRDefault="006854DA" w:rsidP="006854DA">
      <w:pPr>
        <w:pStyle w:val="TextoNormal"/>
      </w:pPr>
      <w:r>
        <w:t xml:space="preserve">17. El Ministerio Fiscal presentó su escrito de alegaciones el 23 de septiembre de 1994 en el que se reproducen sustancialmente los mismos argumentos que los manifestados en el recurso de amparo tramitado bajo el núm. 1.609/93. </w:t>
      </w:r>
    </w:p>
    <w:p w:rsidR="006854DA" w:rsidRDefault="006854DA" w:rsidP="006854DA">
      <w:pPr>
        <w:pStyle w:val="TextoNormal"/>
      </w:pPr>
      <w:r>
        <w:t xml:space="preserve">18. Mediante providencia de 29 de mayo de 1995 la Sección Tercera acordó conceder el plazo común de cinco días a las partes personadas y al Ministerio Fiscal para que alegasen respecto a la acumulación del presente recurso con el tramitado bajo el núm. 1.609/93. Por Auto de 25 de septiembre de 1995 se acordó la acumulación de ambos recursos de amparo. </w:t>
      </w:r>
    </w:p>
    <w:p w:rsidR="006854DA" w:rsidRDefault="006854DA" w:rsidP="006854DA">
      <w:pPr>
        <w:pStyle w:val="TextoNormal"/>
      </w:pPr>
      <w:r>
        <w:t xml:space="preserve">19. El día 12 de noviembre de 1993 la Procuradora de los Tribunales doña María Luisa Montero Correal en nombre y representación de doña Carmen García Gutiérrez, interpuso recurso de amparo constitucional contra la Sentencia de la Sala de lo Contencioso-Administrativo del Tribunal Superior de Justicia de Castilla-La Mancha núm. 475, de 25 de octubre de 1993, que desestimó el recurso promovido contra resoluciones del Tribunal Económico-Administrativo Regional de Castilla-La Mancha recaídas en relación con la liquidación del Impuesto sobre la Renta de las Personas Físicas correspondiente al ejercicio 1984. </w:t>
      </w:r>
    </w:p>
    <w:p w:rsidR="006854DA" w:rsidRDefault="006854DA" w:rsidP="006854DA">
      <w:pPr>
        <w:pStyle w:val="TextoNormal"/>
      </w:pPr>
      <w:r>
        <w:t xml:space="preserve">Este nuevo recurso de amparo, tanto en los hechos como en su fundamentación jurídica, es sustancialmente coincidentes con los recursos de amparo 1.609/93 y 1.658/93, por lo que huelga su reiteración. Interesándose, igualmente, tanto la suspensión de los actos y resoluciones impugnadas como la acumulación de la demanda a la tramitada bajo el núm. 1.609/93. </w:t>
      </w:r>
    </w:p>
    <w:p w:rsidR="006854DA" w:rsidRDefault="006854DA" w:rsidP="006854DA">
      <w:pPr>
        <w:pStyle w:val="TextoNormal"/>
      </w:pPr>
      <w:r>
        <w:t xml:space="preserve">20. La Sección Primera, por providencia de 21 de marzo de 1994 acordó, a tenor de lo dispuesto en el art. 50.3 LOTC, conceder el plazo común de diez días al Ministerio Fiscal y a la solicitante de amparo para que dentro de dicho término alegase en relación con la posible concurrencia de la causa de inadmisión prevista en el art. 50.1 c) de la LOTC. </w:t>
      </w:r>
    </w:p>
    <w:p w:rsidR="006854DA" w:rsidRDefault="006854DA" w:rsidP="006854DA">
      <w:pPr>
        <w:pStyle w:val="TextoNormal"/>
      </w:pPr>
      <w:r>
        <w:t xml:space="preserve">Por providencia de 25 de abril de 1994, la Sección Primera, tras el examen de las alegaciones emitidas por el Ministerio Fiscal y la demandante de amparo, acordó admitir a </w:t>
      </w:r>
      <w:r>
        <w:lastRenderedPageBreak/>
        <w:t xml:space="preserve">trámite la demanda y, con arreglo a lo dispuesto en el art. 50.1 LOTC librar atenta comunicación a la Sala de lo Contencioso- Administrativo del Tribunal Superior de Justicia de Castilla-La Mancha para que remitiesen testimonio de las actuaciones y emplazase al Abogado del Estado por si desease comparecer en el presente proceso constitucional. </w:t>
      </w:r>
    </w:p>
    <w:p w:rsidR="006854DA" w:rsidRDefault="006854DA" w:rsidP="006854DA">
      <w:pPr>
        <w:pStyle w:val="TextoNormal"/>
      </w:pPr>
      <w:r>
        <w:t xml:space="preserve">21. Mediante providencia de 5 de mayo de 1994 la Sección Primera acordó tener por personado al Abogado del Estado entendiéndose con el mismo las sucesivas diligencias. Por providencia de 12 de septiembre de 1994, la Sección Primera acordó, a tenor de lo dispuesto en el art. 52 LOTC, dar vista de todas las actuaciones del recurso, por el plazo común de veinte días para que las partes personadas aleguen lo que a su derecho convenga. </w:t>
      </w:r>
    </w:p>
    <w:p w:rsidR="006854DA" w:rsidRDefault="006854DA" w:rsidP="006854DA">
      <w:pPr>
        <w:pStyle w:val="TextoNormal"/>
      </w:pPr>
      <w:r>
        <w:t xml:space="preserve">22. El día 27 de septiembre de 1994 presentó su escrito de alegaciones el Abogado del Estado, básicamente coincidentes con las formuladas en los recursos de amparo núm. 1.609/93 y 1.658/93, por lo que resulta innecesaria su reiteración. </w:t>
      </w:r>
    </w:p>
    <w:p w:rsidR="006854DA" w:rsidRDefault="006854DA" w:rsidP="006854DA">
      <w:pPr>
        <w:pStyle w:val="TextoNormal"/>
      </w:pPr>
      <w:r>
        <w:t xml:space="preserve">El día 27 de septiembre de 1994 presentó sus alegaciones la demandante de amparo, reproduciendo fundamentalmente las expuestas en los recursos de amparo anteriormente citados. </w:t>
      </w:r>
    </w:p>
    <w:p w:rsidR="006854DA" w:rsidRDefault="006854DA" w:rsidP="006854DA">
      <w:pPr>
        <w:pStyle w:val="TextoNormal"/>
      </w:pPr>
      <w:r>
        <w:t xml:space="preserve">El Ministerio Fiscal presentó su escrito de alegaciones el día 13 de octubre de 1994, y en términos similares a los utilizados en los recursos de amparo núms. 1.609/93 y 1.658/93, por lo que interesó, como había hecho en ellos, la estimación de la demanda por vulneración del art. 25.1 de la C.E. </w:t>
      </w:r>
    </w:p>
    <w:p w:rsidR="006854DA" w:rsidRDefault="006854DA" w:rsidP="006854DA">
      <w:pPr>
        <w:pStyle w:val="TextoNormal"/>
      </w:pPr>
      <w:r>
        <w:t xml:space="preserve">23. La Sección Primera, por providencia de 25 de abril de 1994, acordó formar la pertinente pieza separada de suspensión que fue resuelta mediante Auto de 23 de mayo de 1994 en sentido desestimatorio de la suspensión solicitada. La no suspensión se acordó también en el recurso 1.658/1993 (Auto de 9 de mayo de 1994) y en el recurso 3.328/1993 (Auto de 23 de mayo de 1994). </w:t>
      </w:r>
    </w:p>
    <w:p w:rsidR="006854DA" w:rsidRDefault="006854DA" w:rsidP="006854DA">
      <w:pPr>
        <w:pStyle w:val="TextoNormal"/>
      </w:pPr>
      <w:r>
        <w:t xml:space="preserve">Mediante providencia de 29 de mayo de 1995, acordó oír por el plazo común de cinco días a las partes personadas en el proceso para que alegasen en relación con la acumulación de la presente demanda de amparo a la tramitadas bajo los núms. 1.609/93 y 1.658/93. Por Auto de 25 de septiembre de 1995 se acordó la acumulación del presente recurso de amparo a los anteriormente señalados. </w:t>
      </w:r>
    </w:p>
    <w:p w:rsidR="006854DA" w:rsidRDefault="006854DA" w:rsidP="006854DA">
      <w:pPr>
        <w:pStyle w:val="TextoNormal"/>
      </w:pPr>
      <w:r>
        <w:t>24. Por providencia de 20 de junio de 1997, se fijó para la deliberación y votación de la presente Sentencia el día 23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Los tres recursos de amparo acumulados interpuestos por doña Carmen García Gutiérrez tienen un mismo objeto: la impugnación de las liquidaciones del Impuesto sobre la Renta de las Personas Físicas correspondientes a los años 1982, 1983 y 1984, giradas individualmente a la recurrente con arreglo a la Ley 20/1989, dictada para acomodar la regulación del Impuesto a la STC 45/1989 que declaró la nulidad de la obligación de la unidad familiar de hacer la liquidación conjunta y estableció la libertad de los interesados para hacerla conjunta o separada. A esta última modalidad se acogieron los conyuges don Feliciano Román Ruiz y la recurrente en amparo y sus iniciales declaraciones conjuntas, hallandose en fase de reclamación económico-administrativa, fueron anuladas para, en cumplimiento de la citada Ley 20/1989, sustituirlas por las declaraciones individuales de uno y otro conyuge.</w:t>
      </w:r>
    </w:p>
    <w:p w:rsidR="006854DA" w:rsidRDefault="006854DA" w:rsidP="006854DA">
      <w:pPr>
        <w:pStyle w:val="TextoNormal"/>
      </w:pPr>
      <w:r>
        <w:lastRenderedPageBreak/>
        <w:t>Las practicadas con este carácter a la esposa, doña Carmen García Gutiérrez, fueron notificadas personalmente a la interesada y contra ellas promovió los pertinentes recursos económico-administrativos y, desestimados éstos, agotada, pues, la vía administrativa, interpuso los correspondientes recursos jurisdiccionales que fueron desestimados por las Sentencias de la Sala de lo Contencioso-Administrativo del Tribunal Superior de Justicia de Castilla-La Mancha que son objeto de los presentes recursos de amparo. El primero de los presentados (R.A. núm. 1.609/1993), está referido a la liquidación de 1983; el segundo (R.A. núm. 1.658/1993) a la correspondiente al año 1982, y, en fin, el tercero a la liquidación de 1984 (R.A. núm. 3.328/1993).  En todos ellos se impugnan las liquidaciones en su totalidad, es decir , las cuotas tributarias, los intereses de demora y las sanciones. Los preceptos constitucionales cuya vulneración se denuncia en los recursos son, citados por el orden en que vamos a examinarlos, el principio de igualdad que garantiza el art. 14 C.E., el de la tutela judicial efectiva sin indefensión del art. 24.1 y, finalmente, el principio de legalidad del art. 25.1 en lo concerniente a las sanciones contenidas en las liquidaciones impugnadas.</w:t>
      </w:r>
    </w:p>
    <w:p w:rsidR="006854DA" w:rsidRDefault="006854DA" w:rsidP="006854DA">
      <w:pPr>
        <w:pStyle w:val="TextoNormal"/>
      </w:pPr>
      <w:r>
        <w:t>Los recursos hay que encuadrarlos, como se hace en las demandas (apartado tercero de los dedicados a los requisitos procesales) y señala el Abogado del Estado en sus alegaciones, en el marco del art. 43 de nuestra Ley Orgánica - "actos jurídicos del Gobierno o de sus autoridades o funcionarios"-. Las resoluciones judiciales de la Sala de lo Contencioso-Administrativo del T.S.J.  de Castilla-La Mancha, dictadas en los procesos previos exigidos legalmente para preservar el carácter subsidiario del amparo constitucional, son también impugnadas, pero no por infracciones de esa naturaleza imputables de modo inmediato y directo a las mismas, sino por no haber obtenido en dichos procesos la tutela de los derechos fundamentales invocados cuya infracción se había cometido, a juicio de la recurrente, en los expedientes administrativos y resoluciones dictadas en la vía económico-administrativa.</w:t>
      </w:r>
    </w:p>
    <w:p w:rsidR="006854DA" w:rsidRDefault="006854DA" w:rsidP="006854DA">
      <w:pPr>
        <w:pStyle w:val="TextoNormal"/>
      </w:pPr>
    </w:p>
    <w:p w:rsidR="006854DA" w:rsidRDefault="006854DA" w:rsidP="006854DA">
      <w:pPr>
        <w:pStyle w:val="TextoNormal"/>
      </w:pPr>
      <w:r w:rsidRPr="006854DA">
        <w:rPr>
          <w:rStyle w:val="NumeroAFNegritaCaracter"/>
        </w:rPr>
        <w:t>2</w:t>
      </w:r>
      <w:r>
        <w:t>. Encuadrado en los términos expuestos el tema debatido y las infracciones constitucionales denunciadas, procede examinar en primer lugar la queja relativa a la omisión en toda la tramitación administrativa de la audiencia a la interesada, privándose a la recurrente en la formulación de las liquidaciones y, por tanto, en la determinación de las cuotas, intereses y sanciones, de la posibilidad de hacer alegaciones al respecto sin que, a su parecer, pueda entenderse -como hicieron los órganos judiciales- que el marido de la actora actuó en representación tácita de la misma, pues ese criterio hermenéutico de las disposiciones reguladoras del Impuesto desconoce su posición de igualdad ante la Ley por el sólo hecho de su condición de mujer casada, condición que no la privaba de sus derechos de audiencia y defensa. De ahí que en relación de causa a efecto, entienda vulnerados el art. 14 C.E. y su derecho a la tutela judicial efectiva sin indefensión del art. 24.1 de la Norma fundamental.</w:t>
      </w:r>
    </w:p>
    <w:p w:rsidR="006854DA" w:rsidRDefault="006854DA" w:rsidP="006854DA">
      <w:pPr>
        <w:pStyle w:val="TextoNormal"/>
      </w:pPr>
      <w:r>
        <w:t xml:space="preserve">El Abogado del Estado en sus alegaciones, bajo la rúbrica "sobre el cumplimiento del art. 44.1 c) LOTC", opone a la viabilidad de estos motivos de impugnación la excepción derivada de la exigencia prevista en el citado precepto de nuestra Ley Orgánica que, velando por la naturaleza subsidiaria del amparo constitucional (art.  53.2 C.E. y 41.1 y 43.1 LOTC), requiere, para entender correctamente agotada la vía judicial procedente, "que se haya invocado formalmente en el proceso el derecho constitucional vulnerado, tan pronto como, una vez conocida la violación, hubiere lugar para ello".  Requisito que este Tribunal desde el primer momento (STC 47/1982) ha interpretado en sentido finalista, es decir, expresivo del marco constitucional desde el que se hacen las alegaciones que permita al </w:t>
      </w:r>
      <w:r>
        <w:lastRenderedPageBreak/>
        <w:t>Tribunal ordinario cumplir su función de tutelar los derechos fundamentales y las libertades públicas, preservandose así el carácter subsidiario del recurso de amparo (SSTC 46/1983, 75/1984 y 203/1988, entre otras muchas).</w:t>
      </w:r>
    </w:p>
    <w:p w:rsidR="006854DA" w:rsidRDefault="006854DA" w:rsidP="006854DA">
      <w:pPr>
        <w:pStyle w:val="TextoNormal"/>
      </w:pPr>
      <w:r>
        <w:t>Pues bien, examinadas las actuaciones judiciales, ha de apreciarse la excepción que, como causa de inadmisión de estos motivos, alega el Abogado del Estado.  Desde la demanda con la que la actora inició el procedimiento contencioso- administratrivo hasta su escrito de conclusiones, no aparece invocación alguna de la discriminación que, como mujer casada, se denuncia ahora per saltum en el recurso, como causante de la omisión de una serie de garantías exigidas para las actuaciones judiciales en el art.  24 C.E. que, con los matices, distinciones y peculiaridades propias de las actuaciones administrativas, son trasladables a éstas. De ahí que de haberse entendido como causa de tales omisiones la discriminación que por su condición de mujer casada alega ahora en amparo la recurrente porque tal condición no altera su derecho de igualdad respecto del marido por disponerlo así el art. 14 C.E., debió ser esta alegación base y fundamento de la demanda judicial, dotando así la vulneración denunciada de la dimensión constitucional que, procedente o no, era necesaria para que los órganos judiciales, a quienes corresponde en primer lugar la protección de los derechos fundamentales, pudieran contemplar y resolver desde esa perspectiva constitucional el problema planteado. Al no hacerlo así la recurrente, limitándose a denunciar como infracciones de mera legalidad ordinaria las invocadas en la demanda -falta de audiencia personal y no representación por el marido-, y tratadas desde este ángulo por las Sentencias impugnadas, a través de una fundamentación suficiente y razonable que satisface cumplidamente la exigencia de motivación del art. 120.3 C.E., ha de concluirse que en nada vulneran dichas resoluciones la exigencia de una respuesta fundada en Derecho que es, en lo esencial, lo garantizado por la tutela judicial efectiva que consagra el art. 24 C.E.</w:t>
      </w:r>
    </w:p>
    <w:p w:rsidR="006854DA" w:rsidRDefault="006854DA" w:rsidP="006854DA">
      <w:pPr>
        <w:pStyle w:val="TextoNormal"/>
      </w:pPr>
      <w:r>
        <w:t>En definitiva, no cabe apreciar la indefensión alegada por la recurrente que, tanto en las reclamaciones economico-administrativas como en las jurisdiccionales a su instancia seguidas, pudo alegar en defensa de sus derechos e intereses frente a las liquidaciones impugnadas, cuanto estimara procedente a tales efectos. Es más, en los procesos contencioso-administrativos se revisaron con todas las garantías legales las infracciones de las actuaciones administrativas denunciadas por la recurrente.  Si éstas no han sido apreciadas por las Sentencias impugnadas, no cabe plantear nuevamente ante este Tribunal lo ya resuelto por los órganos judiciales dentro de la potestad que corresponde a los mismos de forma exclusiva y excluyente en virtud de lo dispuesto en el art. 117.3 C.E. Si este Tribunal revisara ahora lo ya resuelto por los órganos judiciales, apreciando en el problema debatido una dimensión constitucional que, como tal, no fue planteada en el proceso antecedente -la discriminación contraria al art. 14 C.E.-, desconocería, como ya hemos dicho, lo dispuesto en el art. 44.1 c) de nuestra Ley Orgánica que preserva la naturaleza subsidiaria del recurso de amparo.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Se alega en la demanda, como otra vulneración de derechos fundamentales, que las resoluciones administrativas y las judiciales que las confirmaron habrían conculcado el derecho al principio de legalidad en materia sancionadora que reconoce el art.  25.1 de la Constitución. En su demanda suscita la actora la posible inconstitucionalidad de las sanciones tributarias impuestas por aplicación de la Ley 20/1989 y correspondientes a períodos impositivos anteriores a 1988.  Dichas sanciones se cuantificaron en función de las cantidades dejadas de ingresar, para lo que resultaba preciso aplicar algunas de las normas que se vieron afectadas por la STC 45/1989 sobre tributación de los sujetos integrados en </w:t>
      </w:r>
      <w:r>
        <w:lastRenderedPageBreak/>
        <w:t>unidades familiares a los efectos del Impuesto sobre la Renta de las Personas Físicas. En criterio de la demandante de amparo ni esas normas podían ser aplicadas por haber sido declaradas inconstitucionales y, por tanto nulas, ni tampoco podían aplicarse las posteriormente incorporadas por el régimen transitorio de la Ley 20/1989, porque en este último caso se vulneraría el principio de irretroactividad de las normas sancionadoras.</w:t>
      </w:r>
    </w:p>
    <w:p w:rsidR="006854DA" w:rsidRDefault="006854DA" w:rsidP="006854DA">
      <w:pPr>
        <w:pStyle w:val="TextoNormal"/>
      </w:pPr>
      <w:r>
        <w:t>Este tema se enjuicia y desestima en las Sentencias impugnadas (fundamento de Derecho octavo) que, con cita de la Sentencia de la propia Sala de 14 de septiembre de 1992 -cuya doctrina aplica-, entiende que la Ley 20/1989 es clara al respecto e interpretando los arts. 15 (apartados 3,4 y 5) y 17 de la misma, llega a la conclusión, tras una motivación razonada, de que hay que confirmar el criterio que sostiene la Administración: el régimen de infracciones y sanciones tributarias no se vio afectado por la Sentencia del Tribunal Constitucional 45/1989.</w:t>
      </w:r>
    </w:p>
    <w:p w:rsidR="006854DA" w:rsidRDefault="006854DA" w:rsidP="006854DA">
      <w:pPr>
        <w:pStyle w:val="TextoNormal"/>
      </w:pPr>
      <w:r>
        <w:t>Pues bien, no es preciso que examinemos la fundamentación que sobre este extremo relativo al principio de legalidad (art. 25.1 C.E.)  hacen las Sentencias impugnadas para confirmar el criterio de las resoluciones administrativas, concluyendo que no se ha producido la vulneración de dicho principio, porque este problema se ha planteado en términos similares a los formulados por la actora, en la cuestión de inconstitucionalidad núm. 88/1992 sobre el art. 15.3 de la Ley 20/1989 que fue resuelto por nuestra STC 38/1997.</w:t>
      </w:r>
    </w:p>
    <w:p w:rsidR="006854DA" w:rsidRDefault="006854DA" w:rsidP="006854DA">
      <w:pPr>
        <w:pStyle w:val="TextoNormal"/>
      </w:pPr>
      <w:r>
        <w:t>A esta Sentencia nos remitimos en su integridad puesto que, como hemos dicho, resuelve el problema ahora planteado en estos recursos de amparo y, por tanto, debemos aplicar la doctrina entonces expuesta, destacando que en el fundamento jurídico 3 se dijo lo siguiente: "En los ejercicios anteriores a 1988, aún vigente el sistema objeto luego de la STC 45/1989 con todos los derechos y obligaciones derivados del mismo, ningún obstáculo existía a la presentación y liquidación de las declaraciones y, en relación con ello, nada impedía que pudieran cometerse infracciones en el cumplimiento de obligaciones tributarias, se omitiese la presentación de declaraciones, se dejara de abonar la totalidad o parte de la cuota autoliquidada, se omitiesen partidas de ingresos, etc., y se aplicasen en consecuencia las sanciones correspondientes.  Es sólo al ejercicio de 1988 al que expresamente se refiere el fundamento jurídico 11 de la STC 45/1989 cuando dice que la ilegitimidad constitucional de los preceptos enjuiciados 'hace jurídicamente imposible su aplicación al ejercicio de 1988, puesto que el impuesto a él correspondiente, aunque ya devengado, no puede ser liquidado y exigido de acuerdo con preceptos contrarios a la Constitución' y cuya expulsión del ordenamiento sólo pudo producirse a partir del momento de la publicación de la Sentencia en el "Boletín Oficial del Estado".</w:t>
      </w:r>
    </w:p>
    <w:p w:rsidR="006854DA" w:rsidRDefault="006854DA" w:rsidP="006854DA">
      <w:pPr>
        <w:pStyle w:val="TextoNormal"/>
      </w:pPr>
      <w:r>
        <w:t>Y en el apartado siguiente del mismo fundamento se añade: "Las denominada 'laguna parcial'no se refiere a la existencia de la deuda tributaria ni, en su caso, a la de la infracción y la sanción, sino sólo a la ausencia temporal de reglas con las que determinar la cuantía concreta de aquélla. Mas, esa transitoria imposibilidad de fijación de la cuantía de la deuda (y, por tanto de la sanción) desapareció cuando, de acuerdo con nuestra Sentencia, se promulgó la Ley aquí cuestionada.  No hay, pues, laguna punitiva alguna, al existir predeterminación legal tanto respecto de la infracción como de la sanción.</w:t>
      </w:r>
    </w:p>
    <w:p w:rsidR="006854DA" w:rsidRDefault="006854DA" w:rsidP="006854DA">
      <w:pPr>
        <w:pStyle w:val="TextoNormal"/>
      </w:pPr>
      <w:r>
        <w:t>Por aplicación de la doctrina expuesta que ha venido a confirmar, en lo esencial, lo argumentado por las Sentencias impugnadas, procede desestimar también la vulneración del art. 25.1 C.E. denunciada en la demanda.</w:t>
      </w:r>
    </w:p>
    <w:p w:rsidR="006854DA" w:rsidRDefault="006854DA" w:rsidP="006854DA">
      <w:pPr>
        <w:pStyle w:val="TextoNormal"/>
      </w:pPr>
    </w:p>
    <w:p w:rsidR="006854DA" w:rsidRDefault="006854DA" w:rsidP="006854DA">
      <w:pPr>
        <w:pStyle w:val="TextoNormalCentrado"/>
        <w:keepNext/>
      </w:pPr>
      <w:r>
        <w:lastRenderedPageBreak/>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los presentes recursos de amparo interpuestos por doña Carmen García Gutiérrez.</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veintitrés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4" w:name="SENTENCIA_1997_118"/>
      <w:r>
        <w:lastRenderedPageBreak/>
        <w:t>SENTENCIA 118/1997, de 23 de junio de 1997</w:t>
      </w:r>
    </w:p>
    <w:bookmarkEnd w:id="34"/>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ECLI:ES:TC:1997:118</w:t>
      </w:r>
    </w:p>
    <w:p w:rsidR="006854DA" w:rsidRDefault="006854DA" w:rsidP="006854DA">
      <w:pPr>
        <w:pStyle w:val="SntesisDescriptiva"/>
      </w:pPr>
    </w:p>
    <w:p w:rsidR="006854DA" w:rsidRDefault="006854DA" w:rsidP="006854DA">
      <w:pPr>
        <w:pStyle w:val="SntesisDescriptiva"/>
      </w:pPr>
      <w:r>
        <w:t>Recurso de amparo 2.282/1994. Contra Sentencia del Juzgado de Primera Instancia de Carballido (Orense) por la que se declaró el divorcio del recurrente en amparo.</w:t>
      </w:r>
    </w:p>
    <w:p w:rsidR="006854DA" w:rsidRDefault="006854DA" w:rsidP="006854DA">
      <w:pPr>
        <w:pStyle w:val="SntesisDescriptiva"/>
      </w:pPr>
    </w:p>
    <w:p w:rsidR="006854DA" w:rsidRDefault="006854DA" w:rsidP="006854DA">
      <w:pPr>
        <w:pStyle w:val="SntesisAnaltica"/>
      </w:pPr>
      <w:r>
        <w:t>Vulneración del derecho a la tutela judicial efectiva: indefensión causada por resolución judicial dictada "inaudita parte". Voto particular.</w:t>
      </w:r>
    </w:p>
    <w:p w:rsidR="006854DA" w:rsidRDefault="006854DA" w:rsidP="006854DA">
      <w:pPr>
        <w:pStyle w:val="SntesisAnaltica"/>
      </w:pPr>
    </w:p>
    <w:p w:rsidR="006854DA" w:rsidRDefault="006854DA" w:rsidP="006854DA">
      <w:pPr>
        <w:pStyle w:val="Extracto"/>
      </w:pPr>
      <w:r>
        <w:t>1.</w:t>
      </w:r>
      <w:r>
        <w:tab/>
        <w:t>Este Tribunal ha destacado en numerosas ocasiones la importancia de la efectividad de los actos de comunicación procesal, y, en particular, de aquél a través del cual el órgano judicial pone en conocimiento del demandado la propia existencia del proceso, por la trascendencia que estos actos tienen para garantizar el principio de contradicción o audiencia bilateral de las partes, comprendido en el derecho reconocido en el art. 24.1 C.E. a la tutela judicial efectiva sin que en ningún caso se produzca indefensión. Ello impone a los órganos judiciales un especial deber de diligencia en la realización de dichos actos para asegurar en la medida de lo posible su recepción por los destinatarios, dándoles así la ocasión de defenderse, lo cual convierte lógicamente el emplazamiento, citación o notificación personal en el medio normal de comunicación (SSTC 242/1991, 275/1993, 108/1995, 148/1995 y 126/1996, entre otras) [F.J. 2].</w:t>
      </w:r>
    </w:p>
    <w:p w:rsidR="006854DA" w:rsidRDefault="006854DA" w:rsidP="006854DA">
      <w:pPr>
        <w:pStyle w:val="Extracto"/>
      </w:pPr>
    </w:p>
    <w:p w:rsidR="006854DA" w:rsidRDefault="006854DA" w:rsidP="006854DA">
      <w:pPr>
        <w:pStyle w:val="Extracto"/>
      </w:pPr>
      <w:r>
        <w:t>2.</w:t>
      </w:r>
      <w:r>
        <w:tab/>
        <w:t>Según la aludida doctrina de este Tribunal, el juicio de imputabilidad al recurrente de la propia indefensión sufrida ha de hacerse con observancia de las circunstancias concurrentes y, dentro de ellas, si tuvo, o pudo haber tenido, empleando un mínimo de diligencia, un conocimiento extraprocesal de la pendencia del pleito en un momento procesal todavía oportuno para personarse y actuar en él en defensa de sus intereses (SSTC 181/1985, 24/1986, 87/1988, 101/1990, 129/1991, 227/1994, 105/1995 y 126/1996, entre otras). Ello exigiría la prueba de que dichas circunstancias concurrieron si se desprendiese del examen de las actuaciones de manera suficiente y razonable (SSTC 87/1988, 151/1988, 163/1988, 57/1991 y 334/1993, entre otras), o sea, en el caso contemplado, si la vida del recurrente alejada de su mujer e hijo y los contactos que por teléfono o carta mantuviera con ellos debieran haberle prevenido de la posibilidad del divorcio instado por la esposa, lo cual le hubiera obligado a no desinteresarse de la cuestión (STC 72/1990). Sin embargo, de las actuaciones no se deducen razones concluyentes para suponer tal conocimiento [F.J.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2.282/94, interpuesto por don Carmelo Olmos Gómez, Procurador de los Tribunales, en nombre y representación de don Carlos Losa Menéndez, asistido del Letrado don José Francisco de Castro González, contra la Sentencia del Juzgado de Primera Instancia de Carballiño (Orense), de 7 de abril de 1984, por la que se declaró su divorcio. Ha intervenido el Ministerio Fiscal y ha sido Ponente don José Gabaldón López,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que tuvo entrada en este Tribunal el 28 de junio de 1994, don Carmelo Olmos Gómez, Procurador de los Tribunales y de don Carlos Losa Menendez, interpone recurso de amparo contra la Sentencia del Juzgado de Primera Instancia de Carballiño (Orense), de 7 de abril de 1984, que declaró su divorcio.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que fundan la pretensión de amparo son, brevemente expuestos,los siguientes: </w:t>
      </w:r>
    </w:p>
    <w:p w:rsidR="006854DA" w:rsidRDefault="006854DA" w:rsidP="006854DA">
      <w:pPr>
        <w:pStyle w:val="TextoNormal"/>
      </w:pPr>
      <w:r>
        <w:t xml:space="preserve">a) El recurrente es español, domiciliado en Nuremberg desde 1970. Vino a España de vacaciones, en junio de 1994, con intención de disfrutarlas en un piso que suponía de su propiedad, situado en San Juan de Alicante, sin que pudiera acceder al mismo por estar cambiada la cerradura. </w:t>
      </w:r>
    </w:p>
    <w:p w:rsidR="006854DA" w:rsidRDefault="006854DA" w:rsidP="006854DA">
      <w:pPr>
        <w:pStyle w:val="TextoNormal"/>
      </w:pPr>
      <w:r>
        <w:t xml:space="preserve">b) Tras las oportunas averiguaciones, supo que su esposa, Margarita Corral Pérez, también española y domiciliada en Nuremberg, había formulado el 7 de julio de 1983 demanda de divorcio ante el Juzgado de Primera Instancia de Carballiño (Orense), registrada en dicho Juzgado con el núm. 77/83. En la demanda se señalaba al hoy recurrente como "ausente en ignorado paradero", con último domicilio conocido en España en Cobas. Habiendo sido emplazado por edicto insertado en el B.O.P. de Orense de 31 de enero de 1984, fue declarado en rebeldía por providencia de 23 de febrero de 1984, continuándose las actuaciones hasta concluir por Sentencia del Juzgado, no ulteriormente recurrida, de fecha 7 de abril de 1984, publicada mediante edicto insertado en el B.O.P de Orense de 13 de julio de 1984 y anotada en el Registro Civil Central, por la que se declaró el divorcio. </w:t>
      </w:r>
    </w:p>
    <w:p w:rsidR="006854DA" w:rsidRDefault="006854DA" w:rsidP="006854DA">
      <w:pPr>
        <w:pStyle w:val="TextoNormal"/>
      </w:pPr>
      <w:r>
        <w:t xml:space="preserve">c) En fase de ejecución de dicha Sentencia, se intentó citar al recurrente a través del Juzgado de San Juan de Alicante, mediante exhorto de 9 de mayo de 1986, sin que pudiera llevarse a efecto la notificación por manifestar la inquilina de la vivienda en que se intentó que el recurrente residía en Alemania. </w:t>
      </w:r>
    </w:p>
    <w:p w:rsidR="006854DA" w:rsidRDefault="006854DA" w:rsidP="006854DA">
      <w:pPr>
        <w:pStyle w:val="TextoNormal"/>
      </w:pPr>
      <w:r>
        <w:t xml:space="preserve">d) Liquidada la sociedad de gananciales por efecto de la Sentencia de divorcio, la vivienda de San Juan fue objeto de subasta el 24 de febrero de 1993 y adjudicada a la divorciada por Auto de 26 de febrero de 1993. </w:t>
      </w:r>
    </w:p>
    <w:p w:rsidR="006854DA" w:rsidRDefault="006854DA" w:rsidP="006854DA">
      <w:pPr>
        <w:pStyle w:val="TextoNormal"/>
      </w:pPr>
      <w:r>
        <w:t xml:space="preserve">Por providencia de 10 de enero de 1994, se acordó que, habiéndose notificado al demandado en ignorado paradero Sr. Losa, por medio de edictos publicados en el B.O.P. de </w:t>
      </w:r>
      <w:r>
        <w:lastRenderedPageBreak/>
        <w:t>Orense el Auto de adjudicación de 26 de febrero de 1993, procedía dar cumplimiento a la resolución de 10 de marzo de 1993 (en la que se decidió otorgar la escritura pública de venta de oficio), y tal como se establece en el art. 1514 de la L.E.C., expedir testimonio del Auto de adjudicación del bien inmueble subastado haciendo expresión de haberse consignado el precio de remate, así como que dicho Auto fue notificado a las partes y adquirió el carácter de firme.</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Entiende la parte recurrente, con cita de numerosa jurisprudencia de este Tribunal, que el emplazamiento edictal fue realizado sin que previamente se intentara ningún otro medio de notificación personal y sin que se ponderara razonablemente, con la debida colaboración de las partes, la posibilidad de aplicar otro medio de comunicación que asegurara el conocimiento real y efectivo por el entonces demandado de la existencia del procedimiento. Al no haberlo hecho así entiende que se le causó indefensión, vedada por el art. 24.1 C.E. </w:t>
      </w:r>
    </w:p>
    <w:p w:rsidR="006854DA" w:rsidRDefault="006854DA" w:rsidP="006854DA">
      <w:pPr>
        <w:pStyle w:val="TextoNormal"/>
      </w:pPr>
      <w:r>
        <w:t xml:space="preserve">Fundamenta también su pretensión en la inexistencia de vía judicial por la que hacer efectiva la nulidad de las actuaciones seguidas, tras la supresión del incidente de nulidad de actuaciones, por tratarse de Sentencia firme e incluso ya ejecutada, sobre la que no cabrían más recursos que los de audiencia al rebelde (art. 777 L.E.C.) y el extraordinario de revisión (art. 1796 L.E.C.), y considera que no se dan las circunstancias que posibilitan tales instancias. </w:t>
      </w:r>
    </w:p>
    <w:p w:rsidR="006854DA" w:rsidRDefault="006854DA" w:rsidP="006854DA">
      <w:pPr>
        <w:pStyle w:val="TextoNormal"/>
      </w:pPr>
      <w:r>
        <w:t>Por todo ello solicita la nulidad de los actuado en el juicio de divorcio, reponiendo las actuaciones al momento inmediatamente anterior al emplazamiento del demandado.</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14 de julio de 1994, notificado el siguiente 1 de agosto, la Sección Cuarta otorgó al recurrente plazo de diez días para que compareciera por medio de Procurador de Madrid, con poder al efecto. Con fecha 8 de septiembre, tiene entrada en este Tribunal escrito del Procurador de Madrid don Carmelo Olmos Gómez, personándose en el presente proceso en representación del recurrente y acompañando poder judicial al efecto, del que queda copia adverada por el Secretario de Justicia en las actuaciones.</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14 de noviembre de 1994 la Sección acordó admitir a trámite la demanda de amparo y dirigir comunicación al Juzgado de Primera Instancia de Carballiño a fin de que, en plazo que no excediera de diez días, remitiera certificación o fotocopia adverada de las actuaciones correspondientes a los autos núm. 77/83, sobre divorcio en los que recayó Sentencia el 7 de abril de 1984; así como emplazar previamente, para que en el plazo de diez días pudieran comparecer, si lo deseaban, en el recurso de amparo y defender sus derechos a quienes hubieran sido parte en el procedimiento excepto el recurrente en amparo.</w:t>
      </w:r>
    </w:p>
    <w:p w:rsidR="006854DA" w:rsidRDefault="006854DA" w:rsidP="006854DA">
      <w:pPr>
        <w:pStyle w:val="TextoNormal"/>
      </w:pPr>
    </w:p>
    <w:p w:rsidR="006854DA" w:rsidRDefault="006854DA" w:rsidP="006854DA">
      <w:pPr>
        <w:pStyle w:val="TextoNormal"/>
      </w:pPr>
      <w:r w:rsidRPr="006854DA">
        <w:rPr>
          <w:rStyle w:val="NumeroAFNegritaCaracter"/>
        </w:rPr>
        <w:t>6</w:t>
      </w:r>
      <w:r>
        <w:t>. La Sección, por providencia 9 de febrero de 1995, acordó requerir a doña Margarita Corral Pérez, a fin de que, en el plazo de diez días, facilitara un domicilio en esta capital para oír notificaciones, conforme determina el art. 4, último párrafo, de la Ley de Enjuiciamiento Civil, al objeto de poder ser emplazada en este procedimiento.</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Por providencia de 6 de abril de 1995, la Sección acordó, dado que doña Margarita Corral Pérez no había atendido al requerimiento efectuado por providencia de 9 de febrero pasado, dar vista de las actuaciones recibidas a la parte recurrente y al Ministerio Fiscal </w:t>
      </w:r>
      <w:r>
        <w:lastRenderedPageBreak/>
        <w:t>por plazo común de veinte días, dentro de los cuales podrían presentar las alegaciones que estimaran pertinentes, conforme determina el art. 52.1 de la Ley Orgánica de este Tribunal.</w:t>
      </w:r>
    </w:p>
    <w:p w:rsidR="006854DA" w:rsidRDefault="006854DA" w:rsidP="006854DA">
      <w:pPr>
        <w:pStyle w:val="TextoNormal"/>
      </w:pPr>
    </w:p>
    <w:p w:rsidR="006854DA" w:rsidRDefault="006854DA" w:rsidP="006854DA">
      <w:pPr>
        <w:pStyle w:val="TextoNormal"/>
      </w:pPr>
      <w:r w:rsidRPr="006854DA">
        <w:rPr>
          <w:rStyle w:val="NumeroAFNegritaCaracter"/>
        </w:rPr>
        <w:t>8</w:t>
      </w:r>
      <w:r>
        <w:t>. Por escrito registrado en este Tribunal el 4 de mayo de 1995, la parte recurrente en amparo se ratifica íntegramente en su demanda.</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Ministerio Fiscal por escrito registrado en este Tribunal el 11 de mayo de 1995 interesa se estime el amparo. </w:t>
      </w:r>
    </w:p>
    <w:p w:rsidR="006854DA" w:rsidRDefault="006854DA" w:rsidP="006854DA">
      <w:pPr>
        <w:pStyle w:val="TextoNormal"/>
      </w:pPr>
      <w:r>
        <w:t xml:space="preserve">No obstante, plantea sus dudas acerca de si, teniendo en cuenta el art. 1.798 de la LEC, debería operar el plazo de los tres meses previstos desde el descubrimiento del fraude para interponer recurso de revisión ante el Tribunal Supremo. </w:t>
      </w:r>
    </w:p>
    <w:p w:rsidR="006854DA" w:rsidRDefault="006854DA" w:rsidP="006854DA">
      <w:pPr>
        <w:pStyle w:val="TextoNormal"/>
      </w:pPr>
      <w:r>
        <w:t xml:space="preserve">Manifiesta que hay que tener en cuenta la constante jurisprudencia de este Tribunal sobre los actos de comunicación y en particular sobre la citación por edictos, por lo que recoge el fundamento jurídico tercero de la STC 242/1991, donde se pone el acento en que siempre que sea posible debe procurarse el emplazamiento personal. Asimismo señala la doctrina de este Tribunal sobre la citación edictal que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considerando que la parte se halla en ignorado paradero, se funde en criterios de razonabilidad que lleven a la convicción o certeza de la inutilidad de aquellos otros medios normales de citación (SSTC 157/1987, 234/1988 y 16/1989). </w:t>
      </w:r>
    </w:p>
    <w:p w:rsidR="006854DA" w:rsidRDefault="006854DA" w:rsidP="006854DA">
      <w:pPr>
        <w:pStyle w:val="TextoNormal"/>
      </w:pPr>
      <w:r>
        <w:t xml:space="preserve">Alega que con fundamento en las palabras del propio T.C. la parte conocida e identificable en las actuaciones judiciales debe ser objeto de un tratamiento especial. Debe, pues, el Juez, continúa el Fiscal, con fundamento en la tutela judicial y en la proscripción de la indefensión, superar los límites impuestos por los preceptos de la L.E.C. y los principios que informan el proceso civil, amparar a aquellas personas que puedan verse afectadas por sus decisiones de fondo, dándoles oportunidad de ser oídas. </w:t>
      </w:r>
    </w:p>
    <w:p w:rsidR="006854DA" w:rsidRDefault="006854DA" w:rsidP="006854DA">
      <w:pPr>
        <w:pStyle w:val="TextoNormal"/>
      </w:pPr>
      <w:r>
        <w:t xml:space="preserve">Entiende que tales ideas son de aplicación al caso en tanto en cuanto el principio de actuación de oficio imponía al Juez, con base al art. 24.1 de la C.E., investigar en torno al domicilio o paradero del demandado para lo que contaba con indudables medios a su disposición. </w:t>
      </w:r>
    </w:p>
    <w:p w:rsidR="006854DA" w:rsidRDefault="006854DA" w:rsidP="006854DA">
      <w:pPr>
        <w:pStyle w:val="TextoNormal"/>
      </w:pPr>
      <w:r>
        <w:t xml:space="preserve">De la lectura de las actuaciones infiere el Ministerio Fiscal: </w:t>
      </w:r>
    </w:p>
    <w:p w:rsidR="006854DA" w:rsidRDefault="006854DA" w:rsidP="006854DA">
      <w:pPr>
        <w:pStyle w:val="TextoNormal"/>
      </w:pPr>
      <w:r>
        <w:t xml:space="preserve">a) Que el domicilio del recurrente en amparo constaba en la documentación presentada con la demanda. Así, en la certificación de bautismo del hijo, en la de nacimiento y en la carta entre abogados traducida del alemán, consta como domicilio el del núm. 11 de la Enderleinstrasse de Nuremberg. </w:t>
      </w:r>
    </w:p>
    <w:p w:rsidR="006854DA" w:rsidRDefault="006854DA" w:rsidP="006854DA">
      <w:pPr>
        <w:pStyle w:val="TextoNormal"/>
      </w:pPr>
      <w:r>
        <w:t xml:space="preserve">b) Que existiendo un menor hijo del matrimonio, que estaba bajo la custodia de la actora, podía el Juez haberle recibido declaración interrogándole sobre el paradero de su padre. La misma pregunta podría haber sido hecha a los testigos en uso de las facultades que ostenta el Juez. </w:t>
      </w:r>
    </w:p>
    <w:p w:rsidR="006854DA" w:rsidRDefault="006854DA" w:rsidP="006854DA">
      <w:pPr>
        <w:pStyle w:val="TextoNormal"/>
      </w:pPr>
      <w:r>
        <w:t xml:space="preserve">c) Que, en fin, era posible una información de la policía judicial sobre tan transcendente cuestión. </w:t>
      </w:r>
    </w:p>
    <w:p w:rsidR="006854DA" w:rsidRDefault="006854DA" w:rsidP="006854DA">
      <w:pPr>
        <w:pStyle w:val="TextoNormal"/>
      </w:pPr>
      <w:r>
        <w:t xml:space="preserve">La decisión de confiar íntegramente en la manifestación de la actora, lógicamente interesada en que no hubiera oposición a su demanda, para desembocar directamente en la citación edictal que no garantiza en absoluto el conocimiento del proceso y zanjar de esta forma, inaudita parte, un pleito en el que se ventilan cuestiones tan trascendentes como la </w:t>
      </w:r>
      <w:r>
        <w:lastRenderedPageBreak/>
        <w:t xml:space="preserve">disolución del matrimonio, custodia del hijo y el contenido económico de aquél no parece lo más conforme con el deber de prestación que sirve de contenido a la tutela judicial. </w:t>
      </w:r>
    </w:p>
    <w:p w:rsidR="006854DA" w:rsidRDefault="006854DA" w:rsidP="006854DA">
      <w:pPr>
        <w:pStyle w:val="TextoNormal"/>
      </w:pPr>
      <w:r>
        <w:t xml:space="preserve">La postura opuesta cual es la de confiar íntegramente en la manifestación de la actora, lógicamente interesada en que no hubiera oposición a su demanda, para desembocar directamente en la citación edictal que no garantiza en absoluto el conocimiento del proceso y zanjar de esta forma, inaudita parte, peito en el que se ventilan cuestiones tan trascendentes como la disolución de un matrimonio, custodia de un hijo y todas las materias anejas de contenido económico, no parece lo más conforme con el deber de prestación que sirve de contenido a la tutela judicial. </w:t>
      </w:r>
    </w:p>
    <w:p w:rsidR="006854DA" w:rsidRDefault="006854DA" w:rsidP="006854DA">
      <w:pPr>
        <w:pStyle w:val="TextoNormal"/>
      </w:pPr>
      <w:r>
        <w:t>Debió, pues, el juzgador, concluye el Fiscal, agotar todos los medios a su alcance para conocer el domicilio del demandado, y sólo después de cerciorarse que era imposible emplazarle en forma personal, proceder a la citación por edictos.</w:t>
      </w:r>
    </w:p>
    <w:p w:rsidR="006854DA" w:rsidRDefault="006854DA" w:rsidP="006854DA">
      <w:pPr>
        <w:pStyle w:val="TextoNormal"/>
      </w:pPr>
    </w:p>
    <w:p w:rsidR="006854DA" w:rsidRDefault="006854DA" w:rsidP="006854DA">
      <w:pPr>
        <w:pStyle w:val="TextoNormal"/>
      </w:pPr>
      <w:r w:rsidRPr="006854DA">
        <w:rPr>
          <w:rStyle w:val="NumeroAFNegritaCaracter"/>
        </w:rPr>
        <w:t>10</w:t>
      </w:r>
      <w:r>
        <w:t>. La Sección Tercera, por providencia de 16 de diciembre de 1996, acordó, en vista de que el emplazamiento y posterior requerimiento de doña Margarita Corral Pérez para señalar domicilio en esta capital no fue efectuado en la forma prevista por el art. 261 párrafo cuarto de la L.E.C., librar comunicación al Juzgado de Primera Instancia de Carballiño para que, a la mayor brevedad posible, procediese a su emplazamiento en el domicilio indicado por ese Juzgado, en Alemania, librando al efecto la correspondiente comisión rogatoria.</w:t>
      </w:r>
    </w:p>
    <w:p w:rsidR="006854DA" w:rsidRDefault="006854DA" w:rsidP="006854DA">
      <w:pPr>
        <w:pStyle w:val="TextoNormal"/>
      </w:pPr>
    </w:p>
    <w:p w:rsidR="006854DA" w:rsidRDefault="006854DA" w:rsidP="006854DA">
      <w:pPr>
        <w:pStyle w:val="TextoNormal"/>
      </w:pPr>
      <w:r w:rsidRPr="006854DA">
        <w:rPr>
          <w:rStyle w:val="NumeroAFNegritaCaracter"/>
        </w:rPr>
        <w:t>11</w:t>
      </w:r>
      <w:r>
        <w:t>. Por diligencia de 19 de mayo de 1997, el Secretario de Justicia de la Sala Segunda de este Tribunal hizo constar que doña Margarita Corral había sido emplazada para comparecer en el plazo de diez días en el presente recurso de amparo, en fecha 15 de abril de 1997, por medio de comisión rogatoria librada a Alemania, y que había transcurrido el plazo concedido en dicho emplazamiento.</w:t>
      </w:r>
    </w:p>
    <w:p w:rsidR="006854DA" w:rsidRDefault="006854DA" w:rsidP="006854DA">
      <w:pPr>
        <w:pStyle w:val="TextoNormal"/>
      </w:pPr>
    </w:p>
    <w:p w:rsidR="006854DA" w:rsidRDefault="006854DA" w:rsidP="006854DA">
      <w:pPr>
        <w:pStyle w:val="TextoNormal"/>
      </w:pPr>
      <w:r w:rsidRPr="006854DA">
        <w:rPr>
          <w:rStyle w:val="NumeroAFNegritaCaracter"/>
        </w:rPr>
        <w:t>12</w:t>
      </w:r>
      <w:r>
        <w:t>. Por providencia de fecha 20 de junio de 1997, se señaló para deliberación y fallo de la Sentencia el día 23 del mismo mes.</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Se impugna en este recurso la Sentencia del Juzgado de Primera Instancia de Carballiño que declaró el divorcio del recurrente y su esposa, con las consecuencias derivadas. Hemos de atender en primer término a las dudas suscitadas por el Ministerio Fiscal acerca del agotamiento de todos los recursos utilizables, respecto de lo cual no cabe duda de que habían transcurrido con notorio exceso los plazos para solicitar la audiencia al rebelde (art. 777 L.E.C.)  y en cuanto al recurso de revisión, operaría el plazo del art. 1.800 L.E.C., ampliamente superado en cuanto la publicación de la Sentencia tuvo lugar el 13 de julio de 1984 y el recurrente presentó la demanda de amparo el 28 de junio de 1994. Si, por otra parte, no hay constancia de la fecha en que tuvo conocimiento suficiente de la Sentencia que impugna, debemos entenderla presentada dentro del plazo para la interposición del recurso de amparo (art. 44.2 LOTC), porque el dies a quo, debe referirse a la fecha en que vino a conocer procesal o extraprocesalmente -como parece ser el caso-, la existencia del procedimiento a que se refiere el amparo (entre otras, SSTC 45/1985, 56/1985, 110/1987 y 183/1987), y éste se produjo según lo que aquél alega a partir de su </w:t>
      </w:r>
      <w:r>
        <w:lastRenderedPageBreak/>
        <w:t>venida a España para pasar sus vacaciones en el mes de junio de 1994, compareciendo ante este Tribunal por escrito registrado el día 28 de ese mismo mes.</w:t>
      </w:r>
    </w:p>
    <w:p w:rsidR="006854DA" w:rsidRDefault="006854DA" w:rsidP="006854DA">
      <w:pPr>
        <w:pStyle w:val="TextoNormal"/>
      </w:pPr>
    </w:p>
    <w:p w:rsidR="006854DA" w:rsidRDefault="006854DA" w:rsidP="006854DA">
      <w:pPr>
        <w:pStyle w:val="TextoNormal"/>
      </w:pPr>
      <w:r w:rsidRPr="006854DA">
        <w:rPr>
          <w:rStyle w:val="NumeroAFNegritaCaracter"/>
        </w:rPr>
        <w:t>2</w:t>
      </w:r>
      <w:r>
        <w:t>. La pretensión del recurrente se funda en la vulneración del derecho fundamental a no padecer indefensión (art. 24.1 C.E.)  como consecuencia del emplazamiento edictal llevado a cabo en un proceso que ha desembocado en una Sentencia dictada inaudita parte.</w:t>
      </w:r>
    </w:p>
    <w:p w:rsidR="006854DA" w:rsidRDefault="006854DA" w:rsidP="006854DA">
      <w:pPr>
        <w:pStyle w:val="TextoNormal"/>
      </w:pPr>
      <w:r>
        <w:t>Este Tribunal ha destacado en numerosas ocasiones la importancia de la efectividad de los actos de comunicación procesal, y, en particular, de aquél a través del cual el órgano judicial pone en conocimiento del demandado la propia existencia del proceso, por la trascendencia que estos actos tienen para garantizar el principio de contradicción o audiencia bilateral de las partes, comprendido en el derecho reconocido en el art. 24.1 C.E. a la tutela judicial efectiva sin que en ningún caso se produzca indefensión. Ello impone a los órganos judiciales un especial deber de diligencia en la realización de dichos actos para asegurar en la medida de lo posible su recepción por los destinatarios, dándoles así la ocasión de defenderse lo cual convierte lógicamente el emplazamiento, citación o notificación personal en el medio normal de comunicación (SSTC 242/1991, 275/1993, 108/1995, 148/1995 y 126/1996, entre otras).</w:t>
      </w:r>
    </w:p>
    <w:p w:rsidR="006854DA" w:rsidRDefault="006854DA" w:rsidP="006854DA">
      <w:pPr>
        <w:pStyle w:val="TextoNormal"/>
      </w:pPr>
      <w:r>
        <w:t>En este mismo sentido, nuestra doctrina ha sido particularmente estricta con la forma de emplazamiento edictal, dado el evidente riesgo de ineficacia causante de indefensión, sin que, no obstante, hayamos llegado por ello a negar validez constitucional en todo caso a esta forma de emplazamiento, aunque sometiéndola a una serie de condiciones rigurosas. Y en el orden procesal civil, hemos subrayado el carácter estrictamente subsidiario que debe asumir el emplazamiento por edictos previsto en el art. 269 L.E.C. al que sólo cabe acudir en los supuestos que expresamente contempla el citado precepto, esto es, "cuando no conste el domicilio de la persona que deba ser notificada o por haber mudado de habitación se ignore su paradero", haciéndose constar así por diligencia. Y requiere, además, por su cualidad de último medio de comunicación, no sólo el agotamiento previo de las otras modalidades que aseguren en mayor grado la recepción por el destinatario de la correspondiente notificación así como la constancia formal de haberse intentado su práctica, sino también que el acuerdo o resolución judicial de considerar que la parte se halla en paradero ignorado se funde en criterios de razonabilidad que lleven a la convicción o certeza de la inutilidad de aquellos otros medios normales de emplazamiento (SSTC 233/1988, 174/1990, 242/1991, 324/1994 y 126/1996, entre otras).</w:t>
      </w:r>
    </w:p>
    <w:p w:rsidR="006854DA" w:rsidRDefault="006854DA" w:rsidP="006854DA">
      <w:pPr>
        <w:pStyle w:val="TextoNormal"/>
      </w:pPr>
      <w:r>
        <w:t>Por otra parte, la indefensión ha de ser material y no meramente formal, lo que implica que el citado defecto haya causado un perjuicio real y efectivo para el demandado en sus posibilidades de defensa (SSTC 43/1989, 101/1990, 6/1992 y 105/1995, entre otras) y, además, es necesario que la indefensión padecida no sea imputable a la propia voluntad o a la falta de diligencia del demandado. Para juzgar este último extremo, hemos declarado también con reiteración que es necesario atender a las circunstancias concurrentes en cada caso y, en particular, a la diligencia que el emplazado edictalmente haya observado a fin de comparecer en el proceso y al conocimiento extraprocesal que haya podido tener de su existencia, pues no es permisible que mantenga una denuncia constitucional de indefensión quien, por su actitud pasiva y negligente, coadyuvó a su producción al no comparecer en el proceso, estando a tiempo de hacerlo, pese a tener conocimiento de su existencia por cauces distintos a su emplazamiento personal o haberlo podido tener si hubiera empleado una mínima diligencia (SSTC 87/1998, 72/1990, 174/1990, 275/1993, 105/1995 y 126/1996, entre otras).</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w:t>
      </w:r>
      <w:r>
        <w:t>. Procede, pues, en el caso determinar si se produjo real indefensión. Hay que afirmar ante todo que su carácter material y no meramente formal es indudable para el recurrente de amparo dada su incomparecencia al juicio del que trae causa este recurso, el cual concluyó con una Sentencia de divorcio contraria a sus intereses.</w:t>
      </w:r>
    </w:p>
    <w:p w:rsidR="006854DA" w:rsidRDefault="006854DA" w:rsidP="006854DA">
      <w:pPr>
        <w:pStyle w:val="TextoNormal"/>
      </w:pPr>
      <w:r>
        <w:t>En cuanto a la regularidad de su emplazamiento edictal, es un hecho cierto que el Juzgado intentó primero, con resultado negativo, el emplazamiento personal, pero también lo es que no lo hizo en el domicilio que constaba como residencia del matrimonio en varios de los documentos que acompañaban a la demanda de divorcio, (núm. 11 de la Enderleinstrasse de la ciudad de Nuremberg).  Puede afirmarse que el Juzgado no cumplió con las exigencias antes citadas para la utilización del emplazamiento edictal, pues omitiendo aquellas cautelas previas y aun cuando tenía los datos necesarios, no intentó el emplazamiento en la ciudad alemana a la que se hacía referencia en los documentos citados.  Es pues evidente la infracción de las normas procesales que rigen el emplazamiento edictal en los procesos civiles, interpretadas de acuerdo con la doctrina de este Tribunal.</w:t>
      </w:r>
    </w:p>
    <w:p w:rsidR="006854DA" w:rsidRDefault="006854DA" w:rsidP="006854DA">
      <w:pPr>
        <w:pStyle w:val="TextoNormal"/>
      </w:pPr>
    </w:p>
    <w:p w:rsidR="006854DA" w:rsidRDefault="006854DA" w:rsidP="006854DA">
      <w:pPr>
        <w:pStyle w:val="TextoNormal"/>
      </w:pPr>
      <w:r w:rsidRPr="006854DA">
        <w:rPr>
          <w:rStyle w:val="NumeroAFNegritaCaracter"/>
        </w:rPr>
        <w:t>4</w:t>
      </w:r>
      <w:r>
        <w:t>. No puede por el contrario afirmarse que el recurrente coadyuvase con su conducta a la producción del efecto de incomparecencia citado. Según la aludida doctrina de este Tribunal al respecto, el juicio de imputabilidad al recurrente de la propia indefensión sufrida ha de hacerse con observancia de las circunstancias concurrentes y, dentro de ellas, si tuvo, o pudo haber tenido, empleando un mínimo de diligencia, un conocimiento extraprocesal de la pendencia del pleito en un momento procesal todavía oportuno para personarse y actuar en él en defensa de sus intereses (SSTC 181/1985, 24/1986, 87/1988, 101/1990, 129/1991, 227/1994, 105/1995 y 126(1996 entre otras). Ello exigiría la prueba de que dichas circunstancias concurrieron si se desprendiese del examen de las actuaciones de manera suficiente y razonable (SSTC 87/1988, 151/1988, 163/1988, 57/1991 y 334/1993, entre otras), o sea en el caso si la vida del recurrente alejada de su mujer e hijo y los contactos que por teléfono o carta mantuviera con ellos debieran haberle prevenido de la posibilidad del pleito, lo cual le hubiera obligado a no desinteresarse de la cuestión (STC 72/1990). Sin embargo, de las actuaciones no se deducen razones concluyentes para suponer tal conocimiento.</w:t>
      </w:r>
    </w:p>
    <w:p w:rsidR="006854DA" w:rsidRDefault="006854DA" w:rsidP="006854DA">
      <w:pPr>
        <w:pStyle w:val="TextoNormal"/>
      </w:pPr>
      <w:r>
        <w:t>En consecuencia, el ahora recurrente, privado de su posibilidad de comparecer, quedó indefenso en el juicio de divorcio seguido por su esposa, lesionando el derecho reconocido en el art. 24.1 C.E. a la tutela judicial efectiva sin indefensión. Debe, pues, declararse la nulidad de la Sentencia impugnada y todas las actuaciones del proceso que concluyó con la misma, a partir del momento del emplazamiento.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y, en consecuencia:</w:t>
      </w:r>
    </w:p>
    <w:p w:rsidR="006854DA" w:rsidRDefault="006854DA" w:rsidP="006854DA">
      <w:pPr>
        <w:pStyle w:val="TextoNormal"/>
      </w:pPr>
      <w:r>
        <w:t>1º. Reconocer su derecho a la tutela judicial efectiva, sin indefensión del recurrente.</w:t>
      </w:r>
    </w:p>
    <w:p w:rsidR="006854DA" w:rsidRDefault="006854DA" w:rsidP="006854DA">
      <w:pPr>
        <w:pStyle w:val="TextoNormal"/>
      </w:pPr>
      <w:r>
        <w:lastRenderedPageBreak/>
        <w:t>2º. Restablecerle en la integridad de su derecho y en consecuencia, anular la Sentencia del Juzgado de Primera Instancia de Carballiño (Orense), de 7 de abril de 1984, y reponer las actuaciones al momento en que debió verificarse el emplazamiento.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veintitrés de junio de mil novecientos noventa y siete.</w:t>
      </w:r>
    </w:p>
    <w:p w:rsidR="006854DA" w:rsidRDefault="006854DA" w:rsidP="006854DA">
      <w:pPr>
        <w:pStyle w:val="ParrafoNormal"/>
      </w:pPr>
    </w:p>
    <w:p w:rsidR="006854DA" w:rsidRDefault="006854DA" w:rsidP="006854DA">
      <w:pPr>
        <w:pStyle w:val="TextoNormalNegritaCentrado"/>
        <w:keepNext/>
      </w:pPr>
      <w:r>
        <w:t>Voto Particular que formula el Magistrado don Fernando García-Mon y González- Regueral a la Sentencia dictada en el recurso de amparo núm. 2.282/94.</w:t>
      </w:r>
    </w:p>
    <w:p w:rsidR="006854DA" w:rsidRDefault="006854DA" w:rsidP="006854DA">
      <w:pPr>
        <w:pStyle w:val="TextoNormalNegritaCentrado"/>
        <w:keepNext/>
      </w:pPr>
    </w:p>
    <w:p w:rsidR="006854DA" w:rsidRDefault="006854DA" w:rsidP="006854DA">
      <w:pPr>
        <w:pStyle w:val="TextoNormal"/>
      </w:pPr>
      <w:r>
        <w:t>1º. Mi discrepancia con la fundamentación y el fallo de la Sentencia aprobada por la mayoria de la Sala, resulta de relacionar, en primer lugar, lo manifestado por el recurrente en su demanda de amparo sobre los recursos judiciales, con lo apuntado, en segundo término, por el Ministerio Fiscal en sus alegaciones sobre la posibilidad que pudo tener el recurrente para resolver el problema suscitado, de acudir al recurso extraordinario de revisión aunque ello supondría -dice el Ministerio Fiscal- "no tener en cuenta el art. 1.800 de la L.E.C. toda vez que la publicación de la Sentencia (la impugnada en el recurso de amparo) adolecería de los mismos defectos que el resto de las notificaciones hechas a la demandada, por lo que tal acto con plasmación únicamente en el B.O.P. no debía operar a efectos de cómputo de plazo".</w:t>
      </w:r>
    </w:p>
    <w:p w:rsidR="006854DA" w:rsidRDefault="006854DA" w:rsidP="006854DA">
      <w:pPr>
        <w:pStyle w:val="TextoNormal"/>
      </w:pPr>
      <w:r>
        <w:t>En el hecho tercero de la demanda de amparo expone el recurrente, que "el juicio de divorcio se ha tramitado a instancia de la esposa con maliciosa ocultación del domicilio del demandado, puesto que lo conocía perfectamente (al ser el conyugal) y pudo haber pedido su emplazamiento personal, dándole la oportunidad de personarse y defenderse...". Y en el fundamento de Derecho III admite expresamente, como no podía ser menos, "que las leyes procesales permiten al demandado rebelde en un procedimiento civil, como es el juicio de divorcio, únicamente dos recursos (recurso de Audiencia al Rebelde de los arts.  777 y ss de la Ley de Enjuiciamiento Civil, y recurso extraordinario de Revisión de los arts. 1.796 y ss de la propia Ley procesal rituaria) y que no se dan las circunstancias para ejercitar ninguno de ellos..."</w:t>
      </w:r>
    </w:p>
    <w:p w:rsidR="006854DA" w:rsidRDefault="006854DA" w:rsidP="006854DA">
      <w:pPr>
        <w:pStyle w:val="TextoNormal"/>
      </w:pPr>
      <w:r>
        <w:t>Reconoce así el recurrente que utiliza el amparo constitucional, no con el carácter subsidiario con el que está configurado en la Constitución en virtud de lo dispuesto en los arts. 53.2 y 161.1 b) C.E. y en el art. 41.1 de nuestra Ley Orgánica y que exige, precisamente para preservar su naturaleza subsidiaria, "que se hayan agotado todos los recursos utilizables dentro de la vía judicial" [art.  44.1 a)], sino que utiliza el recurso de amparo para suplir o sustituir los recursos judiciales al no darse las circunstancias para ejercitar éstos. En mi criterio, esta transformación del amparo constitucional de subsidiario en supletorio de los recursos judiciales, es de tal entidad que, por si sóla, ha debido conducir a la desestimación del recurso por la causa de inadmisión prevista en el art. 44.1 a) LOTC.</w:t>
      </w:r>
    </w:p>
    <w:p w:rsidR="006854DA" w:rsidRDefault="006854DA" w:rsidP="006854DA">
      <w:pPr>
        <w:pStyle w:val="TextoNormal"/>
      </w:pPr>
      <w:r>
        <w:t xml:space="preserve">Los recursos previstos por las Leyes procesales a los que se refiere dicho precepto y que han de ser agotados para dar paso al recurso de amparo, están sometidos a una serie de presupuestos y requisitos procesales que ha establecido el legislador en garantía de las partes litigantes -de todas las partes- para alcanzar a través de ellos la finalidad que cumplen en el proceso. Así ocurre con los recursos de audiencia al rebelde y extraordinario de revisión a los que alude la demanda de amparo, y si, por las circunstancias que sean, no concurrían en este caso los requisitos para su ejercicio, la conclusión no podía ser otra que </w:t>
      </w:r>
      <w:r>
        <w:lastRenderedPageBreak/>
        <w:t>su desestimación. Y si ésta resultaba evidente, el recurrente no podía eludir las consecuencias desestimatorias que, por razones procesales, habían de tener los recursos judiciales formalmente procedentes, sustituyendo su interposición destinada al fracaso, por la interposición del amparo constitucional. Agotar la vía judicial no admite excepciones y suplirla -como se ha hecho en este caso- por el amparo constitucional directo es, en mi criterio, con los debidos respetos para la opinión contraria, inadmisible por no preservar el carácter subsidiario del recurso de amparo.</w:t>
      </w:r>
    </w:p>
    <w:p w:rsidR="006854DA" w:rsidRDefault="006854DA" w:rsidP="006854DA">
      <w:pPr>
        <w:pStyle w:val="TextoNormal"/>
      </w:pPr>
      <w:r>
        <w:t>2º. Es explicable, dados los rígidos términos en los que está redactado el art.  1.800 de la L.E.C. -el recurso de revisión se rechazará de plano pasados los cinco años desde la fecha de publicación de la Sentencia que hubiere podido motivarlo-, que el recurrente en amparo eludiera la interposición de aquel recurso que, por la conducta maliciosa que atribuye a su esposa, habría sido el recurso procedente con arreglo al art. 1.796.4 L.E.C.; pero si, como apunta el Ministerio Fical, la publicación de la Sentencia en el B.O.P.  adolecia "de los mismos defectos que el resto de las notificaciones hechas a la demandada", esa publicación, por las mismas razones, "no debía operar a efectos de cúmputo de plazo".</w:t>
      </w:r>
    </w:p>
    <w:p w:rsidR="006854DA" w:rsidRDefault="006854DA" w:rsidP="006854DA">
      <w:pPr>
        <w:pStyle w:val="TextoNormal"/>
      </w:pPr>
      <w:r>
        <w:t>Con ello parece considerar el Fiscal que el recurrente, por las mismas razones que ha sostenido la nulidad de todos los actos de comunicación llevados a cabo en el proceso de divorcio, pudo entender lo mismo respecto de la publicación de la Sentencia dictada en dicho proceso, interponiendo el recurso de revisión para que, dando cumplimiento a lo dispuesto en el art. 44.1 a) de nuestra Ley Orgánica, los órganos judiciales lo resolvieran en la forma que estimaran procedente. Alega por ello el Ministerio Fiscal que este Tribunal podría tener por incumplido dicho precepto y que "ello bastaría para la desestimación del amparo".</w:t>
      </w:r>
    </w:p>
    <w:p w:rsidR="006854DA" w:rsidRDefault="006854DA" w:rsidP="006854DA">
      <w:pPr>
        <w:pStyle w:val="TextoNormal"/>
      </w:pPr>
      <w:r>
        <w:t>Lo así argumentado no carece de lógica y en cierta medida, aunque desde una perspectiva distinta, coincide con lo razonado en el apartado primero de este escrito: la demanda de amparo no respeta la naturaleza subsidiaria del recurso de amparo y no cumple la exigencia del art. 44.1 a) de la LOTC. Por estas razones, en mi opinión, ha debido desestimarse el presente recurso de amparo.</w:t>
      </w:r>
    </w:p>
    <w:p w:rsidR="006854DA" w:rsidRDefault="006854DA" w:rsidP="006854DA">
      <w:pPr>
        <w:pStyle w:val="TextoNormal"/>
      </w:pPr>
      <w:r>
        <w:t>Madrid, veintitrés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5" w:name="SENTENCIA_1997_119"/>
      <w:r>
        <w:lastRenderedPageBreak/>
        <w:t>SENTENCIA 119/1997, de 30 de junio de 1997</w:t>
      </w:r>
    </w:p>
    <w:bookmarkEnd w:id="35"/>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ECLI:ES:TC:1997:119</w:t>
      </w:r>
    </w:p>
    <w:p w:rsidR="006854DA" w:rsidRDefault="006854DA" w:rsidP="006854DA">
      <w:pPr>
        <w:pStyle w:val="SntesisDescriptiva"/>
      </w:pPr>
    </w:p>
    <w:p w:rsidR="006854DA" w:rsidRDefault="006854DA" w:rsidP="006854DA">
      <w:pPr>
        <w:pStyle w:val="SntesisDescriptiva"/>
      </w:pPr>
      <w:r>
        <w:t>Recurso de amparo 723/1995. Contra Sentencia de la Sala de lo Contencioso-Administrativo del T.S.J. de Madrid.</w:t>
      </w:r>
    </w:p>
    <w:p w:rsidR="006854DA" w:rsidRDefault="006854DA" w:rsidP="006854DA">
      <w:pPr>
        <w:pStyle w:val="SntesisDescriptiva"/>
      </w:pPr>
    </w:p>
    <w:p w:rsidR="006854DA" w:rsidRDefault="006854DA" w:rsidP="006854DA">
      <w:pPr>
        <w:pStyle w:val="SntesisAnaltica"/>
      </w:pPr>
      <w:r>
        <w:t>Vulneración del derecho a la tutela judicial efectiva: inadmisión de  recurso impeditiva del acceso a la justicia (control judicial de la actividad de la Administración).</w:t>
      </w:r>
    </w:p>
    <w:p w:rsidR="006854DA" w:rsidRDefault="006854DA" w:rsidP="006854DA">
      <w:pPr>
        <w:pStyle w:val="SntesisAnaltica"/>
      </w:pPr>
    </w:p>
    <w:p w:rsidR="006854DA" w:rsidRDefault="006854DA" w:rsidP="006854DA">
      <w:pPr>
        <w:pStyle w:val="Extracto"/>
      </w:pPr>
      <w:r>
        <w:t>1.</w:t>
      </w:r>
      <w:r>
        <w:tab/>
        <w:t>No procede en esta fase procesal inadmitir el recurso de amparo por la circunstancia de que, al tiempo de interponerse la correspondiente demanda, quien había instado el procedimiento ante la jurisdicción y figuraba como peticionario del amparo ante este Tribunal, hubiera ya fallecido. Si bien una consideración abstracta de la cuestión nos conduciría inexorablemente al rechazo de la demanda, tal y como afirma el Abogado del Estado pese a que no se puede ratificar lo que no ha sido hecho en nombre propio, el heredero sí puede ratificar lo que se hizo a nombre del difunto, por lo que no cree imposible entender que el otorgamiento del poder por los herederos para mantener la demanda de amparo alcanza, por su cualidad de tales, a ratificar la presentación de dicha demanda a nombre de su causante, que así debe considerarse válida y eficazmente presentada, sin más que entender que lo fue a nombre de sus herederos, sobre los que realmente recayó el supuesto agravio [F.J. 1].</w:t>
      </w:r>
    </w:p>
    <w:p w:rsidR="006854DA" w:rsidRDefault="006854DA" w:rsidP="006854DA">
      <w:pPr>
        <w:pStyle w:val="Extracto"/>
      </w:pPr>
    </w:p>
    <w:p w:rsidR="006854DA" w:rsidRDefault="006854DA" w:rsidP="006854DA">
      <w:pPr>
        <w:pStyle w:val="Extracto"/>
      </w:pPr>
      <w:r>
        <w:t>2.</w:t>
      </w:r>
      <w:r>
        <w:tab/>
        <w:t>Declaramos en la STC 294/1994 que «al considerar que, en el caso, no existe cuestión litigiosa se privó a los recurrentes de un pronunciamiento jurisdiccional sobre el fondo de su pretensión y se impide la revisión jurisdiccional del comportamiento pasivo de la Administración mediante la adopción de medidas adecuadas para el pleno restablecimiento de una situación jurídica individualizada cuya legalidad la Administración había reconocido. Se deja, así, a los recurrentes inermes frente a la Administración y a las expensas de que ésta quiera, voluntariamente, hacer frente al cumplimiento de una obligación pecuniaria nacida de la Ley que exige, sin embargo, la previa existencia de crédito presupuestario suficiente. Situación que resulta incompatible con el derecho fundamental a la tutela judicial efectiva reconocido por la Constitutión, pues la tensión entre la legalidad presupuestaria y la legalidad administrativa, no puede dar lugar a que el principio de legalidad presupuestaria deje de hecho sin contenido un derecho que la Constitución reconoce y garantiza» [F.J. 2].</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723/95, interpuesto por don Luis Pidal Allendesalazar, Procurador de los Tribunales, en nombre y representación de don José García Cano, y posteriormente de sus herederos, doña Honorina Cano Oliva, don Guillermo, don Victorino, y doña Laura García Cano, frente a la Sentencia dictada por la Sala de lo Contencioso- Administrativo del Tribunal Superior de Justicia de Madrid, de fecha 14 de enero anterior. Han intervenido, el Ministerio Fiscal y el Abogado del Estado en defensa de la Administración demandada, siendo Ponente el Magistrado don Tomás S. Vives Antón,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Don Luis Pidal Allendesalazar, Procurador de los Tribunales, en nombre y representación de don José García Cano, y posteriormente de sus herederos doña Honorina Cano Oliva, don Guillermo, don Victorino, y don Laura García Cano, interpuso demanda de amparo ante este Tribunal el 2 de marzo de 1995, frente a la Sentencia dictada por la Sala de lo Contencioso Administrativo del Tribunal Superior de Justicia de Madrid de fecha 14 de enero anterior.</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en los que se basa la demanda de amparo son, en síntesis, los siguientes: </w:t>
      </w:r>
    </w:p>
    <w:p w:rsidR="006854DA" w:rsidRDefault="006854DA" w:rsidP="006854DA">
      <w:pPr>
        <w:pStyle w:val="TextoNormal"/>
      </w:pPr>
      <w:r>
        <w:t xml:space="preserve">a) Don José García Cano, como consecuencia de las heridas sufridas durante la pasada guerra civil, fue declarado Caballero Mutilado Permanente en acto de servicio, en virtud de Orden Circular, de 20 de mayo de 1977, de acuerdo con la Ley 5/1976 de 11 de marzo. </w:t>
      </w:r>
    </w:p>
    <w:p w:rsidR="006854DA" w:rsidRDefault="006854DA" w:rsidP="006854DA">
      <w:pPr>
        <w:pStyle w:val="TextoNormal"/>
      </w:pPr>
      <w:r>
        <w:t xml:space="preserve">b) Con fecha 23 de septiembre de 1991 solicitó del Ministerio de Defensa que se le abonaran las diferencias existentes entre los haberes que percibe el solicitante y la pensión establecida al personal acogido a la Ley 35/1980 (D.A. 4), desde el mes que empezaron a producirse hasta el mes en que quede igualada esta diferencia, derecho que le fue reconocido por la Dirección General de Personal del referido Ministerio por Orden de 10 de diciembre de 1991. </w:t>
      </w:r>
    </w:p>
    <w:p w:rsidR="006854DA" w:rsidRDefault="006854DA" w:rsidP="006854DA">
      <w:pPr>
        <w:pStyle w:val="TextoNormal"/>
      </w:pPr>
      <w:r>
        <w:t xml:space="preserve">c) Contra la anterior resolución interpuso recurso de reposición el 29 de mayo de 1992, insistiendo en que se le abonaran las diferencias reclamadas y los intereses de demora. </w:t>
      </w:r>
    </w:p>
    <w:p w:rsidR="006854DA" w:rsidRDefault="006854DA" w:rsidP="006854DA">
      <w:pPr>
        <w:pStyle w:val="TextoNormal"/>
      </w:pPr>
      <w:r>
        <w:t xml:space="preserve">Al no obtener respuesta a esta petición, formuló recurso contencioso administrativo, que desembocó en la Sentencia dictada por la Sección Octava de la Sala de lo Contencioso Administrativo del Tribunal Superior de Justicia de Madrid de fecha 14 de enero de 1995. </w:t>
      </w:r>
    </w:p>
    <w:p w:rsidR="006854DA" w:rsidRDefault="006854DA" w:rsidP="006854DA">
      <w:pPr>
        <w:pStyle w:val="TextoNormal"/>
      </w:pPr>
      <w:r>
        <w:t xml:space="preserve">d) La Sentencia citada, a pesar del allanamiento del Abogado del Estado, desestimó el recurso por falta de legitimación del actor para recurrir, ya que el acto impugnado no afectaba negativamente a su esfera jurídica, pues reconocía el derecho del recurrente al percibo de la diferencia de haberes lo que conlleva el compromiso de satisfacerlos. </w:t>
      </w:r>
    </w:p>
    <w:p w:rsidR="006854DA" w:rsidRDefault="006854DA" w:rsidP="006854DA">
      <w:pPr>
        <w:pStyle w:val="TextoNormal"/>
      </w:pPr>
      <w:r>
        <w:t>Además de subrayar de forma incidental el carácter extemporáneo del recurso previo de reposición, establecía como ratio decidendi de la desestimación que "la demora en la satis</w:t>
      </w:r>
      <w:r>
        <w:lastRenderedPageBreak/>
        <w:t>facción de un derecho reconocido no puede remediarse recurriendo la resolución que lo reconoce, sino instando de la Administración su efectividad- pero no atacando aquélla, sino haciéndola valer - y, si no obtiene satisfacción, una vez agotada la vía administrativa, será cuando pueda acudir a ésta jurisdiccional".</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la demanda de amparo se solicita la nulidad de la Sentencia impugnada en atención a las siguientes alegaciones: </w:t>
      </w:r>
    </w:p>
    <w:p w:rsidR="006854DA" w:rsidRDefault="006854DA" w:rsidP="006854DA">
      <w:pPr>
        <w:pStyle w:val="TextoNormal"/>
      </w:pPr>
      <w:r>
        <w:t xml:space="preserve">En primer lugar se invoca la violación del art. 14 C.E. que se habría infringido al desconocer la Sentencia recurrida que la misma Sección Octava de la Sala de lo Contencioso Administrativo del Tribunal Superior de Justicia de Madrid, en Sentencia de 15 de julio de 1994, había resuelto una cuestión idéntica a la planteada en sentido favorable a las pretensiones del recurrente. Estima el recurrente que el desigual trato dispensado está desprovisto de justificación, sin que exista una proporción razonable entre los medios empleados y la finalidad perseguida. </w:t>
      </w:r>
    </w:p>
    <w:p w:rsidR="006854DA" w:rsidRDefault="006854DA" w:rsidP="006854DA">
      <w:pPr>
        <w:pStyle w:val="TextoNormal"/>
      </w:pPr>
      <w:r>
        <w:t xml:space="preserve">Por otra parte, también invoca la violación del art. 24.1 C.E., en su manifestación de denegación indebida de acceso a la jurisdicción. El recurrente pone de relieve que en ningún momento solicitó la anulación del acto por el que se le reconocía el derecho al percibo de las diferencias reclamadas, sino al contrario, el objeto de su petición fue la ejecución del mismo, para lo que estimaba necesario que el derecho fuera reconocido en Sentencia, único título con el que podía obligar a la Administración, por medio de la autoridad judicial, a ejecutar lo acordado, acudiendo, si fuera preciso, a la protección que para estos casos dispensa el Código Penal. </w:t>
      </w:r>
    </w:p>
    <w:p w:rsidR="006854DA" w:rsidRDefault="006854DA" w:rsidP="006854DA">
      <w:pPr>
        <w:pStyle w:val="TextoNormal"/>
      </w:pPr>
      <w:r>
        <w:t>Termina citando la STC 294/1994 que resuelve un supuesto que guarda gran similitud con el presente.</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fecha 12 de Junio de 1995, la Sección Cuarta de este Tribunal acordó admitir a trámite la demanda de amparo, y, en virtud de lo dispuesto en el art. 51 LOTC, requerir el envío de las actuaciones correspondientes al pleito antecedente, y solicitar el emplazamiento de los que fueron parte en el mismo.</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El Procurador don Luis Pidal Allendesalazar, en nombre de los herederos de don José García Cano, mediante escrito presentado ante este Tribunal el 28 de junio de 1995, comunicó el fallecimiento del mismo, y que sus herederos continuaban el procedimiento. </w:t>
      </w:r>
    </w:p>
    <w:p w:rsidR="006854DA" w:rsidRDefault="006854DA" w:rsidP="006854DA">
      <w:pPr>
        <w:pStyle w:val="TextoNormal"/>
      </w:pPr>
      <w:r>
        <w:t>Recibidas las actuaciones judiciales, y acreditada la fehaciencia de los extremos a que se refiere el punto anterior, mediante providencia de 16 de noviembre de 1995, se acusó recibo de aquellas, se tuvo por parte y personado en el procedimiento al procurador don Luis Pidal Allendesalazar en nombre de los herederos de don José García Cano, y de conformidad con lo preceptuado en el art. 52.1 de la LOTC, se otorgó un plazo común de veinte días al solicitante de amparo y al Ministerio Fiscal para que presentaran las oportunas alegaciones.</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El Abogado del Estado, que se había personado en este procedimiento mediante escrito de 21 de junio de 1995, solicitó en sus alegaciones la desestimación de la demanda de amparo. Tras manifestar en sus alegaciones, registradas el 5 de diciembre de 1995, que consideraba preciso el examen del expediente administrativo, se acordó reclamarlo por providencia de fecha 14 de diciembre de 1995, completando las alegaciones respecto a la </w:t>
      </w:r>
      <w:r>
        <w:lastRenderedPageBreak/>
        <w:t xml:space="preserve">posible violación del art. 24.1 C.E. mediante un nuevo escrito que tuvo su entrada en este Tribunal el 8 de marzo de 1997. </w:t>
      </w:r>
    </w:p>
    <w:p w:rsidR="006854DA" w:rsidRDefault="006854DA" w:rsidP="006854DA">
      <w:pPr>
        <w:pStyle w:val="TextoNormal"/>
      </w:pPr>
      <w:r>
        <w:t xml:space="preserve">Por lo que a la denunciada violación del art. 14 respecta, la Defensa del Estado niega que un solo precedente, la Sentencia de 15 de julio de 1994, pueda tenerse como término de comparación válido, pues la jurisprudencia constitucional viene exigiendo que el apartamiento inmotivado y arbitrario lo sea de una línea jurisprudencial consolidada (STC 133/1995, entre otras), sin que por otra parte exista identidad entre ambos casos, ya que en el de la Sentencia de 15 de julio de 1994, la reposición se dirigió no contra el acto expreso de reconocimiento de derechos, sino contra el presunto de denegación de diferencias, mientras que en el que motiva estas actuaciones la reposición se entiende planteada contra el acto de reconocimiento de derechos y de ahí se infiere la falta de legitimación. En definitiva, no aprecia la existencia de un voluntarismo selectivo en la resolución impugnada como fundamento de la desestimación, pues el razonamiento empleado en la misma no puede tacharse de arbitrario ilógico o infundado. </w:t>
      </w:r>
    </w:p>
    <w:p w:rsidR="006854DA" w:rsidRDefault="006854DA" w:rsidP="006854DA">
      <w:pPr>
        <w:pStyle w:val="TextoNormal"/>
      </w:pPr>
      <w:r>
        <w:t>En relación con la posible infracción del art. 24.1 C.E., manifestó que no podía tenerse por extemporáneo el recurso de reposición formulado por los recurrentes en vía administrativa ya que la notificación del mismo no cumplía los requisitos exigidos por el entonces vigente art. 79 de la L.P.A. No obstante, considera que no ha existido la infracción denunciada, pues el razonamiento de la Sentencia impugnada no puede tacharse de arbitrario, y se justifica por la imprecisión misma del recurso de reposición que la Sala entendió dirigido contra la resolución de 10 de diciembre de 1991, cuya legalidad fue el objeto de su análisis. En definitiva, no puede calificarse de arbitraria la decisión por la que no se siguen criterios tendentes a maximizar la protección jurisdiccional de una parte del recurso contencioso administrativo, que es el recurrente.</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El Ministerio Fiscal presentó sus alegaciones el 20 de diciembre de 1995, solicitando la desestimación de la demanda de amparo. </w:t>
      </w:r>
    </w:p>
    <w:p w:rsidR="006854DA" w:rsidRDefault="006854DA" w:rsidP="006854DA">
      <w:pPr>
        <w:pStyle w:val="TextoNormal"/>
      </w:pPr>
      <w:r>
        <w:t xml:space="preserve">No ha existido infracción del art. 24.1 C.E. en la medida en que la Sentencia es respetuosa con el derecho a la tutela judicial efectiva al haber acordado la desestimación del recurso por falta de legitimación para recurrir de forma razonada y fundada en Derecho. </w:t>
      </w:r>
    </w:p>
    <w:p w:rsidR="006854DA" w:rsidRDefault="006854DA" w:rsidP="006854DA">
      <w:pPr>
        <w:pStyle w:val="TextoNormal"/>
      </w:pPr>
      <w:r>
        <w:t>Por lo que a la denunciada violación del art. 14 C.E. se refiere, estima el Ministerio Público que tampoco el mismo ha resultado menoscabado por las siguientes razones: a) El carácter extemporáneo del recurso de reposición, cuestión que no aparece tratada en la Sentencia ofrecida como término de comparación. b) La falta de acreditación del apartamiento de una línea jurisprudencial consolidada. c) La constatación de que la discrepancia entre ambas Sentencias se debe a motivos de naturaleza distinta, pues en la de 1994 se esgrimieron razones de fondo, mientras que en la que es objeto de recurso, el rechazo de la pretensión se debe a razones de orden procesal (ATC 120/1995).</w:t>
      </w:r>
    </w:p>
    <w:p w:rsidR="006854DA" w:rsidRDefault="006854DA" w:rsidP="006854DA">
      <w:pPr>
        <w:pStyle w:val="TextoNormal"/>
      </w:pPr>
    </w:p>
    <w:p w:rsidR="006854DA" w:rsidRDefault="006854DA" w:rsidP="006854DA">
      <w:pPr>
        <w:pStyle w:val="TextoNormal"/>
      </w:pPr>
      <w:r w:rsidRPr="006854DA">
        <w:rPr>
          <w:rStyle w:val="NumeroAFNegritaCaracter"/>
        </w:rPr>
        <w:t>8</w:t>
      </w:r>
      <w:r>
        <w:t>. La recurrente, mediante escrito presentado el 12 de marzo de 1996, dio por reproducidos los motivos de recurso y fundamentos de derecho consignados en la demanda.</w:t>
      </w:r>
    </w:p>
    <w:p w:rsidR="006854DA" w:rsidRDefault="006854DA" w:rsidP="006854DA">
      <w:pPr>
        <w:pStyle w:val="TextoNormal"/>
      </w:pPr>
    </w:p>
    <w:p w:rsidR="006854DA" w:rsidRDefault="006854DA" w:rsidP="006854DA">
      <w:pPr>
        <w:pStyle w:val="TextoNormal"/>
      </w:pPr>
      <w:r w:rsidRPr="006854DA">
        <w:rPr>
          <w:rStyle w:val="NumeroAFNegritaCaracter"/>
        </w:rPr>
        <w:t>9</w:t>
      </w:r>
      <w:r>
        <w:t>. Mediante providencia de 13 de febrero de 1997, la Sección acordó conceder a las partes personadas un plazo, común de diez días para que emitieran informe sobre la concurrencia de la posible causa de inadmisión prevista en el art. 9.7 de la L.E.C. y 80 de la LOTC, dado que el recurrente inicial había fallecido al tiempo de interposición de la demanda de amparo.</w:t>
      </w:r>
    </w:p>
    <w:p w:rsidR="006854DA" w:rsidRDefault="006854DA" w:rsidP="006854DA">
      <w:pPr>
        <w:pStyle w:val="TextoNormal"/>
      </w:pPr>
    </w:p>
    <w:p w:rsidR="006854DA" w:rsidRDefault="006854DA" w:rsidP="006854DA">
      <w:pPr>
        <w:pStyle w:val="TextoNormal"/>
      </w:pPr>
      <w:r w:rsidRPr="006854DA">
        <w:rPr>
          <w:rStyle w:val="NumeroAFNegritaCaracter"/>
        </w:rPr>
        <w:t>10</w:t>
      </w:r>
      <w:r>
        <w:t>. El Procurador de los recurrentes, en escrito que tuvo su entrada en este Tribunal el 28 de febrero de 1997, manifestó que la circunstancia del fallecimiento de don José García Cano, le era desconocida al tiempo de redactar la demanda de amparo, por lo que ésta se interpuso a su nombre para evitar que por razón del transcurso del plazo de caducidad se perdiera el derecho a reclamar. Tras diversas gestiones, tras contactar con los hijos del recurrente, éstos consideraron oportuno continuar con el procedimiento, lo que se comunicó al Tribunal.</w:t>
      </w:r>
    </w:p>
    <w:p w:rsidR="006854DA" w:rsidRDefault="006854DA" w:rsidP="006854DA">
      <w:pPr>
        <w:pStyle w:val="TextoNormal"/>
      </w:pPr>
    </w:p>
    <w:p w:rsidR="006854DA" w:rsidRDefault="006854DA" w:rsidP="006854DA">
      <w:pPr>
        <w:pStyle w:val="TextoNormal"/>
      </w:pPr>
      <w:r w:rsidRPr="006854DA">
        <w:rPr>
          <w:rStyle w:val="NumeroAFNegritaCaracter"/>
        </w:rPr>
        <w:t>11</w:t>
      </w:r>
      <w:r>
        <w:t>. El Ministerio Fiscal, mediante escrito de fecha 10 de marzo de 1997, entiende que no resulta de aplicación al caso el art. 9.7 de la L.E.C., pues a la muerte del poderdante, sus herederos continuaron con la reclamación.</w:t>
      </w:r>
    </w:p>
    <w:p w:rsidR="006854DA" w:rsidRDefault="006854DA" w:rsidP="006854DA">
      <w:pPr>
        <w:pStyle w:val="TextoNormal"/>
      </w:pPr>
    </w:p>
    <w:p w:rsidR="006854DA" w:rsidRDefault="006854DA" w:rsidP="006854DA">
      <w:pPr>
        <w:pStyle w:val="TextoNormal"/>
      </w:pPr>
      <w:r w:rsidRPr="006854DA">
        <w:rPr>
          <w:rStyle w:val="NumeroAFNegritaCaracter"/>
        </w:rPr>
        <w:t>12</w:t>
      </w:r>
      <w:r>
        <w:t xml:space="preserve">. El Abogado del Estado, mediante escrito presentado el 26 de febrero de 1997, se pronunció en contra de la estimación de la causa de inadmisión planteada. </w:t>
      </w:r>
    </w:p>
    <w:p w:rsidR="006854DA" w:rsidRDefault="006854DA" w:rsidP="006854DA">
      <w:pPr>
        <w:pStyle w:val="TextoNormal"/>
      </w:pPr>
      <w:r>
        <w:t xml:space="preserve">Tras poner de manifiesto que, efectivamente, según se desprende del análisis de las actuaciones, el recurrente había fallecido al tiempo de interponerse, en su nombre, el recurso de amparo y los herederos otorgaron poder en favor del Procurador con posterioridad a la interposición del recurso, lo cierto es que no aprecia en la conducta procesal del Abogado y Procurador intervinientes mala fe que determine la inadmisión de la demanda (STC 7/1997). En cualquier caso, estima de dudosa aplicación el art. 9.7 de la L.E.C., pues en la demanda de amparo se invocó una representación inexistente, sin perjuicio de que pudiera alegarse que la causa de inadmisión pudiera ser aplicada a fortiori, al no haber existido nunca la representación pretendida. Así las cosas, estima que en caso de que el Tribunal se decante por dar un peso decisivo a la incorrecta identificación del demandante, a lo que expresamente se opone, debería fundarse en la concurrencia de un defecto insubsanable en el modo de formular la demanda, previsto en el art. 49. 1 y 2 de la LOTC. </w:t>
      </w:r>
    </w:p>
    <w:p w:rsidR="006854DA" w:rsidRDefault="006854DA" w:rsidP="006854DA">
      <w:pPr>
        <w:pStyle w:val="TextoNormal"/>
      </w:pPr>
      <w:r>
        <w:t xml:space="preserve">No obstante, y dado el carácter retroactivo de los efectos de la aceptación de la herencia, la Sentencia dictada en sede contencioso administrativa, ya muerto don José García Cano, repercutiría realmente sobre sus herederos aunque en esa sede jurisdiccional no se hubiera producido la sucesión procesal, por lo que la pretendida vulneración de derechos fundamentales imputada a la Sentencia, ya se produjo directamente en cabeza de los herederos de don José. </w:t>
      </w:r>
    </w:p>
    <w:p w:rsidR="006854DA" w:rsidRDefault="006854DA" w:rsidP="006854DA">
      <w:pPr>
        <w:pStyle w:val="TextoNormal"/>
      </w:pPr>
      <w:r>
        <w:t xml:space="preserve">El Abogado del Estado concluye afirmando que, a pesar de que uno no puede ratificar lo que no ha sido hecho en su nombre, el heredero sí puede ratificar lo que se hizo a nombre del difunto, por lo que no cree imposible entender que el otorgamiento del poder por los herederos para mantener la demanda de amparo alcanza, por su cualidad de tales, a ratificar la presentación de la demanda de amparo a nombre de su causante, que así debe considerarse válida y eficazmente presentada, sin mas que entender que lo fue a nombre de sus herederos, sobre los que realmente recayó el supuesto agravio. Por otra parte, mantuvo la tesis de que la resolución impugnada, que además de la cuestión procesal examinó el fondo de la resolución administrativa y la declaró ajustada a derecho, no puede tacharse de arbitraria, ya que razona de forma ponderada la concurrencia de una causa de inadmisión que se apoya en una norma legal. </w:t>
      </w:r>
    </w:p>
    <w:p w:rsidR="006854DA" w:rsidRDefault="006854DA" w:rsidP="006854DA">
      <w:pPr>
        <w:pStyle w:val="TextoNormal"/>
      </w:pPr>
      <w:r>
        <w:t>Finalmente, mediante escrito de 8 de marzo de 1997, expresamente descartó que pudiera calificarse de extemporánea la interposición del recurso de reposición previo al conten</w:t>
      </w:r>
      <w:r>
        <w:lastRenderedPageBreak/>
        <w:t>cioso administrativo, como incidentalmente se afirmó en la Sentencia, pues el análisis de las actuaciones revela que el referido escrito se presentó en plazo hábil.</w:t>
      </w:r>
    </w:p>
    <w:p w:rsidR="006854DA" w:rsidRDefault="006854DA" w:rsidP="006854DA">
      <w:pPr>
        <w:pStyle w:val="TextoNormal"/>
      </w:pPr>
    </w:p>
    <w:p w:rsidR="006854DA" w:rsidRDefault="006854DA" w:rsidP="006854DA">
      <w:pPr>
        <w:pStyle w:val="TextoNormal"/>
      </w:pPr>
      <w:r w:rsidRPr="006854DA">
        <w:rPr>
          <w:rStyle w:val="NumeroAFNegritaCaracter"/>
        </w:rPr>
        <w:t>13</w:t>
      </w:r>
      <w:r>
        <w:t>. Por providencia de 26 de junio de 1997, se señaló para deliberación y votación de la presente Sentencia el día 30 de junio siguiente, quedando concluida en el día de la fecha.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Constituye el objeto del presente recurso de amparo, la impugnación de la Sentencia dictada el 14 de enero de 1995 por la Sala de lo Contencioso Administrativo del Tribunal Superior de Justicia de Madrid, en virtud de la cual se desestimó por falta de legitimación, la demanda interpuesta contra la resolución del Ministerio de Defensa por la cual se reconoció a la parte actora, sin hacerlo efectivo, el derecho al percibo de una diferencia de haberes fruto de la aplicación de la ley 35/1980 sobre mutilados de guerra.</w:t>
      </w:r>
    </w:p>
    <w:p w:rsidR="006854DA" w:rsidRDefault="006854DA" w:rsidP="006854DA">
      <w:pPr>
        <w:pStyle w:val="TextoNormal"/>
      </w:pPr>
      <w:r>
        <w:t>Con carácter previo al análisis de la pretensión formulada resulta necesario precisar que no procede en esta fase procesal inadmitir el recurso de amparo por la circunstancia de que al tiempo de interponerse la correspondiente demanda, quien había instado el procedimiento ante la jurisdicción y figuraba como peticionario del amparo ante este Tribunal, hubiera ya fallecido. Si bien una consideración abstracta de la cuestión nos conduciría inexorablemente al rechazo de la demanda, tal y como afirma el Abogado del Estado pese a que no se puede ratificar lo que no ha sido hecho en nombre propio, el heredero sí puede ratificar lo que se hizo a nombre del difunto, por lo que no cree imposible entender que el otorgamiento del poder por los herederos para mantener la demanda de amparo alcanza, por su cualidad de tales, a ratificar la presentación de dicha demanda a nombre de su causante, que así debe considerarse válida y eficazmente presentada, sin más que entender que lo fue a nombre de sus herederos, sobre los que realmente recayó el supuesto agravio.  Por otra parte, el detenido análisis de las actuaciones revela que en ningún momento existió mala fe por los hijos del causante, auténticos demandantes y continuadores del proceso, extremo éste que también fue expresamente reconocido por la Abogacía del Estado, sin que tampoco el Ministerio Fiscal tuviera nada que objetar al respecto.</w:t>
      </w:r>
    </w:p>
    <w:p w:rsidR="006854DA" w:rsidRDefault="006854DA" w:rsidP="006854DA">
      <w:pPr>
        <w:pStyle w:val="TextoNormal"/>
      </w:pPr>
    </w:p>
    <w:p w:rsidR="006854DA" w:rsidRDefault="006854DA" w:rsidP="006854DA">
      <w:pPr>
        <w:pStyle w:val="TextoNormal"/>
      </w:pPr>
      <w:r w:rsidRPr="006854DA">
        <w:rPr>
          <w:rStyle w:val="NumeroAFNegritaCaracter"/>
        </w:rPr>
        <w:t>2</w:t>
      </w:r>
      <w:r>
        <w:t>. En la STC 294/1994 este Tribunal tuvo la ocasión de resolver, desde la óptica del art. 24.1 C.E., una cuestión sustancialmente idéntica a la presente, por lo que será éste el primer precepto objeto de valoración en nuestra resolución, ya que en caso de estimarse el recurso resultaría innecesario pronunciarse sobre la también alegada violación del art. 14 C.E.</w:t>
      </w:r>
    </w:p>
    <w:p w:rsidR="006854DA" w:rsidRDefault="006854DA" w:rsidP="006854DA">
      <w:pPr>
        <w:pStyle w:val="TextoNormal"/>
      </w:pPr>
      <w:r>
        <w:t xml:space="preserve">Declaramos en la STC 294/1994 (fundamento jurídico 6º) que "al considerar que, en el caso no existe cuestión litigiosa se privó a los recurrentes de un pronunciamiento jurisdiccional sobre el fondo de su pretensión y se impide la revisión jurisdiccional del comportamiento pasivo de la Administración mediante la adopción de medidas adecuadas para el pleno restablecimiento de una situación jurídica individualizada cuya legalidad la Administración había reconocido. Se deja, así, a los recurrentes inermes frente a la Administración y a las expensas de que ésta quiera, voluntariamente, hacer frente al cumplimiento de una obligación pecuniaria nacida de la Ley que exige, sin embargo, la previa existencia de crédito presupuestario suficiente. Situación que resulta incompatible con el derecho fundamental a la tutela judicial efectiva reconocido por la Constitución, pues la tensión entre </w:t>
      </w:r>
      <w:r>
        <w:lastRenderedPageBreak/>
        <w:t>la legalidad presupuestaria y la legalidad administrativa, no puede dar lugar a que el principio de legalidad presupuestaria deje de hecho sin contenido un derecho que la Constitución reconoce y garantiza".</w:t>
      </w:r>
    </w:p>
    <w:p w:rsidR="006854DA" w:rsidRDefault="006854DA" w:rsidP="006854DA">
      <w:pPr>
        <w:pStyle w:val="TextoNormal"/>
      </w:pPr>
      <w:r>
        <w:t>En atención a lo expuesto, y habida cuenta la identidad sustancial entre uno y otro supuesto, procede dictar Sentencia estimando la demanda y otorgando el amparo solicitado.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y, en su virtud:</w:t>
      </w:r>
    </w:p>
    <w:p w:rsidR="006854DA" w:rsidRDefault="006854DA" w:rsidP="006854DA">
      <w:pPr>
        <w:pStyle w:val="TextoNormal"/>
      </w:pPr>
      <w:r>
        <w:t>1º Reconocer a los recurrentes su derecho a la tutela judicial efectiva.</w:t>
      </w:r>
    </w:p>
    <w:p w:rsidR="006854DA" w:rsidRDefault="006854DA" w:rsidP="006854DA">
      <w:pPr>
        <w:pStyle w:val="TextoNormal"/>
      </w:pPr>
      <w:r>
        <w:t>2º Declarar la nulidad de la Sentencia dictada el 14 de enero de 1995 por la Sala de lo contencioso administrativo del Tribunal Superior de Justicia de Madrid, objeto de este recurso de amparo.</w:t>
      </w:r>
    </w:p>
    <w:p w:rsidR="006854DA" w:rsidRDefault="006854DA" w:rsidP="006854DA">
      <w:pPr>
        <w:pStyle w:val="TextoNormal"/>
      </w:pPr>
      <w:r>
        <w:t>3º Restablecer a los recurrentes en la integridad de su derecho fundamental y, a tal efecto, retrotraer las actuaciones al momento procesal oportuno para que el órgano judicial dicte nueva resolución.</w:t>
      </w:r>
    </w:p>
    <w:p w:rsidR="006854DA" w:rsidRDefault="006854DA" w:rsidP="006854DA">
      <w:pPr>
        <w:pStyle w:val="TextoNormal"/>
      </w:pPr>
    </w:p>
    <w:p w:rsidR="006854DA" w:rsidRDefault="006854DA" w:rsidP="006854DA">
      <w:pPr>
        <w:pStyle w:val="TextoNormal"/>
      </w:pPr>
      <w:r>
        <w:t>Publíquese esta Sentencia en el " Boletín Oficial del Estado".</w:t>
      </w:r>
    </w:p>
    <w:p w:rsidR="006854DA" w:rsidRDefault="006854DA" w:rsidP="006854DA">
      <w:pPr>
        <w:pStyle w:val="TextoNormal"/>
      </w:pPr>
      <w:r>
        <w:t>Dada en Madrid, a treinta de junio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6" w:name="SENTENCIA_1997_120"/>
      <w:r>
        <w:lastRenderedPageBreak/>
        <w:t>SENTENCIA 120/1997, de 1 de julio de 1997</w:t>
      </w:r>
    </w:p>
    <w:bookmarkEnd w:id="36"/>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ECLI:ES:TC:1997:120</w:t>
      </w:r>
    </w:p>
    <w:p w:rsidR="006854DA" w:rsidRDefault="006854DA" w:rsidP="006854DA">
      <w:pPr>
        <w:pStyle w:val="SntesisDescriptiva"/>
      </w:pPr>
    </w:p>
    <w:p w:rsidR="006854DA" w:rsidRDefault="006854DA" w:rsidP="006854DA">
      <w:pPr>
        <w:pStyle w:val="SntesisDescriptiva"/>
      </w:pPr>
      <w:r>
        <w:t>Recurso de amparo 1.744/1994. Contra Auto dictado por la Audiencia Provincial de Zaragoa y contra Autos del Juzgado de Primera Instancia e Instrucción de Daroca recaídos en diligencias previas.</w:t>
      </w:r>
    </w:p>
    <w:p w:rsidR="006854DA" w:rsidRDefault="006854DA" w:rsidP="006854DA">
      <w:pPr>
        <w:pStyle w:val="SntesisDescriptiva"/>
      </w:pPr>
    </w:p>
    <w:p w:rsidR="006854DA" w:rsidRDefault="006854DA" w:rsidP="006854DA">
      <w:pPr>
        <w:pStyle w:val="SntesisAnaltica"/>
      </w:pPr>
      <w:r>
        <w:t>Supuesta vulneración del derecho a la tutela judicial efectiva: archivo de diligencias previas no lesivo del derecho.</w:t>
      </w:r>
    </w:p>
    <w:p w:rsidR="006854DA" w:rsidRDefault="006854DA" w:rsidP="006854DA">
      <w:pPr>
        <w:pStyle w:val="SntesisAnaltica"/>
      </w:pPr>
    </w:p>
    <w:p w:rsidR="006854DA" w:rsidRDefault="006854DA" w:rsidP="006854DA">
      <w:pPr>
        <w:pStyle w:val="Extracto"/>
      </w:pPr>
      <w:r>
        <w:t>1.</w:t>
      </w:r>
      <w:r>
        <w:tab/>
        <w:t>Este Tribunal ha manifestado reiteradamente que el derecho a la tutela judicial efectiva no otorga a sus titulares un derecho incondicionado a la plena sustanciación del proceso (SSTC 351/1993 y 85/1997, entre otras muchas); así como que «la decisión judicial de archivar las actuaciones penales, por estimar que los hechos del proceso no son constitutivos de infracción penal, no supone, en sí misma considerada, infracción del derecho a obtener la tutela judicial efectiva del art. 24.1 de la C.E.» (STC 203/1989), habiendo igualmente declarado la legitimidad de los Autos de inadmisión de la «notitia criminis», los cuales pueden dictarse «inaudita parte» (STC 37/1993) [F.J. 2].</w:t>
      </w:r>
    </w:p>
    <w:p w:rsidR="006854DA" w:rsidRDefault="006854DA" w:rsidP="006854DA">
      <w:pPr>
        <w:pStyle w:val="Extracto"/>
      </w:pPr>
    </w:p>
    <w:p w:rsidR="006854DA" w:rsidRDefault="006854DA" w:rsidP="006854DA">
      <w:pPr>
        <w:pStyle w:val="Extracto"/>
      </w:pPr>
      <w:r>
        <w:t>2.</w:t>
      </w:r>
      <w:r>
        <w:tab/>
        <w:t>Hemos de comenzar recordando, para reiterarla en el presente caso, la doctrina de la STC 217/1994 según la cual «el derecho a que se proceda por el órgano judicial a la designación de Abogado y Procurador del turno de oficio, únicamente despliega toda su eficacia en relación con el imputado en un proceso penal, siendo en todos los demás casos un derecho relativo sometido a diversos condicionamientos procesales y materiales, entre ellos, los previstos en el art. 119 de la L.E.Crim., en el que se requiere la existencia de un hecho punible y de un perjuicio derivado directamente del mismo (ATC 365/1992) [F.J. 4].</w:t>
      </w:r>
    </w:p>
    <w:p w:rsidR="006854DA" w:rsidRDefault="006854DA" w:rsidP="006854DA">
      <w:pPr>
        <w:pStyle w:val="Extracto"/>
      </w:pPr>
    </w:p>
    <w:p w:rsidR="006854DA" w:rsidRDefault="006854DA" w:rsidP="006854DA">
      <w:pPr>
        <w:pStyle w:val="Extracto"/>
      </w:pPr>
      <w:r>
        <w:t>3.</w:t>
      </w:r>
      <w:r>
        <w:tab/>
        <w:t>Ciertamente, las resoluciones jurisdiccionales objeto del presente proceso constitucional presentan una motivación escueta. No obstante, en atención a las particularidades del caso, no puede considerarse contraria al derecho fundamental que reconoce el art. 24.1 C.E. En efecto, interesa recordar una vez más que los órganos jurisdiccionales no realizaron actividad instructora alguna que eventualmente pudiese condicionar sus decisiones, limitándose exclusivamente a constatar un error patente y del que se deducía con notoria evidencia la irrelevancia penal del hecho denunciado. En tales circunstancias, es constitucionalmente legítimo que el Juzgado de Instrucción motivase su decisión de archivo de las diligencias previas mediante la escueta indicación de que los hechos denunciados no eran constitutivos de infracción penal, y que además no se consideraba necesaria la práctica de diligencia alguna [F.J.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lastRenderedPageBreak/>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1.744/94 interpuesto por don Eladio Fernández Otero, representado por el Procurador don Ignacio Puig de la Bellacasa y Aguirre y bajo la dirección de la Letrada doña María Concepción Fernández Piñeiro, contra el Auto núm. 201/94, dictado por la Audiencia Provincial de Zaragoza el 2 de mayo de 1994, y contra los Autos del Juzgado de Primera Instancia e Instrucción de Daroca, de 17 de febrero y de 11 de abril de 1994, recaídos en las diligencias previas núm. 47/94. Ha intervenido el Ministerio Fiscal y el Abogado del Estado. Ha sido Ponente el Magistrado don Pablo García Manzano,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con fecha de entrada en el Registro General de este Tribunal el 20 de mayo de 1994, don Eladio Fernández Otero, interno a la sazón en el Centro Penitenciario de Daroca, manifestaba su deseo de interponer recurso de amparo contra las resoluciones a las que se ha hecho mención en el encabezamiento, al tiempo que solicitaba el nombramiento por el turno de oficio de profesionales que le asistieran y representasen en el recurso de amparo, por carecer de medios económicos para comparecer con Abogado y Procurador de libre designación.</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Tras la excusa para formalizar demanda por el Abogado designado de oficio y el dictamen del Ilustre Colegio de Abogados, emitido de acuerdo con lo preceptuado en el art. 38 L.E.C. y en el que se consideraba sostenible la pretensión del recurrente, se formalizó demanda de amparo, que tuvo entrada en este Tribunal el 22 de junio de 1995. </w:t>
      </w:r>
    </w:p>
    <w:p w:rsidR="006854DA" w:rsidRDefault="006854DA" w:rsidP="006854DA">
      <w:pPr>
        <w:pStyle w:val="TextoNormal"/>
      </w:pPr>
      <w:r>
        <w:t xml:space="preserve">En la demanda de amparo se invocan como vulnerados el derecho a la tutela judicial efectiva (art. 24.1 C.E.), por falta de motivación de las resoluciones impugnadas, pues éstas no ofrecían razonamiento alguno que fundamentase la afirmada irrelevancia penal de los hechos denunciados. Al Auto de la Audiencia Provincial de Zaragoza, de 2 de mayo de 1994, le imputa además el recurrente la lesión del derecho de defensa y a la asistencia letrada (art. 24.2 C.E.), al no haberle sido designado Abogado y Procurador de oficio, a pesar de haberlo solicitado al formular recurso de apelación. </w:t>
      </w:r>
    </w:p>
    <w:p w:rsidR="006854DA" w:rsidRDefault="006854DA" w:rsidP="006854DA">
      <w:pPr>
        <w:pStyle w:val="TextoNormal"/>
      </w:pPr>
      <w:r>
        <w:t>El solicitante de amparo, en el escrito inicial por el que manifestaba su intención de interponer recurso de amparo, además de las quejas reflejadas en la demanda, denunciaba que el Juzgado de Instrucción hubiera decretado el archivo sin darle la oportunidad previa de exponer los hechos que pretendía denunciar.</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Pueden citarse como relevantes para la resolución del presente recurso los siguientes hechos: </w:t>
      </w:r>
    </w:p>
    <w:p w:rsidR="006854DA" w:rsidRDefault="006854DA" w:rsidP="006854DA">
      <w:pPr>
        <w:pStyle w:val="TextoNormal"/>
      </w:pPr>
      <w:r>
        <w:t xml:space="preserve">a) El 9 de febrero de 1994 el recurrente envió, por mediación del Establecimiento Penitenciario de Daroca, un escrito al Juzgado de Primera Instancia e Instrucción de Daroca manifestando su deseo de formular denuncia por estafa contra la Dirección del Centro Penitenciario, y solicitando que se posibilitara su traslado a ese Juzgado, o bien que el Juez se trasladara al Centro Penitenciario a fin de formalizar la denuncia. El Director del Centro Penitenciario, junto a dicho escrito, remite al Juzgado de Instrucción un informe de la Oficina de Administración del Establecimiento, así como una copia de la hoja de peculio del interno. Según dicho informe, el 10 de febrero de 1994 se habría detectado el error que habría dado lugar a la denuncia de Eladio Fernández Otero, error consistente en descontarle en su cuenta de peculio la cantidad de 5.728 pesetas, cuando en realidad debía haberse descontado a otro interno, de similares apellidos, Alfonso Hernández Otero. </w:t>
      </w:r>
    </w:p>
    <w:p w:rsidR="006854DA" w:rsidRDefault="006854DA" w:rsidP="006854DA">
      <w:pPr>
        <w:pStyle w:val="TextoNormal"/>
      </w:pPr>
      <w:r>
        <w:t xml:space="preserve">b) El 17 de febrero de 1994, dicho Juzgado dictó Auto en el que se decretaba el archivo de las diligencias previas núm. 47/96. Su fundamento jurídico segundo era del siguiente tenor: "Los hechos que han motivado la incoación de las presentes diligencias no se estiman constitutivos de infracción penal alguna y, no estimándose necesaria la práctica de nuevas diligencias, procede, de conformidad con lo establecido en la regla 1ª del párrafo 5º de la L.E.Crim., acordar el archivo". </w:t>
      </w:r>
    </w:p>
    <w:p w:rsidR="006854DA" w:rsidRDefault="006854DA" w:rsidP="006854DA">
      <w:pPr>
        <w:pStyle w:val="TextoNormal"/>
      </w:pPr>
      <w:r>
        <w:t xml:space="preserve">c) Contra la anterior resolución formuló el actor recurso de reposición, en el que mostraba su disconformidad con el archivo al no habérsele dado la oportunidad de concretar los hechos que se pretendía denunciar, quejándose del trato discriminatorio en relación con la Administración Penitenciaria, la cual sí había tenido ocasión de exponer su versión de los hechos. Insiste en el carácter delictivo de las detracciones efectuadas en su cuenta, sin que sea relevante su reintegro, puesto que éste se produjo con posterioridad a su denuncia y no excluye las responsabilidades en que hubiera podido incurrir el Centro Penitenciario. </w:t>
      </w:r>
    </w:p>
    <w:p w:rsidR="006854DA" w:rsidRDefault="006854DA" w:rsidP="006854DA">
      <w:pPr>
        <w:pStyle w:val="TextoNormal"/>
      </w:pPr>
      <w:r>
        <w:t xml:space="preserve">d) El 25 de febrero de 1994, el Juzgado de Instrucción de Daroca dictó providencia según la cual no ha lugar a la admisión del recurso de reposición formulado, toda vez que contra la resolución recurrida "sólo puede ejercitarse recurso de reforma y si no fuere estimado el de queja". </w:t>
      </w:r>
    </w:p>
    <w:p w:rsidR="006854DA" w:rsidRDefault="006854DA" w:rsidP="006854DA">
      <w:pPr>
        <w:pStyle w:val="TextoNormal"/>
      </w:pPr>
      <w:r>
        <w:t xml:space="preserve">e) Contra la anterior resolución el interno presentó un escrito al que denomina recurso de reforma. En él discrepa de la contestación recibida, alegando que el Auto de 17 de febrero de 1994 no contenía información acerca de los recursos procedentes. Además reiteraba sus quejas relativas al trato discriminatorio recibido en relación con la Administración Penitenciaria, que sí pudo alegar lo que estimaba pertinente, haciendo hincapié en el carácter delictivo de los hechos denunciados, así como a la existencia de pruebas en su poder que así lo acreditarían. Mediante "otrosí" designaba al Letrado don Pedro Santiesteve Rocher, "a efectos de representación legal en el tema". </w:t>
      </w:r>
    </w:p>
    <w:p w:rsidR="006854DA" w:rsidRDefault="006854DA" w:rsidP="006854DA">
      <w:pPr>
        <w:pStyle w:val="TextoNormal"/>
      </w:pPr>
      <w:r>
        <w:t xml:space="preserve">f) El 11 de abril de 1994, el Juzgado de Primera Instancia e Instrucción de Daroca dictó Auto manteniendo la resolución impugnada, pues "no se deducen de lo alegado en el escrito de interposición razones que desvirtúen cuantas se han tenido en cuenta al dictar el Auto cuya reforma se pide". </w:t>
      </w:r>
    </w:p>
    <w:p w:rsidR="006854DA" w:rsidRDefault="006854DA" w:rsidP="006854DA">
      <w:pPr>
        <w:pStyle w:val="TextoNormal"/>
      </w:pPr>
      <w:r>
        <w:t xml:space="preserve">g) Mediante escrito de 17 de abril de 1994, el solicitante de amparo interpuso recurso de apelación en el que, además de remitirse a lo ya expuesto en sus anteriores escritos, denunciaba la ausencia de fundamentación jurídica de las resoluciones recurridas y que éstas no contuvieran o reseñaran los informes del Ministerio Fiscal y de la Dirección del </w:t>
      </w:r>
      <w:r>
        <w:lastRenderedPageBreak/>
        <w:t xml:space="preserve">Establecimiento Penitenciario, lo que le habría generado indefensión por imposibilidad de acceder a las actuaciones y, por consiguiente, de contradecir tales informes. Mediante otrosí solicitaba el nombramiento de Abogado y Procurador de oficio. </w:t>
      </w:r>
    </w:p>
    <w:p w:rsidR="006854DA" w:rsidRDefault="006854DA" w:rsidP="006854DA">
      <w:pPr>
        <w:pStyle w:val="TextoNormal"/>
      </w:pPr>
      <w:r>
        <w:t>h) La Sección Tercera de la Audiencia Provincial de Zaragoza dictó Auto, el 2 de mayo de 1994, en el que confirmaba las resoluciones recurridas por sus mismos razonamientos, que consideraba no desvirtuados.</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24 de enero de 1996, la Sección Segunda de este Tribunal acordó admitir a trámite la demanda de amparo y, a tenor de lo dispuesto en el art. 51 de la LOTC, requerir atentamente a la Audiencia Provincial de Zaragoza y Juzgado de Instrucción de Daroca la remisión, respectivamente, del testimonio del rollo 46/94 y de las diligencias previas 47/94. Asimismo, acordó emplazar al Abogado del Estado para que, en el plazo de diez días, pudiera comparecer en el proceso, de estimarlo procedente.</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26 de febrero de 1996 la Sección acordó tener por recibidos los testimonios de las actuaciones requeridas y tener por personado y parte al Abogado del Estado. A tenor de lo dispuesto en el art. 52 LOTC, acordó dar vista de las actuaciones por un plazo común de veinte días al Ministerio Fiscal, al Abogado del Estado y al Procurador del recurrente, para que en dicho término pudieran presentar las alegaciones que a su derecho conviniesen.</w:t>
      </w:r>
    </w:p>
    <w:p w:rsidR="006854DA" w:rsidRDefault="006854DA" w:rsidP="006854DA">
      <w:pPr>
        <w:pStyle w:val="TextoNormal"/>
      </w:pPr>
    </w:p>
    <w:p w:rsidR="006854DA" w:rsidRDefault="006854DA" w:rsidP="006854DA">
      <w:pPr>
        <w:pStyle w:val="TextoNormal"/>
      </w:pPr>
      <w:r w:rsidRPr="006854DA">
        <w:rPr>
          <w:rStyle w:val="NumeroAFNegritaCaracter"/>
        </w:rPr>
        <w:t>6</w:t>
      </w:r>
      <w:r>
        <w:t>. Mediante escrito de 21 de marzo de 1996, el Procurador del recurrente solicitaba se tuvieran por reproducidos los argumentos contenidos en el dictamen del Colegio de Abogados sobre la sostenibilidad de la pretensión y de los esgrimidos en la demanda de amparo.</w:t>
      </w:r>
    </w:p>
    <w:p w:rsidR="006854DA" w:rsidRDefault="006854DA" w:rsidP="006854DA">
      <w:pPr>
        <w:pStyle w:val="TextoNormal"/>
      </w:pPr>
    </w:p>
    <w:p w:rsidR="006854DA" w:rsidRDefault="006854DA" w:rsidP="006854DA">
      <w:pPr>
        <w:pStyle w:val="TextoNormal"/>
      </w:pPr>
      <w:r w:rsidRPr="006854DA">
        <w:rPr>
          <w:rStyle w:val="NumeroAFNegritaCaracter"/>
        </w:rPr>
        <w:t>7</w:t>
      </w:r>
      <w:r>
        <w:t>. El 21 de marzo de 1996 tuvo entrada en el Registro General de este Tribunal el escrito de alegaciones del Abogado del Estado, en el que, tras señalar que el interés de la Administración como parte procesal consiste en propugnar una aplicación de las reglas procesales exenta de infracciones constitucionales, ponía de manifiesto la práctica identidad del presente recurso de amparo y el núm. 1.907/94, estimado mediante STC 111/1995. Concluía el Abogado del Estado precisando que una eventual estimación del amparo en el presente recurso no debe ser interpretada ni como un reconocimiento de que los hechos denunciados puedan ser constitutivos de delito, ni tampoco como necesidad de que el Juzgado adopte otras diligencias distintas a las constitucionalmente indispensables.</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Ministerio Fiscal presentó su escrito de alegaciones el 25 de marzo de 1996. Comenzaba su informe analizando la denunciada lesión del art. 24.1 C.E. por falta de motivación suficiente de los Autos impugnados, motivo del amparo que interesaba fuera desestimado. A su juicio, la motivación ofrecida por el Juzgado de Instrucción para el archivo decretado ha de reputarse suficiente, sobre todo a la vista del informe remitido por el Centro Penitenciario sobre los hechos denunciados. </w:t>
      </w:r>
    </w:p>
    <w:p w:rsidR="006854DA" w:rsidRDefault="006854DA" w:rsidP="006854DA">
      <w:pPr>
        <w:pStyle w:val="TextoNormal"/>
      </w:pPr>
      <w:r>
        <w:t xml:space="preserve">Por el contrario, propugnaba la estimación del recurso en cuanto invoca el derecho a la asistencia letrada (art. 24.2 C.E.), estimación que se derivaría de la aplicación al presente caso de la doctrina constitucional al respecto, de la que el Ministerio Fiscal destaca las SSTC 208/1992 y 132/1992. Del sustrato fáctico del recurso subraya el Ministerio Público el hecho de que ni el Juzgado de Instrucción atendió la petición de designación de Letrado </w:t>
      </w:r>
      <w:r>
        <w:lastRenderedPageBreak/>
        <w:t>de libre elección efectuada en el escrito de interposición del recurso de reforma, ni la Audiencia Provincial dió respuesta alguna a la solicitud de nombramiento de Abogado de oficio que defendiera al recurrente en apelación. A ello se superpondría el singular proceder de ambos órganos jurisdiccionales, que han admitido a trámite, tramitado y resuelto los recursos sin asistencia de Letrado, en contra de lo que previene el art. 221 L.E.Crim.</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fecha 30 de junio de 1997 se señaló para la deliberación y votación del presente recurso de amparo el día 1 de julio del mismo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presente recurso de amparo tiene por objeto las resoluciones judiciales dictadas en las diligencias previas núm. 47/94, incoadas por el Juzgado de Instrucción de Daroca en virtud de denuncia del demandante don Eladio Fernández Otero, a la sazón interno en el Establecimiento Penitenciario de dicha localidad, en las que se acordó, por Auto del referido Juzgado de 17 de febrero de 1994, el archivo de tales diligencias, pronunciamiento confirmado por el Instructor al desestimar el recurso de reforma mediante Auto de 11 de abril de 1994 y por la Audiencia Provincial de Zaragoza, Sección Tercera, en su Auto de 2 de mayo de 1994, desestimatorio del recurso de apelación interpuesto frente a las resoluciones del Juzgado.</w:t>
      </w:r>
    </w:p>
    <w:p w:rsidR="006854DA" w:rsidRDefault="006854DA" w:rsidP="006854DA">
      <w:pPr>
        <w:pStyle w:val="TextoNormal"/>
      </w:pPr>
      <w:r>
        <w:t>A las mencionadas resoluciones judiciales se les imputa la lesión del derecho que reconoce el art. 24.1 C.E., al haber acordado el archivo de las actuaciones sin dar oportunidad al denunciante, hoy solicitante de amparo, de concretar los hechos objeto de su denuncia y, en consecuencia, con supuesta vulneración de su derecho de acceso, en concepto de ofendido o perjudicado por la infracción penal, a la jurisdicción. De modo más singularizado, en cuanto referido al Auto de la Audiencia Provincial de Zaragoza de 2 de mayo de 1994, la queja objeto de este proceso pretende la declaración de reconocimiento del derecho del demandante a la defensa y asistencia letrada, imputando a tal resolución judicial la violación del art. 24.2 C.E., por no habérsele nombrado Abogado y Procurador de oficio, pese a haberlo solicitado expresamente en el escrito de interposición del recurso de apelación.  Finalmente, aduce el demandante de amparo la vulneración de su derecho a la tutela judicial efectiva sin indefensión (art. 24.2 C.E.)  sobre la base de la insuficiente motivación de las resoluciones judiciales impugnadas.</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Así delimitado el objeto del presente proceso, interesa recordar la doctrina de este Tribunal sobre el ius ut procedatur y, en particular, lo declarado en la STC 186/1990: "La Ley concede al Juez de Instrucción -no al órgano de enjuiciamiento- la facultad de controlar la consistencia o solidez de la acusación que se formula, pues (...)  el art. 790.6 L.E.Crim., tras enunciar la regla general de la vinculación del instructor con la petición de apertura del juicio, permite al Juez denegar la apertura del juicio en dos supuestos, a saber: cuando el hecho no sea constitutivo de delito, o ante la inexistencia de indicios racionales de criminalidad contra el acusado, en cuyo caso acordará el sobreseimiento que corresponda [fundamento jurídico 4º B)".  Por esta razón, este Tribunal ha manifestado reiteradamente que el derecho a la tutela judicial efectiva no otorga a sus titulares un derecho incondicionado a la plena sustanciación del proceso (SSTC 351/1993 y 85/1997, entre otras muchas); así como que "la decisión judicial de archivar las actuaciones penales, por estimar que los hechos del proceso no son constitutivos de infracción penal, no supone, en </w:t>
      </w:r>
      <w:r>
        <w:lastRenderedPageBreak/>
        <w:t>sí misma considerada, infracción del derecho a obtener la tutela judicial efectiva del art.  24.1 de la C.E." (STC 203/1989), habiendo igualmente declarado la legitimidad de los autos de inadmisión de la notitia criminis, los cuales pueden dictarse inaudita parte (STC 37/1993).</w:t>
      </w:r>
    </w:p>
    <w:p w:rsidR="006854DA" w:rsidRDefault="006854DA" w:rsidP="006854DA">
      <w:pPr>
        <w:pStyle w:val="TextoNormal"/>
      </w:pPr>
    </w:p>
    <w:p w:rsidR="006854DA" w:rsidRDefault="006854DA" w:rsidP="006854DA">
      <w:pPr>
        <w:pStyle w:val="TextoNormal"/>
      </w:pPr>
      <w:r w:rsidRPr="006854DA">
        <w:rPr>
          <w:rStyle w:val="NumeroAFNegritaCaracter"/>
        </w:rPr>
        <w:t>3</w:t>
      </w:r>
      <w:r>
        <w:t>. El Abogado del Estado aduce la sustancial identidad existente entre el presente asunto y el resuelto por la STC 111/1995. Ahora bien, es lo cierto que en su dimensión constitucional, única a nuestros efectos relevante, no concurren en el caso presente las singularidades que motivaron la estimación del recurso de amparo resuelto por la citada STC 111/1995. En aquella ocasión no sólo existió una mínima actividad instructora, ausente en el caso que ahora nos ocupa (según se declara en el Auto del Juzgado de Instrucción acordando el archivo), sino que, además, estaba en juego la defensa del derecho fundamental al secreto de las comunicaciones, en su específica vertiente de las relaciones entre el recluso y su Abogada (art. 18.3 C.E.), así como el derecho de acceso a la jurisdicción (art. 24.1 C.E.)  imprescindible para la defensa de aquél.</w:t>
      </w:r>
    </w:p>
    <w:p w:rsidR="006854DA" w:rsidRDefault="006854DA" w:rsidP="006854DA">
      <w:pPr>
        <w:pStyle w:val="TextoNormal"/>
      </w:pPr>
      <w:r>
        <w:t>Ninguna de estas singulares circunstancias concurren en el caso presente, en el que el hecho denunciado aparece concretado desde su inicio, limitándose el órgano judicial a constatar que se trataba de un error informático padecido por la Oficina de Administración del establecimiento penitenciario, motivado por la similitud de apellidos entre el denunciante y otro recluso, y que ya había sido subsanado de oficio. No cabe apreciar, pues, la existencia de una injustificada obstaculización que impidiese al recurrente acceder al proceso para ejercer la acción penal.</w:t>
      </w:r>
    </w:p>
    <w:p w:rsidR="006854DA" w:rsidRDefault="006854DA" w:rsidP="006854DA">
      <w:pPr>
        <w:pStyle w:val="TextoNormal"/>
      </w:pPr>
    </w:p>
    <w:p w:rsidR="006854DA" w:rsidRDefault="006854DA" w:rsidP="006854DA">
      <w:pPr>
        <w:pStyle w:val="TextoNormal"/>
      </w:pPr>
      <w:r w:rsidRPr="006854DA">
        <w:rPr>
          <w:rStyle w:val="NumeroAFNegritaCaracter"/>
        </w:rPr>
        <w:t>4</w:t>
      </w:r>
      <w:r>
        <w:t>. En relación con la supuesta lesión del derecho del recurrente a que se procediera por la Audiencia Provincial de Zaragoza a la designación de Abogado y Procurador del turno de oficio, hemos de comenzar recordando, para reiterarla en el presente caso, la doctrina de la STC 217/1994 según la cual «el derecho a que se proceda por el órgano judicial a la designación de Abogado y Procurador del turno de oficio, únicamente despliega toda su eficacia en relación con el imputado en un proceso penal, siendo en todos los demás casos un derecho relativo sometido a diversos condicionamientos procesales y materiales, entre ellos, los previstos en el art. 119 de la L.E.Crim., en el que se requiere la existencia de un hecho punible y de un perjuicio derivado directamente del mismo (ATC 365/1992, fundamento jurídico 1º)». Asimismo hemos declarado en la misma Sentencia, e insistido en la STC 111/1995, que, «... cuando un Órgano judicial puede excluir ab initio el carácter delictivo de un hecho, (arts. 269 o 313 L.E.Crim.), tales nombramientos podrán resultar no sólo innecesarios, sino incluso inconvenientes por razones de economía procesal».</w:t>
      </w:r>
    </w:p>
    <w:p w:rsidR="006854DA" w:rsidRDefault="006854DA" w:rsidP="006854DA">
      <w:pPr>
        <w:pStyle w:val="TextoNormal"/>
      </w:pPr>
      <w:r>
        <w:t xml:space="preserve">Así pues, constatada por las resoluciones judiciales impugnadas la inexistencia de hecho punible alguno, en aplicación de lo dispuesto en el art.  269 de la L.E.Crim., el Juzgado instructor y después, en grado de apelación, la Audiencia Provincial acordaron el archivo de las actuaciones con simultaneidad a la apertura de las diligencias previas, sin practicar actividad instructora de clase alguna -como se hace constar en el hecho único del Auto del Juzgado de 17 de febrero de 1994-, por lo que resultaba improcedente, por innecesario, el nombramiento de profesionales por el turno de oficio instado por el denunciante.  Por ello, la falta de designación de los mismos no pudo ocasionar indefensión material alguna al hoy demandante, ni se produjo la denunciada vulneración del derecho fundamental invocado ex art.  24.2 C.E., lo que determina que hayamos de rechazar también esta segunda queja; conclusión ésta que se refuerza si atendemos al carácter de simple falta que, de constituir infracción penal, revestiría el hecho denunciado, dado lo dispuesto </w:t>
      </w:r>
      <w:r>
        <w:lastRenderedPageBreak/>
        <w:t>por el art. 962, párrafo primero, de la L.E.Crim., que configura con carácter potestativo la asistencia de Abogado.</w:t>
      </w:r>
    </w:p>
    <w:p w:rsidR="006854DA" w:rsidRDefault="006854DA" w:rsidP="006854DA">
      <w:pPr>
        <w:pStyle w:val="TextoNormal"/>
      </w:pPr>
    </w:p>
    <w:p w:rsidR="006854DA" w:rsidRDefault="006854DA" w:rsidP="006854DA">
      <w:pPr>
        <w:pStyle w:val="TextoNormal"/>
      </w:pPr>
      <w:r w:rsidRPr="006854DA">
        <w:rPr>
          <w:rStyle w:val="NumeroAFNegritaCaracter"/>
        </w:rPr>
        <w:t>5</w:t>
      </w:r>
      <w:r>
        <w:t>. Aduce, finalmente, el demandante de amparo la vulneración de su derecho a la tutela judicial efectiva, por cuanto las resoluciones judiciales impugnadas carecen de motivación suficiente.  En este sentido, cumple recordar, en línea con lo alegado por el Ministerio Fiscal, que la exigencia de la motivación de las resoluciones jurisdiccionales no confiere un pretendido derecho a una determinada extensión de sus razonamientos, por lo que, pese a su brevedad o concisión, pueden perfectamente cumplir las exigencias constitucionales que se derivan del art.  24.1 de la Constitución (SSTC 75/1988, 14/1991, 175/1992 y 150/1993, entre otras muchas).</w:t>
      </w:r>
    </w:p>
    <w:p w:rsidR="006854DA" w:rsidRDefault="006854DA" w:rsidP="006854DA">
      <w:pPr>
        <w:pStyle w:val="TextoNormal"/>
      </w:pPr>
      <w:r>
        <w:t>Ciertamente, las resoluciones jurisdiccionales objeto del presente proceso constitucional presentan una motivación escueta.  No obstante, en atención a las particularidades del caso, no puede considerarse contraria al derecho fundamental que reconoce el art. 24.1 C.E.  En efecto, interesa recordar una vez más que los órganos jurisdiccionales no realizaron actividad instructora alguna que eventualmente pudiese condicionar sus decisiones, limitándose exclusivamente a constatar un error patente y del que se deducía con notoria evidencia la irrelevancia penal del hecho denunciado.  En tales circunstancias, es constitucionalmente legítimo que el Juzgado de Instrucción motivase su decisión de archivo de las diligencias previas mediante la escueta indicación de que los hechos denunciados no eran constitutivos de infracción penal, y que además no se consideraba necesaria la práctica de diligencia alguna.</w:t>
      </w:r>
    </w:p>
    <w:p w:rsidR="006854DA" w:rsidRDefault="006854DA" w:rsidP="006854DA">
      <w:pPr>
        <w:pStyle w:val="TextoNormal"/>
      </w:pPr>
      <w:r>
        <w:t>En definitiva, ni procedía el nombramiento de Abogado y Procurador de oficio, por lo que su falta de designación no ocasionó indefensión al demandante de amparo, ni puede decirse, en atención a la singularidad del asunto ahora enjuiciado, que las resoluciones jurisdiccionales impugnadas careciesen de toda motivación, con vulneración del derecho a una tutela judicial efectiva.</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 por don Eladio Fernández Otero.</w:t>
      </w:r>
    </w:p>
    <w:p w:rsidR="006854DA" w:rsidRDefault="006854DA" w:rsidP="006854DA">
      <w:pPr>
        <w:pStyle w:val="TextoNormal"/>
      </w:pPr>
    </w:p>
    <w:p w:rsidR="006854DA" w:rsidRDefault="006854DA" w:rsidP="006854DA">
      <w:pPr>
        <w:pStyle w:val="TextoNormal"/>
      </w:pPr>
      <w:r>
        <w:t>Dada en Madrid, a 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7" w:name="SENTENCIA_1997_121"/>
      <w:r>
        <w:lastRenderedPageBreak/>
        <w:t>SENTENCIA 121/1997, de 1 de julio de 1997</w:t>
      </w:r>
    </w:p>
    <w:bookmarkEnd w:id="37"/>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ECLI:ES:TC:1997:121</w:t>
      </w:r>
    </w:p>
    <w:p w:rsidR="006854DA" w:rsidRDefault="006854DA" w:rsidP="006854DA">
      <w:pPr>
        <w:pStyle w:val="SntesisDescriptiva"/>
      </w:pPr>
    </w:p>
    <w:p w:rsidR="006854DA" w:rsidRDefault="006854DA" w:rsidP="006854DA">
      <w:pPr>
        <w:pStyle w:val="SntesisDescriptiva"/>
      </w:pPr>
      <w:r>
        <w:t>Recurso de amparo 442/1995. Promovido por la Federación Sindical de Administración Pública de Comisiones Obreras contra Resolución de los Presidentes del Congreso de los Diputados y del Senado por la que se dictan Normas Reguladoras de las elecciones a la Junta de Personal de las Cortes Generales y contra Sentencia de la Sala Tercera del Tribunal Supremo que desestimó el recurso jurisdiccional promovido contra la citada Resolución parlamentaria.</w:t>
      </w:r>
    </w:p>
    <w:p w:rsidR="006854DA" w:rsidRDefault="006854DA" w:rsidP="006854DA">
      <w:pPr>
        <w:pStyle w:val="SntesisDescriptiva"/>
      </w:pPr>
    </w:p>
    <w:p w:rsidR="006854DA" w:rsidRDefault="006854DA" w:rsidP="006854DA">
      <w:pPr>
        <w:pStyle w:val="SntesisAnaltica"/>
      </w:pPr>
      <w:r>
        <w:t>Supuesta vulneración de los principios de igualdad y de libertad sindical: alcance del art. 23 del Estatuto del Personal de las Cortes Generales.</w:t>
      </w:r>
    </w:p>
    <w:p w:rsidR="006854DA" w:rsidRDefault="006854DA" w:rsidP="006854DA">
      <w:pPr>
        <w:pStyle w:val="SntesisAnaltica"/>
      </w:pPr>
    </w:p>
    <w:p w:rsidR="006854DA" w:rsidRDefault="006854DA" w:rsidP="006854DA">
      <w:pPr>
        <w:pStyle w:val="Extracto"/>
      </w:pPr>
      <w:r>
        <w:t>1.</w:t>
      </w:r>
      <w:r>
        <w:tab/>
        <w:t>El amparo, por así decir, directo previsto en el art. 42 LOTC queda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fundamento jurídico 2.). Por esta misma razón, el art. 42 LOTC dispone que tales actos parlamentarios «podrán ser recurridos dentro del plazo de tres meses desde que, con arreglo a las normas internas de las Cámaras o Asambleas, sean firmes», lo que supone exigir que se agoten previamente, y siempre que existan, las vías intraparlamentarias de impugnación [F.J. 3].</w:t>
      </w:r>
    </w:p>
    <w:p w:rsidR="006854DA" w:rsidRDefault="006854DA" w:rsidP="006854DA">
      <w:pPr>
        <w:pStyle w:val="Extracto"/>
      </w:pPr>
    </w:p>
    <w:p w:rsidR="006854DA" w:rsidRDefault="006854DA" w:rsidP="006854DA">
      <w:pPr>
        <w:pStyle w:val="Extracto"/>
      </w:pPr>
      <w:r>
        <w:t>2.</w:t>
      </w:r>
      <w:r>
        <w:tab/>
        <w:t>Si bien es claro que la Resolución parlamentaria objeto de este recurso no era susceptible,por lo dicho, de impugnación a través del amparo previsto en el art. 42 LOTC y que, en consecuencia, frente a la Sentencia dictada por el Tribunal Supremo la actora debió interponer su recurso de amparo en el plazo de veinte días preceptuado en el art. 43.2 LOTC, no obstante, en modo alguno cabe trasladar a la recurrente la carga de esta puntualización que acabamos de efectuar, por lo que procede desestimar la pretensión de inadmisión de la demanda [F.J. 3].</w:t>
      </w:r>
    </w:p>
    <w:p w:rsidR="006854DA" w:rsidRDefault="006854DA" w:rsidP="006854DA">
      <w:pPr>
        <w:pStyle w:val="Extracto"/>
      </w:pPr>
    </w:p>
    <w:p w:rsidR="006854DA" w:rsidRDefault="006854DA" w:rsidP="006854DA">
      <w:pPr>
        <w:pStyle w:val="Extracto"/>
      </w:pPr>
      <w:r>
        <w:t>3.</w:t>
      </w:r>
      <w:r>
        <w:tab/>
        <w:t>Ninguna duda ofrece la posibilidad de que una disposición general de las Cámaras dictada en materia de personal pueda ser objeto de impugnación a través del remedio procesal del amparo. Es cierto que, en el caso presente, se recurre directamente una disposición normativa de alcance general, y no un concreto acto de aplicación de la misma. Ahora bien, como se declaró en la STC 192/1991, confirmando pronunciamientos anteriores, «aunque por medio del recurso de amparo no pueden ejercitarse pretensiones impugnatorias directas frente a disposi</w:t>
      </w:r>
      <w:r>
        <w:lastRenderedPageBreak/>
        <w:t>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[F.J. 5].</w:t>
      </w:r>
    </w:p>
    <w:p w:rsidR="006854DA" w:rsidRDefault="006854DA" w:rsidP="006854DA">
      <w:pPr>
        <w:pStyle w:val="Extracto"/>
      </w:pPr>
    </w:p>
    <w:p w:rsidR="006854DA" w:rsidRDefault="006854DA" w:rsidP="006854DA">
      <w:pPr>
        <w:pStyle w:val="Extracto"/>
      </w:pPr>
      <w:r>
        <w:t>4.</w:t>
      </w:r>
      <w:r>
        <w:tab/>
        <w:t>En el asunto que ahora nos ocupa, una de las quejas formuladas por la entidad actora consiste en la pretendida vulneración del derecho a la libertad sindical por la exigencia contenida en la citada Resolución conjunta de los Presidentes de las Cámaras, y que obliga (art. 9.1) -mediante remisión directa al art. 23 del Estatuto del Personal de las Cortes Generales- a las organizaciones sindicales que quieran participar en las elecciones a la Junta de Personal a constituirse en el denominado «Registro de Organizaciones Sindicales de las Cortes Generales». Es claro, pues, que si la Federación Sindical demandante tuviese que aguardar a que, en aplicación de la indicada disposición, se le denegase su participación en las referidas elecciones, durante el tiempo en que se resolviese judicialmente su pretensión se vería imposibilitada para ejercer su función sindical y representativa. Ante esta circunstancia es comprensible que cumpliese con el citado requisito e impugnase jurisdiccionalmente la norma que, sin embargo, estima vulneradora de su derecho fundamental. Se observa, así, que algunas de las disposiciones contenidas en la Resolución recurrida presentan, desde la perspectiva de los derechos fundamentales aducidos por la actora, un alcance directamente aplicativo, suficiente para admitir su impugnabilidad a través del proceso de amparo constitucional. Por ello mismo, y en consonancia con lo declarado en la STC 9/1986 «la índole simplemente impeditiva de la disposición atacada permite imputarle directamente, sin necesidad de acto alguno de aplicación, la lesión que se pretende haber sufrido y, desde este punto de vista, nada hay que se oponga a la tramitación del presente recurso» [F.J. 5].</w:t>
      </w:r>
    </w:p>
    <w:p w:rsidR="006854DA" w:rsidRDefault="006854DA" w:rsidP="006854DA">
      <w:pPr>
        <w:pStyle w:val="Extracto"/>
      </w:pPr>
    </w:p>
    <w:p w:rsidR="006854DA" w:rsidRDefault="006854DA" w:rsidP="006854DA">
      <w:pPr>
        <w:pStyle w:val="Extracto"/>
      </w:pPr>
      <w:r>
        <w:t>5.</w:t>
      </w:r>
      <w:r>
        <w:tab/>
        <w:t>En criterio de la actora, al no reconocerse personalidad jurídica ni capacidad de obrar a aquellas organizaciones sindicales que, con carácter general, ya la tienen reconocida por las leyes y mediante su inscripción en el oportuno Registro, el art. 23 del Estatuto de Personal y los citados preceptos de la Resolución conjunta de los Presidentes de las dos Cámaras de las Cortes Generales que expresamente remiten al mismo vulneran el derecho fundamental a la libertad sindical que garantiza el art. 28.1 C.E., imponiendo una limitación injustificada al ejercicio del mencionado derecho fundamental [F.J. 7].</w:t>
      </w:r>
    </w:p>
    <w:p w:rsidR="006854DA" w:rsidRDefault="006854DA" w:rsidP="006854DA">
      <w:pPr>
        <w:pStyle w:val="Extracto"/>
      </w:pPr>
    </w:p>
    <w:p w:rsidR="006854DA" w:rsidRDefault="006854DA" w:rsidP="006854DA">
      <w:pPr>
        <w:pStyle w:val="Extracto"/>
      </w:pPr>
      <w:r>
        <w:t>6.</w:t>
      </w:r>
      <w:r>
        <w:tab/>
        <w:t xml:space="preserve">Habida cuenta de que fue el Acuerdo de 25 de abril de 1988, por el que se dio nueva redacción al art. 23 E.P.C.G. el que creó con rango legal el Registro de Organizaciones Sindicales de las Cortes Generales, no es difícil entender que bajo la locución «Asociaciones y Sindicatos ya inscritos» se está haciendo expresa referencia a aquellas otras organizaciones sindicales que ya hubiesen obtenido el pertinente reconocimiento de su personalidad, bien por convalidación («ex» Disposición final primera de la L.O.L.S.), bien, con carácter general, por haberse inscrito en el Registro Público a que se refiere el art. 4.1 L.O.L.S. De este modo, mientras que el reconocimiento de personalidad jurídica de aquellos sindicatos </w:t>
      </w:r>
      <w:r>
        <w:lastRenderedPageBreak/>
        <w:t>que decidan constituirse en el Registro al efecto creado en las Cortes se comunicará «a los solos efectos informativos» «al Registro correspondiente dependiente del Ministerio de Trabajo (art. 23.2 E.P.C.G.), habrá igualmente que entender que, respecto de aquellos otros sindicatos que -como el recurrente- ya habían obtenido el reconocimiento de su personalidad, así como tambien aquellos que pueden obtenerla en un futuro, sólo pesará la obligación, también a efectos puramente informativos, de acreditar ante el Registro de Organizaciones Sindicales de las Cortes Generales la personalidad jurídica que previamente les fue reconocida. En resumen, el art. 23 E.P.C.G. puede ser interpretado sin dificultad en el sentido de que la inscripción en el Registro que en él se establece carece de carácter constitutivo en el supuesto de aquellos sindicatos que, como es el caso del recurrente en amparo, en cualquier momento, decidiesen desplegar su actuación en el ámbito de las Cortes Generales y ya tuviesen reconocida su personalidad con arreglo al sistema general previsto en la L.O.L.S. [F.J. 11].</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442/95, promovido por la Federación Sindical de Administración Pública de Comisiones Obreras, bajo la representación procesal de la Procuradora de los Tribunales, doña Isabel Cañedo Vega y la dirección de la Letrada doña María del Carmen Criado Alcazar, contra la Resolución de los Presidentes del Congreso de los Diputados y el Senado de 20 de mayo de 1988, por la que se dictan Normas Reguladoras de las elecciones a la Junta de Personal de las Cortes Generales, y la Sentencia de la Sala Tercera del Tribunal Supremo, de 26 de septiembre de 1994. Han comparecido el Letrado de las Cortes Generales y el Ministerio Fiscal. Ha sido Ponente el Magistrado don Pedro Cruz Villalón,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ante este Tribunal el día 10 de febrero de 1995, la Procuradora de los Tribunales doña Isabel Cañedo Vega, en nombre y representación de la Federación Sindical de la Administración Pública (CC.OO.), interpuso recurso de amparo constitucional contra la Resolución núm. 101, de los Presidentes del Congreso de los Diputados y el Senado, de 20 de mayo de 1988, por la que se dictan Normas Reguladoras de las elecciones a la Junta de Personal de las Cortes Generales, así como contra la Sen</w:t>
      </w:r>
      <w:r>
        <w:lastRenderedPageBreak/>
        <w:t>tencia de la Sala de lo Contencioso- Administrativo del Tribunal Supremo, de 26 de septiembre de 1994, que desestimó el recurso jurisdiccional promovido contra la citada Resolución parlamentaria.</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demanda se basa en los siguientes hechos: </w:t>
      </w:r>
    </w:p>
    <w:p w:rsidR="006854DA" w:rsidRDefault="006854DA" w:rsidP="006854DA">
      <w:pPr>
        <w:pStyle w:val="TextoNormal"/>
      </w:pPr>
      <w:r>
        <w:t xml:space="preserve">a) Las Mesas del Congreso de los Diputados y del Senado adoptaron de forma conjunta el 25 de abril de 1988 un Acuerdo, publicado en el Boletín Oficial del Estado el 17 de mayo, por el que se dio nueva redacción a los arts. 23 y 24 del E.P.C.G. Dichos preceptos se refieren al ejercicio de la libertad sindical y a la participación de los funcionarios de las Cortes Generales en la determinación de sus condiciones de trabajo. </w:t>
      </w:r>
    </w:p>
    <w:p w:rsidR="006854DA" w:rsidRDefault="006854DA" w:rsidP="006854DA">
      <w:pPr>
        <w:pStyle w:val="TextoNormal"/>
      </w:pPr>
      <w:r>
        <w:t xml:space="preserve">b) Los Presidentes del Congreso de los Diputados y del Senado adoptaron conjuntamente el día 25 de abril de 1988, y en uso de facultades delegadas por las Mesas de ambas Cámaras, una Resolución, publicada el 20 de mayo en el Boletín Oficial de las Cortes, por la que se dictan Normas Reguladoras de las Elecciones a la Junta de Personal de las Cortes Generales, con arreglo a lo establecido en el art. 24 del Estatuto del Personal en la nueva redacción dada al mismo por el Acuerdo antes mencionado. </w:t>
      </w:r>
    </w:p>
    <w:p w:rsidR="006854DA" w:rsidRDefault="006854DA" w:rsidP="006854DA">
      <w:pPr>
        <w:pStyle w:val="TextoNormal"/>
      </w:pPr>
      <w:r>
        <w:t xml:space="preserve">c) La Federación Sindical ahora demandante de amparo interpuso, con fecha 1 de junio de 1988, sendos recursos de reposición contra el Acuerdo y resolución arriba referidos. A su juicio el Acuerdo de las Mesas era contrario a la reserva de ley que disponen los arts. 53 y 81 de la Constitución, al principio de jerarquía normativa del art. 9.3 C.E., y a aspectos esenciales regulados por la Ley Orgánica de Libertad Sindical (L.O.L.S.). Por su parte, la Resolución conjunta de la Presidencia de ambas Cámaras se impugnaba por dictarse en aplicación de los nuevos arts. 23 y 24 del Estatuto del Personal, cuya constitucionalidad se cuestionaba. </w:t>
      </w:r>
    </w:p>
    <w:p w:rsidR="006854DA" w:rsidRDefault="006854DA" w:rsidP="006854DA">
      <w:pPr>
        <w:pStyle w:val="TextoNormal"/>
      </w:pPr>
      <w:r>
        <w:t xml:space="preserve">d) El día 21 de julio de 1988, las Mesas de ambas Cámaras acordaron conjuntamente declarar inadmisibles los mencionados recursos de reposición, por entender que se dirigían contra disposiciones con rango de ley. </w:t>
      </w:r>
    </w:p>
    <w:p w:rsidR="006854DA" w:rsidRDefault="006854DA" w:rsidP="006854DA">
      <w:pPr>
        <w:pStyle w:val="TextoNormal"/>
      </w:pPr>
      <w:r>
        <w:t xml:space="preserve">e) Agotada la vía intraparlamentaria, la Federación Sindical recurrente interpuso el día 4 de noviembre de 1988, recurso de amparo constitucional por violación de los arts. 14 y 28 de la Constitución, que se tramitó bajo el núm. 1758/88. Mediante Auto de la Sala Segunda del Tribunal Constitucional, de 27 de abril de 1989, se inadmitió la demanda de amparo por falta de agotamiento de la vía judicial previa, pues, al versar las disposiciones impugnadas sobre materia de personal, debió acudirse previamente a los Jueces y Tribunales del orden contencioso-administrativo. </w:t>
      </w:r>
    </w:p>
    <w:p w:rsidR="006854DA" w:rsidRDefault="006854DA" w:rsidP="006854DA">
      <w:pPr>
        <w:pStyle w:val="TextoNormal"/>
      </w:pPr>
      <w:r>
        <w:t>f) El día 5 de junio de 1989, se interpuso recurso contencioso-administrativo ante la Sala competente del Tribunal Supremo, que fue desestimado por Sentencia de 26 de septiembre de 1994.</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su demanda de amparo aduce la Federación Sindical recurrente la vulneración de su derecho a la libertad sindical (art. 28 C.E.) y a la igualdad (art. 14 C.E.) que directamente imputa a las resoluciones conjuntas de las Mesas y de los respectivos Presidentes de cada una de las Cámaras que integran las Cortes Generales. </w:t>
      </w:r>
    </w:p>
    <w:p w:rsidR="006854DA" w:rsidRDefault="006854DA" w:rsidP="006854DA">
      <w:pPr>
        <w:pStyle w:val="TextoNormal"/>
      </w:pPr>
      <w:r>
        <w:t xml:space="preserve">Se argumenta al respecto que la Resolución conjunta de los Presidentes de ambas Cámaras es desarrollo de los arts. 23 y 24 del Estatuto del Personal de las Cortes Generales, en la nueva redacción dada a los mismos por el Acuerdo de las Mesas del Congreso de los Diputados y del Senado, de 25 de abril de 1988. Estos preceptos son contrarios a la libertad sindical que reconoce el art. 28.1 C.E., además de derogar el régimen jurídico que, con carácter general, establece la Ley Orgánica de Libertad Sindical (L.O.L.S.) en materia de </w:t>
      </w:r>
      <w:r>
        <w:lastRenderedPageBreak/>
        <w:t xml:space="preserve">constitución de sindicatos y elecciones sindicales, lo que supone, a su vez, una lesión del derecho a la igualdad. </w:t>
      </w:r>
    </w:p>
    <w:p w:rsidR="006854DA" w:rsidRDefault="006854DA" w:rsidP="006854DA">
      <w:pPr>
        <w:pStyle w:val="TextoNormal"/>
      </w:pPr>
      <w:r>
        <w:t xml:space="preserve">En efecto, el art. 23 del E.P.C.G., al regular la representación sindical de los funcionarios de las Cortes Generales, dispone que la ostentarán las organizaciones sindicales legalmente constituidas en las Cortes, creándose, a tal fin, un Registro específico. Esta exigencia de constitución ad hoc, es contraria al derecho de libertad sindical del art. 28.1 C.E. La organización sindical recurrente, aprobó sus estatutos en junio de 1978, depositándolos en las Oficinas públicas pertinentes y teniendo, tras su oportuna publicación, personalidad jurídica y plena capacidad de obrar. Todo ello se realizó con arreglo a lo dispuesto en el art. 3 de la Ley 19/1977, de 1 de abril, siendo, ulteriormente convalidada esa personalidad jurídica por la L.O.L.S. En este sentido, la propia doctrina del Tribunal Constitucional ha sentado, en distintos y reiterados pronunciamientos, que la libertad sindical, comprende el derecho a que los sindicatos fundados realicen las funciones que a ellos les corresponden, de acuerdo con el carácter democrático del Estado y su relevancia constitucional (art. 7 C.E.), teniendo su límite en lo dispuesto en el art. 10.1 C.E., es decir, el derecho de los demás, que tiene como fundamento el orden político y la paz social. </w:t>
      </w:r>
    </w:p>
    <w:p w:rsidR="006854DA" w:rsidRDefault="006854DA" w:rsidP="006854DA">
      <w:pPr>
        <w:pStyle w:val="TextoNormal"/>
      </w:pPr>
      <w:r>
        <w:t xml:space="preserve">El ar. 23 del E.P.C.G., al no reconocerle ni personalidad jurídica ni capacidad de obrar, obligándoles a una nueva constitución, con depósito de sus Estatutos y publicación de los mismos en el Boletín de la Cámara, ignora el derecho de libertad sindical que reconoce el art. 28.1 de la Constitución. La autonomía de las Cortes Generales no puede entenderse como un ámbito de excepción al ejercicio de un derecho fundamental que legitime al órgano parlamentario para imponer limitaciones singulares y constitucionalmente no previstas, que dificulten o limiten el derecho de las organizaciones sindicales ya constituidas y creadas a desempeñar el conjunto de actividades que les son propias y que suelen agruparse bajo el nombre de actividad sindical. </w:t>
      </w:r>
    </w:p>
    <w:p w:rsidR="006854DA" w:rsidRDefault="006854DA" w:rsidP="006854DA">
      <w:pPr>
        <w:pStyle w:val="TextoNormal"/>
      </w:pPr>
      <w:r>
        <w:t xml:space="preserve">En el recurso contencioso-administrativo previo a este proceso constitucional, alegó el representante de las Cortes Generales que la actora pretendía que, en el Parlamento, se aplicase de forma íntegra la L.O.L.S. y la Ley de órganos de representación pública, añadiendo que el no hacerlo así no suponía ninguna vulneración de la libertad sindical, puesto que la propia L.O.L.S. también contempla la existencia de un Registro y la obligatoria publicación de los estatutos de las organizaciones sindicales. La Sala Tercera del Tribunal Supremo, en la Sentencia que ahora se impugna, entendió que el problema quedaba reducido únicamente a aquellas fuerzas sindicales que, como la actora, ya disfrutaban previamente de personalidad jurídica. Pero como el propio art. 23.2 del Estatuto de Personal dispone que las asociaciones y sindicatos ya inscritos mantendrán su personalidad jurídica, a juicio de la Sala, una interpretación de tal precepto en el sentido más favorable al derecho de libertad sindical, «soslayaría los aspectos negativos e inconstitucionales para el ejercicio de los derechos sindicales denunciados por la demandante» (fundamento de Derecho noveno, apartado sexto). </w:t>
      </w:r>
    </w:p>
    <w:p w:rsidR="006854DA" w:rsidRDefault="006854DA" w:rsidP="006854DA">
      <w:pPr>
        <w:pStyle w:val="TextoNormal"/>
      </w:pPr>
      <w:r>
        <w:t xml:space="preserve">Sin embargo, tal opción interpretativa no es jurídicamente viable, a juicio de la actora, puesto que la mencionada norma se refiere inequívocamente a los sindicatos que ya se hubieran previamente constituido en el Registro de las Cortes, no reconociendo personalidad jurídica a aquellas otras organizaciones sindicales cuya personalidad fue adquirida de acuerdo con lo dispuesto en la L.O.L.S. </w:t>
      </w:r>
    </w:p>
    <w:p w:rsidR="006854DA" w:rsidRDefault="006854DA" w:rsidP="006854DA">
      <w:pPr>
        <w:pStyle w:val="TextoNormal"/>
      </w:pPr>
      <w:r>
        <w:t>Pero la vulneración del derecho de libertad sindical no se circunscribe al solo hecho de la obligatoria inscripción en el Registro de las Cortes. Antes bien, el no reconocimiento de la personalidad jurídica previa de las organizaciones sindicales se traduce, igualmente, en una ablación de otros aspectos fundamentales incluidos en ese derecho fundamental y re</w:t>
      </w:r>
      <w:r>
        <w:lastRenderedPageBreak/>
        <w:t xml:space="preserve">feridos tanto a la acción sindical como a la representación institucional de las organizaciones sindicales. En este sentido, el art. 24.15 d) del E.P.C.G. limita el derecho de representación institucional al exigir que «se hubiere presentado candidatura a las elecciones a la Junta de personal», ignorándose, por esta vía, el concepto de irradiación. En efecto, el art. 6.2 de la L.O.L.S. confiere a los sindicatos más representativos en el ámbito estatal, representación obtenida a través de las elecciones sindicales, en todos los ámbitos una singular posición jurídica a efectos tanto de su participación institucional, como de acción sindical. Implantación sindical e irradiación que la doctrina del Tribunal Constitucional ha incluido en el derecho de libertad sindical del art. 28.1 C.E. </w:t>
      </w:r>
    </w:p>
    <w:p w:rsidR="006854DA" w:rsidRDefault="006854DA" w:rsidP="006854DA">
      <w:pPr>
        <w:pStyle w:val="TextoNormal"/>
      </w:pPr>
      <w:r>
        <w:t xml:space="preserve">En cuanto a la violación del derecho de igualdad (art. 14 C.E.), alega la entidad recurrente que la normativa impugnada, al tratar de modo diferenciado y singular a las organizaciones sindicales, sin existir causa justificativa u objetiva, a como lo hacen, sin embargo, los demás poderes públicos, establece un tratamiento diferente y contrario a lo dispuesto en la propia L.O.L.S., a la que deroga implícitamente en el ámbito parlamentario. La autonomía de las Cámaras parlamentarias no puede justificar un tratamiento diferenciado de los elementos esenciales de la libertad sindical cuyo desarrollo queda reservado por la propia Constitución a una ley orgánica (art. 81.2) y, por tanto, al quorum reforzado de la mayoría absoluta. </w:t>
      </w:r>
    </w:p>
    <w:p w:rsidR="006854DA" w:rsidRDefault="006854DA" w:rsidP="006854DA">
      <w:pPr>
        <w:pStyle w:val="TextoNormal"/>
      </w:pPr>
      <w:r>
        <w:t xml:space="preserve">Sin embargo, las normas que ahora se impugnan y, en particular, el Acuerdo de las Mesas modificando el Estatuto de Personal, fue dictado por órganos manifiestamente incompetentes (pues, únicamente el Pleno de la Cámara podía aprobar tal modificación) y con exceso del ámbito material constitucionalmente reservado a las Cortes Generales, al regular aspectos externos al mismo, como lo es el régimen general de la libertad sindical y sus condiciones básicas de ejercicio. </w:t>
      </w:r>
    </w:p>
    <w:p w:rsidR="006854DA" w:rsidRDefault="006854DA" w:rsidP="006854DA">
      <w:pPr>
        <w:pStyle w:val="TextoNormal"/>
      </w:pPr>
      <w:r>
        <w:t xml:space="preserve">Por último, se argumenta en la demanda la falta de consistencia de las razones aducidas por la Sala a quo para no formular cuestión de inconstitucionalidad en la medida en que la normas impugnadas eran reproducción de una disposición normativa superior con valor de ley. Ni la autonomía normativa de las Cámaras parlamentarias, ni la pretendida falta de legitimación de la demandante para sostener esa pretensión en el recurso contencioso-administrativo, podían erigirse en obstáculos al planteamiento de la cuestión de inconstitucionalidad. En primer lugar, porque el control de una norma dictada por órgano manifiestamente incompetente no escapa a las competencias de los órganos jurisdiccionales y, en segundo lugar, porque aunque se impugnaba una norma infralegal y no sus concretos actos de aplicación, ello no es impedimento para que, cuando ésta reproduzca los contenidos de otra dotada de valor de ley, pueda plantearse la cuestión de inconstitucionalidad, como tampoco lo es el hecho de que, con posterioridad a la interposición del recurso, el mismo órgano modificase (1992) el Estatuto de Personal. </w:t>
      </w:r>
    </w:p>
    <w:p w:rsidR="006854DA" w:rsidRDefault="006854DA" w:rsidP="006854DA">
      <w:pPr>
        <w:pStyle w:val="TextoNormal"/>
      </w:pPr>
      <w:r>
        <w:t>En virtud de todo ello, se concluye interesando que se estime la demanda y se conceda el amparo solicitado.</w:t>
      </w:r>
    </w:p>
    <w:p w:rsidR="006854DA" w:rsidRDefault="006854DA" w:rsidP="006854DA">
      <w:pPr>
        <w:pStyle w:val="TextoNormal"/>
      </w:pPr>
    </w:p>
    <w:p w:rsidR="006854DA" w:rsidRDefault="006854DA" w:rsidP="006854DA">
      <w:pPr>
        <w:pStyle w:val="TextoNormal"/>
      </w:pPr>
      <w:r w:rsidRPr="006854DA">
        <w:rPr>
          <w:rStyle w:val="NumeroAFNegritaCaracter"/>
        </w:rPr>
        <w:t>4</w:t>
      </w:r>
      <w:r>
        <w:t>. La Sección Segunda, por providencia de 7 de febrero de 1996, acordó la admisión a trámite de la demanda y, con arreglo a lo dispuesto en el art. 51 LOTC, requerir del Tribunal Supremo la remisión testimoniada de las actuaciones previo emplazamiento de quienes hubiesen sido parte en el proceso judicial precedente.</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Mediante providencia de la Sección Primera, de 13 de mayo de 1996, se acusó recibo de las actuaciones, teniéndose por personado y parte al Letrado de las Cortes Generales don Fernando Sainz Moreno, en nombre y representación del Congreso de los Diputados. </w:t>
      </w:r>
      <w:r>
        <w:lastRenderedPageBreak/>
        <w:t>Igualmente, a tenor de lo dispuesto en el art. 52 LOTC, se acordó dar vista de las actuaciones a las partes personadas y al Ministerio Fiscal para que, en el plazo común de veinte días, pudiesen presentar las alegaciones que conviniesen a la defensa de su derecho.</w:t>
      </w:r>
    </w:p>
    <w:p w:rsidR="006854DA" w:rsidRDefault="006854DA" w:rsidP="006854DA">
      <w:pPr>
        <w:pStyle w:val="TextoNormal"/>
      </w:pPr>
    </w:p>
    <w:p w:rsidR="006854DA" w:rsidRDefault="006854DA" w:rsidP="006854DA">
      <w:pPr>
        <w:pStyle w:val="TextoNormal"/>
      </w:pPr>
      <w:r w:rsidRPr="006854DA">
        <w:rPr>
          <w:rStyle w:val="NumeroAFNegritaCaracter"/>
        </w:rPr>
        <w:t>6</w:t>
      </w:r>
      <w:r>
        <w:t>. La organización sindical demandante registró su escrito de alegaciones el día 7 de junio de 1996. En él se dan por reproducidos los argumentos contenidos en el escrito de demanda, insistiéndose sobre los mismos, así como en la denunciada vulneración del derecho fundamental a la libertad sindical y en la reserva constitucional de ley orgánica existente sobre esa materia.</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Ese mismo día registró su alegato el Ministerio Fiscal. Tras una sucinta exposición de los antecedentes fácticos del asunto, inicia su exposición analizando el contenido del art. 23 del E.P.C.G. en tanto que la Resolución recurrida se remite expresamente al mismo. En el mencionado precepto se impone a las organizaciones sindicales que quieran actuar en el ámbito de las Cortes Generales la necesidad de cumplir con determinados requisitos formales, como lo son su inscripción en un Registro específico y el depósito de sus Estatutos en el mismo. Se trata, pues, de determinar si tales exigencias suponen una restricción de la libertad sindical. Con apoyo en la doctrina de las SSTC 187/1987, 235/1988 y 164/1993, entre otras, y puesto que esas exigencias no suponen para las organizaciones sindicales la carga de cumplir con requisitos distintos a los requeridos para su propia constitución, se concluye subrayando el carácter meramente formal de los mismos y, por tanto, su irrelevancia desde el punto de vista del ejercicio del derecho a la libertad sindical. </w:t>
      </w:r>
    </w:p>
    <w:p w:rsidR="006854DA" w:rsidRDefault="006854DA" w:rsidP="006854DA">
      <w:pPr>
        <w:pStyle w:val="TextoNormal"/>
      </w:pPr>
      <w:r>
        <w:t xml:space="preserve">Por otra parte, ni la L.O.L.S. establece un principio de unidad de Registros, ni puede considerarse arbitrario o injustificado el cumplimiento de tales requisitos en atención a la naturaleza de las Cortes Generales y su potestad de autoorganización (art. 72.1 C.E.). Tampoco debe prescindirse, en opinión del Ministerio Fiscal, de la argumentación al efecto contenida en la Sentencia impugnada, en la que se sostiene que el art. 23.2 del E.P.C.G. puede ser interpretado en relación con aquellas organizaciones sindicales no constituidas al tiempo de ser aprobado. </w:t>
      </w:r>
    </w:p>
    <w:p w:rsidR="006854DA" w:rsidRDefault="006854DA" w:rsidP="006854DA">
      <w:pPr>
        <w:pStyle w:val="TextoNormal"/>
      </w:pPr>
      <w:r>
        <w:t>De todo ello se desprende que las exigencias del citado art. 23 y, por lo tanto de las disposiciones contenidas en la Resolución 101, no contienen una efectiva reducción de las posibilidades de actuación del sindicato recurrente, por lo que no existe la denunciada vulneración del art. 28.1 C.E. En razón de cuanto antecede se interesa la desestimación de la demanda de amparo.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Letrado de las Cortes Generales presentó su escrito de alegaciones el día 10 de junio de 1996. </w:t>
      </w:r>
    </w:p>
    <w:p w:rsidR="006854DA" w:rsidRDefault="006854DA" w:rsidP="006854DA">
      <w:pPr>
        <w:pStyle w:val="TextoNormal"/>
      </w:pPr>
      <w:r>
        <w:t xml:space="preserve">Aduce, en primer lugar, la inadmisibilidad del recurso por extemporáneo. En efecto, en su criterio, la demanda se halla incursa en la causa de inadmisión prevista en el art. 50.1 a) LOTC en relación con lo dispuesto en los arts. 43.2 y 44.2 del mismo texto legal, en los que se establece el plazo improrrogable de los veinte días siguientes a la notificación de la resolución recaída en el proceso judicial, para la interposición del recurso de amparo. En el presente caso, la Sentencia del Tribunal Supremo que puso fin a la vía judicial previa fue notificada a la entidad actora el día 11 de noviembre de 1994, mientras que la demanda de amparo se registró ante el Tribunal Constitucional el día 10 de febrero de 1995, superando en más de dos meses el referido plazo de caducidad. </w:t>
      </w:r>
    </w:p>
    <w:p w:rsidR="006854DA" w:rsidRDefault="006854DA" w:rsidP="006854DA">
      <w:pPr>
        <w:pStyle w:val="TextoNormal"/>
      </w:pPr>
      <w:r>
        <w:lastRenderedPageBreak/>
        <w:t xml:space="preserve">La interposición extemporánea de la demanda es un defecto insubsanable que, como tal, puede ser apreciado de oficio por el Tribunal Constitucional en cualquier momento (así, STC 65/1996). Afirma la actora que cumple los requisitos procesales establecidos en el art. 42 LOTC, pero esa afirmación no tiene en cuenta que el mencionado artículo se refiere a las decisiones sin valor de ley procedentes de las Cámaras y de naturaleza jurídico- política que, al no estar sometidas al derecho administrativo, son directamente impugnables ante el Tribunal Constitucional si violan derechos o libertades fundamentales susceptibles de amparo, ya que contra ellas no cabe recurso judicial alguno. En cambio, la impugnación de los actos y disposiciones de naturaleza administrativa que violan derechos y libertades susceptibles de amparo constitucional sólo puede ser planteada ante el Tribunal Constitucional una vez agotada la vía judicial procedente y en el plazo de veinte días contados a partir de la notificación de la resolución recaída en ese proceso judicial. Tal plazo no se ha cumplido. </w:t>
      </w:r>
    </w:p>
    <w:p w:rsidR="006854DA" w:rsidRDefault="006854DA" w:rsidP="006854DA">
      <w:pPr>
        <w:pStyle w:val="TextoNormal"/>
      </w:pPr>
      <w:r>
        <w:t xml:space="preserve">En cuanto al fondo del asunto, a juicio de esta representación la demanda se articula sobre tres grupos de consideraciones cuyo análisis conduce a la desestimación del amparo solicitado. </w:t>
      </w:r>
    </w:p>
    <w:p w:rsidR="006854DA" w:rsidRDefault="006854DA" w:rsidP="006854DA">
      <w:pPr>
        <w:pStyle w:val="TextoNormal"/>
      </w:pPr>
      <w:r>
        <w:t xml:space="preserve">Se alega, en primer lugar, la vulneración de la libertad sindical ex art. 28.1 C.E. Cumple destacar, sin embargo, que esa lesión se atribuye no a la Resolución impugnada sino al Estatuto de Personal, hasta el extremo de que no se precisa cuáles son los concretos preceptos de la Resolución que generan esa pretendida vulneración del art. 28.1 C.E. Siendo esto así, está claro que este motivo del recurso se dirige contra el Estatuto de Personal. Ahora bien, la federación sindical actora, al carecer de legitimación para promover un recurso de inconstitucionalidad contra la referida norma ha intentado impugnarla por la vía indirecta de impugnar la Resolución de aplicación de la misma, pretendiendo que por el Tribunal Supremo se plantease la correspondiente cuestión de inconstitucionalidad. Pero esta pretensión ha sido rechazada con sólidos argumentos por el Tribunal Supremo en el Fundamento Jurídico octavo de su Sentencia. Por tanto, en este recurso de amparo lo que se pretende es, en definitiva, que el Tribunal Constitucional revise el bien razonado rechazo por el Tribunal Supremo del planteamiento de la cuestión de inconstitucionalidad. </w:t>
      </w:r>
    </w:p>
    <w:p w:rsidR="006854DA" w:rsidRDefault="006854DA" w:rsidP="006854DA">
      <w:pPr>
        <w:pStyle w:val="TextoNormal"/>
      </w:pPr>
      <w:r>
        <w:t xml:space="preserve">Pero además de la improcedencia formal de esa pretensión, existen razones materiales para rechazarla. Ninguno de los preceptos impugnados vulnera el art. 28.1 C.E. La existencia de peculiaridades sindicales en el ámbito de las Administraciones públicas está reconocido expresamente por la Constitución. Los funcionarios están sometidos a particulares Estatutos de Personal que introducen diferencias en sus derechos sindicales. Así, los funcionarios de las Administraciones civiles, los de las Fuerzas o Institutos Armados (art. 28.1 C.E.), los Jueces y Magistrados (art. 127 C.E.) y los funcionarios parlamentarios (art. 72 C.E.) tienen un Estatuto propio que limita o modula la regulación de sus derechos sindicales. </w:t>
      </w:r>
    </w:p>
    <w:p w:rsidR="006854DA" w:rsidRDefault="006854DA" w:rsidP="006854DA">
      <w:pPr>
        <w:pStyle w:val="TextoNormal"/>
      </w:pPr>
      <w:r>
        <w:t xml:space="preserve">Para valorar las peculiaridades establecidas por estas normas ha de tenerse presente que el Tribunal Constitucional ha diferenciado entre el contenido esencial y el «contenido adicional» de la libertad sindical, señalando que únicamente el primero puede actuar como límite al legislador (SSTC 39/1986, 9/1988, y 127/1989 entre otras). Resulta así que la regulación de los derechos sindicales en el ámbito de la administración parlamentaria tienen que respetar el contenido esencial de la libertad sindical, pero no los derechos adicionales que puedan establecerse en otras normas, como la Ley Orgánica de Libertad Sindical o cualquier otra que se dicte sobre la materia. </w:t>
      </w:r>
    </w:p>
    <w:p w:rsidR="006854DA" w:rsidRDefault="006854DA" w:rsidP="006854DA">
      <w:pPr>
        <w:pStyle w:val="TextoNormal"/>
      </w:pPr>
      <w:r>
        <w:t>Esto sentado, obligado es concluir que ninguno de los preceptos impugnados vulnera el contenido esencial de la libertad sindical. La obligación de registrar y depositar los estatu</w:t>
      </w:r>
      <w:r>
        <w:lastRenderedPageBreak/>
        <w:t xml:space="preserve">tos del sindicato en un Registro especial de las Cámaras (art. 3.1 de la Resolución) no es inconstitucional. Se trata de una norma adicional que no impone condiciones materiales restrictivas ni distintas de las generales para la creación de organizaciones sindicales. No se explica en la demanda cuál es el potencial vicio de inconstitucionalidad del art. 7.1 de la Resolución impugnada, que se limita a requerir un número mínimo de candidatos en la listas a las elecciones sindicales. Por su parte, el art. 8.1 establece que la convocatoria de las elecciones sindicales la realizarán las Mesas de las Cámaras. Ahora bien, ninguna vulneración constitucional se produce por esta norma toda vez que en su apartado c) se establece que las organizaciones sindicales pueden promover ante la administración parlamentaria la celebración de las elecciones. Cuestión distinta sería si las Mesas se negaran a convocar. En tal caso podría recurrirse en amparo frente a esa negativa. Pero lo que no cabe es un amparo preventivo contra una norma con valor de ley que establece cuál es el órgano competente para convocar. Finalmente, la exigencia establecida en el art. 24.15.d) del Estatuto del Personal según la cual para formar parte de la Mesa negociadora en representación de los sindicatos más representativos en el ámbito estatal es necesario que hubieren presentado una candidatura a las elecciones de la Junta de Personal, tampoco vulnera el art. 28.1 C.E. En primer lugar, esa impugnación es inadmisible porque no forma parte de la Resolución de 20 de mayo de 1995, objeto de este recurso. En segundo lugar, carece de fundamento porque se trata de una regla que recoge los supuestos en los que un sindicato se autoexcluye de la participación en la actividad sindical de la Administración parlamentaria. Así, en la STC 37/1983, se declaró que no puede confundirse el concepto de representatividad de un sindicato con la posibilidad de que este se autoexcluya de participar en las elecciones a los órganos de representación y, por tanto, de las consecuencias de la representatividad. </w:t>
      </w:r>
    </w:p>
    <w:p w:rsidR="006854DA" w:rsidRDefault="006854DA" w:rsidP="006854DA">
      <w:pPr>
        <w:pStyle w:val="TextoNormal"/>
      </w:pPr>
      <w:r>
        <w:t xml:space="preserve">Resta, por último, atender a la aducida vulneración del art. 14 C.E. A juicio de la actora las mencionadas normas implican un tratamiento discriminatorio. Tal argumento carece de toda entidad, pues no existe discriminación entre sindicatos ni hay, obviamente, discriminación por motivos sindicales. La invocación de la violación del art. 14 C.E. es, por tanto, absolutamente inconsistente. </w:t>
      </w:r>
    </w:p>
    <w:p w:rsidR="006854DA" w:rsidRDefault="006854DA" w:rsidP="006854DA">
      <w:pPr>
        <w:pStyle w:val="TextoNormal"/>
      </w:pPr>
      <w:r>
        <w:t xml:space="preserve">En razón de cuanto antecede se concluye solicitando la desestimación de la demanda de amparo. </w:t>
      </w:r>
    </w:p>
    <w:p w:rsidR="006854DA" w:rsidRDefault="006854DA" w:rsidP="006854DA">
      <w:pPr>
        <w:pStyle w:val="TextoNormal"/>
      </w:pPr>
      <w:r>
        <w:t>8. Por providencia de 30 de junio de 1997, se señaló el día 1 de julio siguiente para la deliberación y votación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Alega el sindicato de trabajadores recurrente en amparo que el Acuerdo conjunto de las Mesas del Congreso de los Diputados y del Senado, de 25 de abril de 1988 (B.O.E. núm. 118, de 17 de mayo), por el que se dio nueva redacción a los arts.  23 y 24 del Estatuto del Personal de las Cortes Generales (en adelante, E.P.C.G.); la Resolución conjunta de los Presidentes de ambas Cámaras que, por delegación de las respectivas Mesas, aprobó en la misma fecha las Normas Reguladoras de las elecciones a la Junta de Personal de las Cortes Generales (B.O.C.G. núm. 101, de 20 de mayo); y, finalmente, la Sentencia de la Sala Tercera del Tribunal Supremo (Sección Séptima), que desestimó el recurso contencioso-administrativo promovido por la actora contra las mencionadas disposiciones parlamentarias, vulneraron los derechos fundamentales reconocidos en los arts.  14 y 28.1 C.E., </w:t>
      </w:r>
      <w:r>
        <w:lastRenderedPageBreak/>
        <w:t>con infracción de los límites competenciales previstos en la Constitución y dentro de los que ha de desarrollarse la potestad normativa interna de las Cortes Generales.</w:t>
      </w:r>
    </w:p>
    <w:p w:rsidR="006854DA" w:rsidRDefault="006854DA" w:rsidP="006854DA">
      <w:pPr>
        <w:pStyle w:val="TextoNormal"/>
      </w:pPr>
      <w:r>
        <w:t>A la Sentencia del Tribunal Supremo, se le imputa, además de no haber reparado la aludida vulneración de sus derechos fundamentales, la negativa de legitimación para pretender que se promoviese por el órgano judicial cuestión de inconstitucionalidad en relación con los citados arts. 23 y 24 del E.P.C.G.</w:t>
      </w:r>
    </w:p>
    <w:p w:rsidR="006854DA" w:rsidRDefault="006854DA" w:rsidP="006854DA">
      <w:pPr>
        <w:pStyle w:val="TextoNormal"/>
      </w:pPr>
      <w:r>
        <w:t>El Ministerio Fiscal interesa la desestimación de la demanda por entender que la queja por desigualdad carece de sustantividad propia y que no ha existido la denunciada conculcación del derecho fundamental a la libertad sindical (art. 28.1 C.E.); el Letrado de las Cortes Generales solicita que se declare la inadmisión de la demanda o que, en su caso, se desestime íntegramente la misma.</w:t>
      </w:r>
    </w:p>
    <w:p w:rsidR="006854DA" w:rsidRDefault="006854DA" w:rsidP="006854DA">
      <w:pPr>
        <w:pStyle w:val="TextoNormal"/>
      </w:pPr>
    </w:p>
    <w:p w:rsidR="006854DA" w:rsidRDefault="006854DA" w:rsidP="006854DA">
      <w:pPr>
        <w:pStyle w:val="TextoNormal"/>
      </w:pPr>
      <w:r w:rsidRPr="006854DA">
        <w:rPr>
          <w:rStyle w:val="NumeroAFNegritaCaracter"/>
        </w:rPr>
        <w:t>2</w:t>
      </w:r>
      <w:r>
        <w:t>. Aduce, en efecto, ante todo, el Letrado de las Cortes Generales que no es posible entrar a conocer de la pretensión de amparo porque la demanda se halla incursa en la causa de inadmisión prevista en el art. 50.1 a) LOTC en relación con lo dispuesto en los arts. 43.2 y 44.2 del mismo texto legal. Con arreglo a dichos preceptos el plazo de interposición del recurso de amparo es el de los veinte días siguientes a la notificación de la Resolución que agote la vía judicial previa. En el presente asunto las disposiciones parlamentarias objeto de recurso fueron previamente impugnadas ante la jurisdicción contencioso-administrativa, en consonancia con lo declarado en el Auto de este Tribunal Constitucional, de 27 de abril de 1989, que inadmitió el amparo en su día intentado directamente por la actora. La Sala Tercera del Tribunal Supremo dictó su Sentencia el día 26 de septiembre de 1994, siendo notificada a la recurrente -según ella misma reconoce y declara- el día 11 de noviembre de aquel año. Sin embargo, la demanda de amparo tuvo entrada en el Registro del Tribunal Constitucional el día 10 de febrero de 1995 y, por lo tanto, más allá del mencionado plazo de veinte días previsto en los arts.  43.2 y 44.2 LOTC.</w:t>
      </w:r>
    </w:p>
    <w:p w:rsidR="006854DA" w:rsidRDefault="006854DA" w:rsidP="006854DA">
      <w:pPr>
        <w:pStyle w:val="TextoNormal"/>
      </w:pPr>
      <w:r>
        <w:t>Aunque la recurrente sostiene que cumple con los requisitos exigidos por el art. 42 LOTC, en el que se dispone un plazo de presentación de tres meses desde que el acto o disposición impugnado sea firme, entiende el Letrado de las Cortes Generales que esta afirmación desconoce que el cauce procesal previsto en aquel precepto se refiere exclusivamente a las «decisiones y actos sin valor de Ley» emanados de las Cámaras parlamentarias y de naturaleza jurídico-política que, por no estar sometidos al control de la jurisdicción ordinaria, son recurribles directamente ante el Tribunal Constitucional si vulneran derechos o libertades susceptibles de protección a través del remedio procesal del amparo. En cambio, los actos de naturaleza administrativa lesivos de aquellos derechos y libertades sólo pueden ser recurridos ante Tribunal Constitucional una vez agotada la vía judicial pertinente, y en el plazo de veinte días desde la notificación de la resolución jurisdiccional que puso término a la misma. Tal plazo, no se habría respetado en el presente recurso.</w:t>
      </w:r>
    </w:p>
    <w:p w:rsidR="006854DA" w:rsidRDefault="006854DA" w:rsidP="006854DA">
      <w:pPr>
        <w:pStyle w:val="TextoNormal"/>
      </w:pPr>
    </w:p>
    <w:p w:rsidR="006854DA" w:rsidRDefault="006854DA" w:rsidP="006854DA">
      <w:pPr>
        <w:pStyle w:val="TextoNormal"/>
      </w:pPr>
      <w:r w:rsidRPr="006854DA">
        <w:rPr>
          <w:rStyle w:val="NumeroAFNegritaCaracter"/>
        </w:rPr>
        <w:t>3</w:t>
      </w:r>
      <w:r>
        <w:t>. Nada cabe objetar a la argumentación sostenida en este extremo por el Letrado de las Cortes Generales. No obstante, y por las razones que acto seguido se expondrán, su objeción de inadmisibilidad no puede ser acogida.</w:t>
      </w:r>
    </w:p>
    <w:p w:rsidR="006854DA" w:rsidRDefault="006854DA" w:rsidP="006854DA">
      <w:pPr>
        <w:pStyle w:val="TextoNormal"/>
      </w:pPr>
      <w:r>
        <w:t>En el ya aludido Auto de este Tribunal Constitucional (ATC 219/1989), tras constatarse que «la resolución impugnada ha de ser calificada como materia de personal» se inadmitió el recurso de amparo entonces promovido por la recurrente, similar -por su objeto y dimensión constitucional- al que ahora nos ocupa, por no haber interpuesto previamente recurso contencioso-administrativo ante la Sala Tercera del Tribunal Supremo, conforme a lo dispuesto en el art. 58.1 de la L.O.P.J.</w:t>
      </w:r>
    </w:p>
    <w:p w:rsidR="006854DA" w:rsidRDefault="006854DA" w:rsidP="006854DA">
      <w:pPr>
        <w:pStyle w:val="TextoNormal"/>
      </w:pPr>
      <w:r>
        <w:lastRenderedPageBreak/>
        <w:t>En efecto, no siendo la resolución impugnada susceptible de ser calificada como interna corporis acta, por recaer sobre una materia -la de personal- sometida al control de la jurisdicción contencioso-administrativa, procedía procesalmente equipararla a aquellas otras disposiciones normativas sin valor de ley dictadas por los demás poderes públicos y, en consecuencia, estimar que su eventual impugnación a través del recurso de amparo únicamente era factible con arreglo al cauce establecido en el art. 43 LOTC.</w:t>
      </w:r>
    </w:p>
    <w:p w:rsidR="006854DA" w:rsidRDefault="006854DA" w:rsidP="006854DA">
      <w:pPr>
        <w:pStyle w:val="TextoNormal"/>
      </w:pPr>
      <w:r>
        <w:t>El amparo, por así decir, directo previsto en el art. 42 LOTC queda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fundamento jurídico 2º). Por esta misma razón, el art. 42 LOTC dispone que tales actos parlamentarios «podrán ser recurridos dentro del plazo de tres meses desde que, con arreglo a las normas internas de las Cámaras o Asambleas, sean firmes», lo que supone exigir que se agoten previamente, y siempre que existan, las vías intraparlamentarias de impugnación.</w:t>
      </w:r>
    </w:p>
    <w:p w:rsidR="006854DA" w:rsidRDefault="006854DA" w:rsidP="006854DA">
      <w:pPr>
        <w:pStyle w:val="TextoNormal"/>
      </w:pPr>
      <w:r>
        <w:t>Pese lo anterior, no fue ésta la línea interpretativa sostenida en el Auto de este Tribunal anteriormente citado. En lugar de negar la idoneidad de la resolución recurrida para poder ser impugnada por el cauce previsto en el art.  42 LOTC se declaró, con apoyo en los AATC 241/1984 y 296/1985, que, en materia de personal, la firmeza del acto o disposición impugnada, como presupuesto procesal exigido por el art. 42 LOTC, in fine, «requiere la interposición de un recurso contencioso-administrativo ante el Tribunal Supremo (art. 58.1 L.O.P.J.)», concluyéndose entonces que, «Al haber pretendido directamente la impugnación en amparo frente a este Tribunal se ha incumplido lo prevenido en el art. 42 LOTC, lo que determina la necesaria inadmisión del recurso» (fundamento jurídico 2º).</w:t>
      </w:r>
    </w:p>
    <w:p w:rsidR="006854DA" w:rsidRDefault="006854DA" w:rsidP="006854DA">
      <w:pPr>
        <w:pStyle w:val="TextoNormal"/>
      </w:pPr>
      <w:r>
        <w:t>Esta respuesta por nuestra parte posiblemente indujo a la actora a entender que, una vez subsanado el requisito del agotamiento previo de la vía judicial ex art.  42, in fine, LOTC y habiendo recaído Sentencia de la Sala de Tercera del Tribunal Supremo, se encontraba en condiciones de promover nueva demanda de amparo a través del cauce previsto en el art. 42 LOTC, cuyo plazo de interposición, conviene no olvidar, es de tres meses.</w:t>
      </w:r>
    </w:p>
    <w:p w:rsidR="006854DA" w:rsidRDefault="006854DA" w:rsidP="006854DA">
      <w:pPr>
        <w:pStyle w:val="TextoNormal"/>
      </w:pPr>
      <w:r>
        <w:t>Por cuanto se acaba de exponer, si bien es claro que la Resolución parlamentaria objeto de este recurso no era susceptible de impugnación a través del amparo previsto en el art. 42 LOTC y que, en consecuencia, frente a la Sentencia dictada por el Tribunal Supremo la actora debió interponer su recurso de amparo en el plazo de veinte días preceptuado en el art. 43.2 LOTC, no obstante, en modo alguno cabe trasladar a la recurrente la carga de esta puntualización que acabamos de efectuar, por lo que procede desestimar la pretensión de inadmisión de la demanda.</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Sostiene también el Letrado de las Cortes Generales, todavía desde una perspectiva procesal, que, aunque la entidad actora dirige formalmente su demanda - según se deduce tanto del encabezamiento como del suplico de la misma- contra la Resolución conjunta de los Presidentes del Congreso de los Diputados y del Senado, de 20 de mayo de 1988, en realidad toda su argumentación se refiere a los arts. 23 y 24 del E.P.C.G.  modificados por Acuerdo conjunto de las Mesas de ambas Cámaras, de 25 de abril de 1988, y que se integra en una norma con valor de ley directamente derivada de la Constitución (art. 72 C.E.)  y no susceptible de impugnación a través del proceso de amparo constitucional (art. 42 </w:t>
      </w:r>
      <w:r>
        <w:lastRenderedPageBreak/>
        <w:t>LOTC). De este modo, la Federación Sindical recurrente, que carece de legitimación para promover unrecurso de inconstitucionalidad contra los mencionados preceptos del Estatuto del Personal, habría intentado impugnarlos acudiendo a la vía indirecta de recurrir una resolución de aplicación de los mismos y pretendiendo que el Tribunal Supremo plantease la correspondiente cuestión de inconstitucionalidad, pretensión esta que, sin embargo, fue expresamente rechazada. Por tanto, a través del presente recurso de amparo se perseguiría, en definitiva, que por el Tribunal Constitucional se revise la indicada decisión del Tribunal Supremo.</w:t>
      </w:r>
    </w:p>
    <w:p w:rsidR="006854DA" w:rsidRDefault="006854DA" w:rsidP="006854DA">
      <w:pPr>
        <w:pStyle w:val="TextoNormal"/>
      </w:pPr>
    </w:p>
    <w:p w:rsidR="006854DA" w:rsidRDefault="006854DA" w:rsidP="006854DA">
      <w:pPr>
        <w:pStyle w:val="TextoNormal"/>
      </w:pPr>
      <w:r w:rsidRPr="006854DA">
        <w:rPr>
          <w:rStyle w:val="NumeroAFNegritaCaracter"/>
        </w:rPr>
        <w:t>5</w:t>
      </w:r>
      <w:r>
        <w:t>. Ante todo procede recordar la doctrina de este Tribunal contenida en la STC 118/1988, en la que específicamente se declaró que «No bastaría, sin embargo, el carácter normativo de la Resolución (de la Presidencia del Congreso...)  para excluir su posibilidad de revisión jurisdiccional también en la vía de amparo. A este respecto cabría recordar que el art. 58.1 de la Ley Orgánica del Poder Judicial admite el recurso contencioso- administrativo contra actos y disposiciones de los órganos de gobierno del Congreso de los Diputados y del Senado en materia de personal y actos de administración, por lo que no todas las disposiciones generales de las Cámaras pueden entenderse excluidas del conocimiento a través del recurso de amparo. En puridad, la exclusión clara que hace el art. 42 de la Ley Orgánica del Tribunal Constitucional es respeto a las disposiciones con fuerza o valor de Ley, susceptibles de ser objeto de recurso de inconstitucionalidad de acuerdo al art. 161.1 a) de la Constitución y el art. 27 de la misma Ley Orgánica».</w:t>
      </w:r>
    </w:p>
    <w:p w:rsidR="006854DA" w:rsidRDefault="006854DA" w:rsidP="006854DA">
      <w:pPr>
        <w:pStyle w:val="TextoNormal"/>
      </w:pPr>
      <w:r>
        <w:t>Ninguna duda ofrece, pues, la posibilidad de que una disposición general de las Cámaras dictada en materia de personal pueda ser objeto de impugnación a través del remedio procesal del amparo. Es cierto que, en el caso presente, se recurre directamente una disposición normativa de alcance general, y no un concreto acto de aplicación de la misma. Ahora bien, como se declaró en la STC 192/1991, confirmando pronunciamientos anteriores (SSTC 40/1982 y 131/1985, entre otras),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(fundamento jurídico 2º).</w:t>
      </w:r>
    </w:p>
    <w:p w:rsidR="006854DA" w:rsidRDefault="006854DA" w:rsidP="006854DA">
      <w:pPr>
        <w:pStyle w:val="TextoNormal"/>
      </w:pPr>
      <w:r>
        <w:t>En el asunto que ahora nos ocupa, una de las quejas formuladas por la entidad actora consiste en la pretendida vulneración del derecho a la libertad sindical por la exigencia contenida en la citada Resolución conjunta de los Presidentes de las Cámaras, y que obliga (art. 9.1) -mediante remisión directa al art. 23 del E.P.C.G.- a las organizaciones sindicales que quieran participar en las elecciones a la Junta de Personal de las Cortes Generales a constituirse en el denominado «Registro de Organizaciones Sindicales de las Cortes Generales». Es claro, pues, que si la federación sindical demandante tuviese que aguardar a que, en aplicación de la indicada disposición, se le denegase su participación en las referidas elecciones, durante el tiempo en que se resolviese judicialmente su pretensión se vería imposibilitada para ejercer su función sindical y representativa. Ante esta circunstancia es comprensible que cumpliese con el citado requisito e impugnase jurisdiccionalmente la norma que, sin embargo, estima vulneradora de su derecho fundamental. Se observa, así, que algunas de las disposiciones contenidas en la Resolución recurrida presentan, desde la perspectiva de los derechos fundamentales aducidos por la actora, un alcance directamente aplicativo, suficiente para admitir su impugnabilidad a través del proceso de amparo cons</w:t>
      </w:r>
      <w:r>
        <w:lastRenderedPageBreak/>
        <w:t>titucional.  Por ello mismo, y en consonancia con lo declarado en la STC 9/1986 «la índole simplemente impeditiva de la disposición atacada permite imputarle directamente, sin necesidad de acto alguno de aplicación, la lesión que se pretende haber sufrido y, desde este punto de vista, nada hay que se oponga a la tramitación del presente recurso» (fundamento jurídico 1º).</w:t>
      </w:r>
    </w:p>
    <w:p w:rsidR="006854DA" w:rsidRDefault="006854DA" w:rsidP="006854DA">
      <w:pPr>
        <w:pStyle w:val="TextoNormal"/>
      </w:pPr>
      <w:r>
        <w:t>Por lo demás, tampoco puede aducirse como elemento impeditivo de la acción de amparo el hecho de que el precepto impugnado sea reproducción o remita expresamente a lo dispuesto en una norma con valor de ley. De tal circunstancia, en efecto, no se deriva ningún límite a nuestro enjuiciamiento, sino tan sólo la obligación, en la hipótesis de estimarse la demanda, de elevar al Pleno cuestión de inconstitucionalidad en relación con la norma legal considerada lesiva de derechos o libertades fundamentales (art. 55.2 LOTC).</w:t>
      </w:r>
    </w:p>
    <w:p w:rsidR="006854DA" w:rsidRDefault="006854DA" w:rsidP="006854DA">
      <w:pPr>
        <w:pStyle w:val="TextoNormal"/>
      </w:pPr>
    </w:p>
    <w:p w:rsidR="006854DA" w:rsidRDefault="006854DA" w:rsidP="006854DA">
      <w:pPr>
        <w:pStyle w:val="TextoNormal"/>
      </w:pPr>
      <w:r w:rsidRPr="006854DA">
        <w:rPr>
          <w:rStyle w:val="NumeroAFNegritaCaracter"/>
        </w:rPr>
        <w:t>6</w:t>
      </w:r>
      <w:r>
        <w:t>. Antes de entrar en el fondo de la demanda, tres precisiones adicionales son aún necesarias:</w:t>
      </w:r>
    </w:p>
    <w:p w:rsidR="006854DA" w:rsidRDefault="006854DA" w:rsidP="006854DA">
      <w:pPr>
        <w:pStyle w:val="TextoNormal"/>
      </w:pPr>
      <w:r>
        <w:t>a) La denuncia por la actora de la incompetencia de las Mesas de las Cámaras para proceder a la modificación del E.P.C.G., con independencia de su formulación en términos generales, al efectuarse al margen de concretas y efectivas lesiones de derechos fundamentales, no es en sí misma susceptible de ser enjuiciada a través del proceso de amparo constitucional.</w:t>
      </w:r>
    </w:p>
    <w:p w:rsidR="006854DA" w:rsidRDefault="006854DA" w:rsidP="006854DA">
      <w:pPr>
        <w:pStyle w:val="TextoNormal"/>
      </w:pPr>
      <w:r>
        <w:t>b) la demanda es inadmisible respecto de la impugnación formulada directamente por la actora en relación con el art. 24.15 d) E.P.C.G. La norma allí establecida, y por la que se exige a los sindicatos más representativos ex art. 6.2 L.O.L.S. haber presentado candidatura a la Junta de Personal para formar parte de la Mesa negociadora, no tiene traslación ni reflejo alguno en la Resolución de los Presidentes de las Cámaras de 20 de mayo de 1988, por lo que, a través de este proceso constitucional de amparo, se pretende per saltum la declaración de inconstitucionalidad de una norma con valor de ley sin que exista un acto o disposición que, en aplicación de la misma, haya ocasionado a la federación sindical recurrente una vulneración actual y cierta de su derecho a la libertad sindical.</w:t>
      </w:r>
    </w:p>
    <w:p w:rsidR="006854DA" w:rsidRDefault="006854DA" w:rsidP="006854DA">
      <w:pPr>
        <w:pStyle w:val="TextoNormal"/>
      </w:pPr>
      <w:r>
        <w:t>c) Finalmente la demanda es puramente cautelar o preventiva respecto del art.  8.1 de la Resolución conjunta de los Presidentes del Congreso de los Diputados y el Senado en el que se dispone que «la convocatoria de elecciones se efectuará en la forma prevista en el apartado 8 del art. 24 del E.P.C.G.».  Sostiene la entidad demandante de amparo que el art. 24.8 del E.P.C.G., al reservar a las Mesas del Congreso de los Diputados y del Senado la convocatoria de nuevas elecciones para renovar la Junta de Personal, lesiona el derecho a la libertad sindical, por cuanto esa competencia corresponde en esencia a los sindicatos.</w:t>
      </w:r>
    </w:p>
    <w:p w:rsidR="006854DA" w:rsidRDefault="006854DA" w:rsidP="006854DA">
      <w:pPr>
        <w:pStyle w:val="TextoNormal"/>
      </w:pPr>
      <w:r>
        <w:t xml:space="preserve">Ahora bien, con independencia de que en el propio art. 24.8 del E.P.C.G. en su apartado c) se establece que las organizaciones sindicales pueden promover ante la Administración parlamentaria la celebración de las elecciones, es lo cierto que la denuncia de amparo no se fundamenta en la existencia de una vulneración real y efectiva de derechos fundamentales. Por el contrario, mediante su pretensión impugnatoria persigue la federación sindical recurrente un amparo cautelar y preventivo frente a un acto de futuro -la convocatoria de elecciones para la renovación de la Junta de Personal- y para el caso de que, hipotéticamente, concurriese la circunstancia de que las Mesas de las Cámaras negasen la convocatoria solicitada por las organizaciones sindicales.  Pero, como reiteradamente ha declarado este Tribunal, en la jurisdicción de amparo que, «en rigor, no ha sido constituida para reparar infracciones de preceptos sino vulneraciones de derechos» (STC 114/1995, fundamento jurídico 2º), no es posible la defensa en abstracto de supuestos aún no producidos, porque ni cabe en esta vía procesal un enjuiciamiento sobre si se acomodaría o no a </w:t>
      </w:r>
      <w:r>
        <w:lastRenderedPageBreak/>
        <w:t>un derecho fundamental un acto de un poder público que no se ha llegado a producir (STC 37/1989), ni el recurso de amparo es un mecanismo de depuración abstracta de disposiciones normativas (STC 193/1987).</w:t>
      </w:r>
    </w:p>
    <w:p w:rsidR="006854DA" w:rsidRDefault="006854DA" w:rsidP="006854DA">
      <w:pPr>
        <w:pStyle w:val="TextoNormal"/>
      </w:pPr>
    </w:p>
    <w:p w:rsidR="006854DA" w:rsidRDefault="006854DA" w:rsidP="006854DA">
      <w:pPr>
        <w:pStyle w:val="TextoNormal"/>
      </w:pPr>
      <w:r w:rsidRPr="006854DA">
        <w:rPr>
          <w:rStyle w:val="NumeroAFNegritaCaracter"/>
        </w:rPr>
        <w:t>7</w:t>
      </w:r>
      <w:r>
        <w:t>. En estos términos, la cuestión de fondo que plantea el presente recurso de amparo se centra en lo preceptuado en los arts. 3.1 y 9.1 de la Resolución de los Presidentes del Congreso de los Diputados y del Senado, objeto de impugnación en este proceso constitucional.</w:t>
      </w:r>
    </w:p>
    <w:p w:rsidR="006854DA" w:rsidRDefault="006854DA" w:rsidP="006854DA">
      <w:pPr>
        <w:pStyle w:val="TextoNormal"/>
      </w:pPr>
      <w:r>
        <w:t>Dichos preceptos disponen que la Comisión Electoral de las Cortes Generales estará integrada, entre otros, por «un funcionario designado por cada una de las organizaciones sindicales constituidas de acuerdo con el artículo 23 del Estatuto del Personal...» (art. 3.1); y que «Podrán presentar candidaturas las organizaciones sindicales legalmente constituidas, de acuerdo con el artículo 23 del Estatuto de Personal...» (art. 9.1).</w:t>
      </w:r>
    </w:p>
    <w:p w:rsidR="006854DA" w:rsidRDefault="006854DA" w:rsidP="006854DA">
      <w:pPr>
        <w:pStyle w:val="TextoNormal"/>
      </w:pPr>
      <w:r>
        <w:t>Como se aprecia, ambos preceptos remiten expresamente al art. 23 del E.P.C.G., a cuyo tenor, según la redacción dada al mismo por el Acuerdo de las Mesas de las Cámaras de 25 de abril de 1988:</w:t>
      </w:r>
    </w:p>
    <w:p w:rsidR="006854DA" w:rsidRDefault="006854DA" w:rsidP="006854DA">
      <w:pPr>
        <w:pStyle w:val="TextoNormal"/>
      </w:pPr>
      <w:r>
        <w:t>«1. La representación de los funcionarios de las Cortes Generales la ostentarán las organizaciones sindicales legalmente constituidas en aquéllas.</w:t>
      </w:r>
    </w:p>
    <w:p w:rsidR="006854DA" w:rsidRDefault="006854DA" w:rsidP="006854DA">
      <w:pPr>
        <w:pStyle w:val="TextoNormal"/>
      </w:pPr>
      <w:r>
        <w:t>2. Las organizaciones sindicales quedarán formalmente constituidas y gozarán de plena capacidad jurídica mediante su inscripción en el Registro de Organizaciones Sindicales de las Cortes Generales. A tales efectos, y de acuerdo con el artículo 72 de la Constitución, se verificará el depósito de los Estatutos en dicho Registro, de acuerdo con el procedimiento dispuesto en el art. 4 de la Ley Orgánica de Libertad Sindical y disposición final primera de la referida Ley; las referencias de dicha norma a la oficina pública y «el Boletín correspondiente» lo son al Registro de Organizaciones Sindicales de las Cortes Generales y «Boletín Oficial de las Cortes Generales».</w:t>
      </w:r>
    </w:p>
    <w:p w:rsidR="006854DA" w:rsidRDefault="006854DA" w:rsidP="006854DA">
      <w:pPr>
        <w:pStyle w:val="TextoNormal"/>
      </w:pPr>
      <w:r>
        <w:t>A los solos efectos informativos, se comunicará al Registro correspondiente dependiente del Ministerio de Trabajo relación de Organizaciones Sindicales con implantación en el ámbito de las Cortes Generales.</w:t>
      </w:r>
    </w:p>
    <w:p w:rsidR="006854DA" w:rsidRDefault="006854DA" w:rsidP="006854DA">
      <w:pPr>
        <w:pStyle w:val="TextoNormal"/>
      </w:pPr>
      <w:r>
        <w:t>Las Asociaciones y Sindicatos ya inscritos actualmente mantendrán su personalidad jurídica como tales organizaciones sindicales.»</w:t>
      </w:r>
    </w:p>
    <w:p w:rsidR="006854DA" w:rsidRDefault="006854DA" w:rsidP="006854DA">
      <w:pPr>
        <w:pStyle w:val="TextoNormal"/>
      </w:pPr>
      <w:r>
        <w:t xml:space="preserve">A juicio de la Federación Sindical recurrente los preceptos transcritos son contrarios a los derechos fundamentales de libertad sindical (art. 28.1 C.E.)  y a la igualdad (art. 14 C.E.).  Dicha federación aprobó sus Estatutos en el Primer Congreso celebrado en Madrid los días 21 y 25 de 1978, depositándolos en la Oficina Pública establecida al efecto. Desde ese mismo momento, y de conformidad con lo dispuesto en el art. 3 de la Ley de 1 de abril de 1977, gozó de personalidad jurídica que fue convalidada con la entrada en vigor de la Ley Orgánica de Libertad Sindical (L.O.L.S.).  Tanto en distintos Convenios y Pactos Internacionales suscritos por España como en la propia Exposición de Motivos de la L.O.L.S. se incide especialmente en que los requisitos formales para la constitución de un sindicato de trabajadores han de ser mínimos, de carácter formal y a los solos efectos de publicidad. Sin embargo, los mencionados preceptos de la Resolución que se impugna y el art. 23 del E.P.C.G.  niegan a las organizaciones sindicales la posibilidad de participar en las elecciones a la Junta de Personal, y aun de ejercer otras actividades de representación institucional o acción sindical, a no ser que se constituyan nuevamente ante el Registro creado al efecto en ese órgano constitucional. En criterio de la actora, al no reconocerse personalidad jurídica ni capacidad de obrar a aquellas organizaciones sindicales que, con carácter general, ya la tienen reconocida por las leyes y mediante su inscripción en el </w:t>
      </w:r>
      <w:r>
        <w:lastRenderedPageBreak/>
        <w:t>oportuno Registro, el art. 23 del Estatuto de Personal y las citados preceptos de la Resolución conjunta de los Presidentes de las dos Cámaras de las Cortes Generales que expresamente remiten al mismo vulneran el derecho fundamental a la libertad sindical que garantiza el art. 28.1 C.E., imponiendo una limitación injustificada al ejercicio del mencionado derecho fundamental.</w:t>
      </w:r>
    </w:p>
    <w:p w:rsidR="006854DA" w:rsidRDefault="006854DA" w:rsidP="006854DA">
      <w:pPr>
        <w:pStyle w:val="TextoNormal"/>
      </w:pPr>
      <w:r>
        <w:t>Por otra parte, también se lesionaría el derecho a la igualdad que garantiza el art. 14 C.E., pues las referidas normas de las Cortes Generales establecen un trato diferenciado que condiciona la actividad sindical sin que exista justificación objetiva y razonable para ello.</w:t>
      </w:r>
    </w:p>
    <w:p w:rsidR="006854DA" w:rsidRDefault="006854DA" w:rsidP="006854DA">
      <w:pPr>
        <w:pStyle w:val="TextoNormal"/>
      </w:pPr>
    </w:p>
    <w:p w:rsidR="006854DA" w:rsidRDefault="006854DA" w:rsidP="006854DA">
      <w:pPr>
        <w:pStyle w:val="TextoNormal"/>
      </w:pPr>
      <w:r w:rsidRPr="006854DA">
        <w:rPr>
          <w:rStyle w:val="NumeroAFNegritaCaracter"/>
        </w:rPr>
        <w:t>8</w:t>
      </w:r>
      <w:r>
        <w:t>. La denunciada violación del derecho a la igualdad no puede prosperar, pues carece de sustantividad propia. Es claro que los preceptos impugnados establecen una regulación de carácter general para todas aquellas organizaciones sindicales que decidan participar en las elecciones a la Junta de Personal de las Cortes Generales, sin que en ellas se disponga un tratamiento singular y eventualmente discriminatorio en relación con la federación sindical demandante de amparo.  Se evidencia, así, que bajo la pretendida vulneración de su derecho a la igualdad, la actora únicamente viene a reproducir su denuncia sobre la lesión del derecho a la libertad sindical.</w:t>
      </w:r>
    </w:p>
    <w:p w:rsidR="006854DA" w:rsidRDefault="006854DA" w:rsidP="006854DA">
      <w:pPr>
        <w:pStyle w:val="TextoNormal"/>
      </w:pPr>
    </w:p>
    <w:p w:rsidR="006854DA" w:rsidRDefault="006854DA" w:rsidP="006854DA">
      <w:pPr>
        <w:pStyle w:val="TextoNormal"/>
      </w:pPr>
      <w:r w:rsidRPr="006854DA">
        <w:rPr>
          <w:rStyle w:val="NumeroAFNegritaCaracter"/>
        </w:rPr>
        <w:t>9</w:t>
      </w:r>
      <w:r>
        <w:t>. Por lo que hace ya a la vulneración de esta libertad, procede recordar cómo nuestra Constitución reconoce el derecho a fundar sindicatos (art.28.1) «dentro del respeto a la</w:t>
      </w:r>
    </w:p>
    <w:p w:rsidR="006854DA" w:rsidRDefault="006854DA" w:rsidP="006854DA">
      <w:pPr>
        <w:pStyle w:val="TextoNormal"/>
      </w:pPr>
      <w:r>
        <w:t>Constitución y la ley» (art. 7 C.E.). Por su parte, el art. 4.1 de la L.O.L.S.  dispone que «Los sindicatos constituidos al amparo de esta Ley, para adquirir la personalidad jurídica y plena capacidad de obrar deberán depositar... sus estatutos en la oficina pública establecida al efecto» y, en su disposición final primera, apartado uno, declara que «Las organizaciones sindicales constituidas en aplicación de la Ley 19/1977, de 1 de abril, y que gocen de personalidad jurídica en la fecha de entrada en vigor de esta Ley conservarán el derecho a la denominación, sin que en ningún caso se produzca solución de continuidad en su personalidad, quedando automáticamente convalidadas».</w:t>
      </w:r>
    </w:p>
    <w:p w:rsidR="006854DA" w:rsidRDefault="006854DA" w:rsidP="006854DA">
      <w:pPr>
        <w:pStyle w:val="TextoNormal"/>
      </w:pPr>
      <w:r>
        <w:t>De este modo, el derecho fundamental a la libertad sindical (art. 28.1 C.E.)  incorpora, como contenido esencial del mismo, y en plena sintonía con lo dispuesto en los Convenios internacionales suscritos por España sobre la materia (en particular, el art. 2 del Convenio 87 de la O.I.T.)  el derecho a fundar y crear libremente sindicatos sin autorización previa [art. 2.1 a) L.O.L.S.].</w:t>
      </w:r>
    </w:p>
    <w:p w:rsidR="006854DA" w:rsidRDefault="006854DA" w:rsidP="006854DA">
      <w:pPr>
        <w:pStyle w:val="TextoNormal"/>
      </w:pPr>
      <w:r>
        <w:t>La constitución de un sindicato, en tanto que asociaciones de relevancia constitucional (SSTC 18/1984, 20/1985 y 67/1985), no está sometida a más límites que los derivados de los arts.  7 y 22 C.E., ni requiere de algún complemento estatal autorizante de la voluntad fundacional de sus miembros.  Por ello mismo, el cumplimiento de la obligación legal de depositar sus estatutos «en la oficina pública establecida al efecto» que dispone el art.  4.1 L.O.L.S. se exige únicamente -como el propio precepto señala- para «adquirir la personalidad jurídica y plena capacidad de obrar». La obligación de depósito obedece, pues, a la necesidad de establecer un sistema de reconocimiento que permita la identificación jurídica del grupo como sujeto unitario de derechos y su incorporación a un status especialmente favorable para el ejercicio de su acción.</w:t>
      </w:r>
    </w:p>
    <w:p w:rsidR="006854DA" w:rsidRDefault="006854DA" w:rsidP="006854DA">
      <w:pPr>
        <w:pStyle w:val="TextoNormal"/>
      </w:pPr>
      <w:r>
        <w:t xml:space="preserve">Nada impide al legislador articular esa operación de registro como un presupuesto para el eventual control formal de la legalidad del sindicato, y así lo declaró este Tribunal en relación con otras asociaciones también de relevancia constitucional como lo son los partidos políticos (SSTC 3/1981 y 85/1986). Ahora bien, una vez reconocidas al sindicato </w:t>
      </w:r>
      <w:r>
        <w:lastRenderedPageBreak/>
        <w:t>personalidad jurídica y capacidad de obrar, ese reconocimiento produce plenos efectos jurídicos (art.  4 de la</w:t>
      </w:r>
    </w:p>
    <w:p w:rsidR="006854DA" w:rsidRDefault="006854DA" w:rsidP="006854DA">
      <w:pPr>
        <w:pStyle w:val="TextoNormal"/>
      </w:pPr>
      <w:r>
        <w:t>L.O.L.S.), por lo que, en principio, y salvo condicionamientos derivados de otros mandatos constitucionales, ha de estimarse contraria a la Constitución cualquier disposición legal que coloque a las organizaciones sindicales en la necesidad de tener que adquirir nuevamente una personalidad jurídica y una capacidad de obrar de la que previamente ya disfrutaban. Una exigencia de este tipo vulnera el derecho fundamental a la libertad sindical (art. 28.1 C.E.), erigiéndose en injustificado impedimento para su ejercicio, con olvido del principio de mínima injerencia del Estado que, como queda expuesto, es el que ha de presidir el sistema de reconocimiento de personalidad jurídica a las organizaciones sindicales.</w:t>
      </w:r>
    </w:p>
    <w:p w:rsidR="006854DA" w:rsidRDefault="006854DA" w:rsidP="006854DA">
      <w:pPr>
        <w:pStyle w:val="TextoNormal"/>
      </w:pPr>
    </w:p>
    <w:p w:rsidR="006854DA" w:rsidRDefault="006854DA" w:rsidP="006854DA">
      <w:pPr>
        <w:pStyle w:val="TextoNormal"/>
      </w:pPr>
      <w:r w:rsidRPr="006854DA">
        <w:rPr>
          <w:rStyle w:val="NumeroAFNegritaCaracter"/>
        </w:rPr>
        <w:t>10</w:t>
      </w:r>
      <w:r>
        <w:t>. Lo anterior no se ve desvirtuado por la previsión constitucional recogida en el art. 72.1 C.E., es decir, por la autonomía normativa de las Cortes Generales y, en particular, por su competencia para regular el Estatuto del Personal de las mismas.</w:t>
      </w:r>
    </w:p>
    <w:p w:rsidR="006854DA" w:rsidRDefault="006854DA" w:rsidP="006854DA">
      <w:pPr>
        <w:pStyle w:val="TextoNormal"/>
      </w:pPr>
      <w:r>
        <w:t>La autonomía organizativa de las Cámaras (art. 72.1 C.E.)  no cobija una potestad normadora de carácter genérico. Antes bien, como prerrogativa constitucional al servicio de su independencia frente a eventuales injerencias de otros poderes del Estado, dicha potestad normativa interna se proyecta exclusivamente sobre el ámbito material que determina el propio art. 72.1 C.E.</w:t>
      </w:r>
    </w:p>
    <w:p w:rsidR="006854DA" w:rsidRDefault="006854DA" w:rsidP="006854DA">
      <w:pPr>
        <w:pStyle w:val="TextoNormal"/>
      </w:pPr>
      <w:r>
        <w:t>Con apoyo en esta prerrogativa constitucional, y por expreso mandato del art.  72.1 C.E., corresponde a las Cámaras aprobar, de común acuerdo, el Estatuto del Personal de las Cortes Generales, entre cuyos contenidos pueden figurar disposiciones relativas a las elecciones sindicales y a los órganos de representación de su personal que, dentro del respeto a la Constitución y, en principio, también a la L.O.L.S. -en tanto que norma de desarrollo directo del derecho fundamental de libertad sindical-, introduzcan ciertas variaciones o adaptaciones normativas en atención a las peculiaridades estatutarias del personal al servicio de las Cortes Generales. De hecho, la propia Ley 9/1987 de Regulación de los Órganos de Representación, Determinación de las Condiciones de Trabajo y Participación del Personal al Servicio de las Administraciones Públicas, tras la reforma operada por la Ley 18/1994, de 30 de junio, reconoce esa singularidad, cuando incluye en su ámbito de aplicación al personal funcionario al servicio de los órganos constitucionales «sin perjuicio de lo dispuesto en el art. 72 de la Constitución» (art. 1.2).</w:t>
      </w:r>
    </w:p>
    <w:p w:rsidR="006854DA" w:rsidRDefault="006854DA" w:rsidP="006854DA">
      <w:pPr>
        <w:pStyle w:val="TextoNormal"/>
      </w:pPr>
      <w:r>
        <w:t>En el ejercicio de esa autonomía normativa constitucionalmente conferida a las Cámaras, las Cortes Generales, mediante remisión al art. 4 de la L.O.L.S., en el que únicamente se hace referencia a «la oficina pública establecida al efecto», pueden constituir un Registro propio de Organizaciones Sindicales y facilitar, así, el reconocimiento de la personalidad jurídica y de la capacidad de obrar de aquellos sindicatos que vayan a desarrollar preferentemente su actividad en el seno de las Cortes Generales.  A este fin responde el art. 23 del E.P.C.G. en la redacción dada al mismo por el Acuerdo de las Mesas de las Cámaras de 25 de Abril de 1988, desde cuya perspectiva, el artículo mencionado no puede estimarse contrario al derecho fundamental de libertad sindical, ni excede tampoco el ámbito competencial delimitado por el art. 72 C.E.</w:t>
      </w:r>
    </w:p>
    <w:p w:rsidR="006854DA" w:rsidRDefault="006854DA" w:rsidP="006854DA">
      <w:pPr>
        <w:pStyle w:val="TextoNormal"/>
      </w:pPr>
      <w:r>
        <w:t>Mas la federación sindical recurrente no cuestiona propiamente en su queja la creación del citado Registro, sino lo dispuesto en el primer apartado del 23 del E.P.C.G. según el cual «La representación de los funcionarios de las Cortes Generales la ostentarán las organizaciones sindicales legalmente constituidas en aquéllas», condicionando así el resto del precepto.</w:t>
      </w:r>
    </w:p>
    <w:p w:rsidR="006854DA" w:rsidRDefault="006854DA" w:rsidP="006854DA">
      <w:pPr>
        <w:pStyle w:val="TextoNormal"/>
      </w:pPr>
      <w:r>
        <w:lastRenderedPageBreak/>
        <w:t>Dicho precepto impide a las organizaciones sindicales, que previamente han obtenido el reconocimiento de su personalidad jurídica y capacidad de obrar, desempeñar su actividad en el ámbito de las Cortes Generales a no ser que vuelvan a "constituirse" previo depósito de sus estatutos en el Registro de Organizaciones Sindicales de las Cortes Generales. De este modo, no sólo se priva de su eficacia jurídica general al reconocimiento de personalidad de los sindicatos ex art. 4 L.O.L.S.  sino que, además, se desconoce -por referencia a la federación sindical demandante- la cláusula de convalidación («sin que en ningún caso se produzca solución de continuidad en su personalidad») prevista en la disposición final primera de dicha Ley orgánica.</w:t>
      </w:r>
    </w:p>
    <w:p w:rsidR="006854DA" w:rsidRDefault="006854DA" w:rsidP="006854DA">
      <w:pPr>
        <w:pStyle w:val="TextoNormal"/>
      </w:pPr>
      <w:r>
        <w:t>La autonomía normativa de las Cortes Generales (art. 72.1 C.E.)  puede ciertamente permitir en esta materia, como hemos visto, una modulación y adaptación de las previsiones establecidas con carácter general por el legislador en atención a las peculiaridades de ese órgano constitucional. Ahora bien, una alteración del sistema de reconocimiento de personalidad jurídica como la que nos ocupa, al igual que la modificación de algún otro elemento de similar trascendencia del régimen jurídico de una asociación con relevancia constitucional como lo son los Sindicatos, efectuada a través de la específica potestad normativa del art. 72.1 C.E., requiere una justificación constitucional específica, susceptible de ser contrastada con el ya referido principio de intervención mínima. Sin embargo, ni en las disposiciones impugnadas ni en el escrito de alegaciones presentado por el Letrado representante de las Cortes Generales se aduce motivo alguno que justifique la ratio de esa medida, ni, prima facie, se aprecia conexión alguna entre la obligación impuesta a los sindicatos de tener que constituirse nuevamente ante el Registro creado ex professo en las Cortes Generales y la necesidad de garantizar su autonomía e independencia como órgano constitucional.</w:t>
      </w:r>
    </w:p>
    <w:p w:rsidR="006854DA" w:rsidRDefault="006854DA" w:rsidP="006854DA">
      <w:pPr>
        <w:pStyle w:val="TextoNormal"/>
      </w:pPr>
    </w:p>
    <w:p w:rsidR="006854DA" w:rsidRDefault="006854DA" w:rsidP="006854DA">
      <w:pPr>
        <w:pStyle w:val="TextoNormal"/>
      </w:pPr>
      <w:r w:rsidRPr="006854DA">
        <w:rPr>
          <w:rStyle w:val="NumeroAFNegritaCaracter"/>
        </w:rPr>
        <w:t>11</w:t>
      </w:r>
      <w:r>
        <w:t>. Ahora bien, cabe preguntarse en sintonía con lo manifestado por el Ministerio Fiscal con apoyo en la Sentencia del Tribunal Supremo (fundamento jurídico 9º. punto 6º), si es posible salvar la eventual inconstitucionalidad del art. 23 E.P.C.G.  mediante una interpretación conforme del inciso final de su párrafo segundo, en el que se dispone que «Las Asociaciones y Sindicatos ya inscritos actualmente mantendrán su personalidad jurídica como tales organizaciones sindicales».</w:t>
      </w:r>
    </w:p>
    <w:p w:rsidR="006854DA" w:rsidRDefault="006854DA" w:rsidP="006854DA">
      <w:pPr>
        <w:pStyle w:val="TextoNormal"/>
      </w:pPr>
      <w:r>
        <w:t>En efecto, habida cuenta de que fue el Acuerdo de 25 de abril de 1988, por el que se dio nueva redacción al art. 23 E.P.C.G. el que creó con rango legal el Registro de Organizaciones Sindicales de las Cortes Generales, no es difícil entender que bajo la locución «Asociaciones y Sindicatos ya inscritos» se está haciendo expresa referencia a aquellas otras organizaciones sindicales que ya hubiesen obtenido el pertinente reconocimiento de su personalidad, bien por convalidación (ex Disposición final primera de la L.O.L.S.), bien, con carácter general, por haberse inscrito en el Registro Público a que se refiere el art. 4.1 L.O.L.S.</w:t>
      </w:r>
    </w:p>
    <w:p w:rsidR="006854DA" w:rsidRDefault="006854DA" w:rsidP="006854DA">
      <w:pPr>
        <w:pStyle w:val="TextoNormal"/>
      </w:pPr>
      <w:r>
        <w:t>De este modo, mientras que el reconocimiento de personalidad jurídica de aquellos sindicatos que decidan constituirse en el Registro al efecto creado en las Cortes se comunicará «a los solos efectos informativos» «al Registro correspondiente dependiente del Ministerio de</w:t>
      </w:r>
    </w:p>
    <w:p w:rsidR="006854DA" w:rsidRDefault="006854DA" w:rsidP="006854DA">
      <w:pPr>
        <w:pStyle w:val="TextoNormal"/>
      </w:pPr>
      <w:r>
        <w:t xml:space="preserve">Trabajo» (art. 23.2 E.P.C.G.)  habrá igualmente que entender que, respecto de aquellos otros sindicatos que -como el recurrente- ya habían obtenido el reconocimiento de su personalidad, así como tambien aquellos que pueden obtenerla en un futuro, mediante su inscripción en el Registro a que se refiere el art. 4 L.O.L.S., sólo pesará la obligación, también a efectos puramente informativos, de acreditar ante el Registro de Organizaciones </w:t>
      </w:r>
      <w:r>
        <w:lastRenderedPageBreak/>
        <w:t>Sindicales de las Cortes Generales la personalidad jurídica que previamente le fue reconocida.</w:t>
      </w:r>
    </w:p>
    <w:p w:rsidR="006854DA" w:rsidRDefault="006854DA" w:rsidP="006854DA">
      <w:pPr>
        <w:pStyle w:val="TextoNormal"/>
      </w:pPr>
      <w:r>
        <w:t>En resumen, el art. 23 E.P.C.G. puede ser interpretado sin dificultad en el sentido de que la inscripción en el Registro que en él se establece carece de carácter constitutivo en el supuesto de aquellos sindicatos que, como es el caso del recurrente en amparo, en cualquier momento, decidiesen desplegar su actuación en el ámbito de las Cortes Generales y ya tuviesen reconocida su personalidad con arreglo al sistema general previsto en la L.O.L.S.</w:t>
      </w:r>
    </w:p>
    <w:p w:rsidR="006854DA" w:rsidRDefault="006854DA" w:rsidP="006854DA">
      <w:pPr>
        <w:pStyle w:val="TextoNormal"/>
      </w:pPr>
    </w:p>
    <w:p w:rsidR="006854DA" w:rsidRDefault="006854DA" w:rsidP="006854DA">
      <w:pPr>
        <w:pStyle w:val="TextoNormal"/>
      </w:pPr>
      <w:r w:rsidRPr="006854DA">
        <w:rPr>
          <w:rStyle w:val="NumeroAFNegritaCaracter"/>
        </w:rPr>
        <w:t>12</w:t>
      </w:r>
      <w:r>
        <w:t>. Descartada, con arreglo al anterior razonamiento, la alegada vulneración del derecho fundamental a la libertad sindical por parte del art. 23 E.P.C.G., procede desestimar la presente demanda de amparo dirigida frente a los arts.  3.1 y 9.1 de la Resolución de los Presidentes del Congreso de los Diputados y del Senado de 20 de mayo de 1988, toda vez que, como ya consta, los mismos no hacen sino remitirse a lo previsto en el citado art. 23, al igual que a la Sentencia de la Sala Tercera del Tribunal Supremo, de 26 de septiembre de 1994, recaída en la vía previa a este proceso constitucional.</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presente recurso de amparo.</w:t>
      </w:r>
    </w:p>
    <w:p w:rsidR="006854DA" w:rsidRDefault="006854DA" w:rsidP="006854DA">
      <w:pPr>
        <w:pStyle w:val="TextoNormal"/>
      </w:pPr>
    </w:p>
    <w:p w:rsidR="006854DA" w:rsidRDefault="006854DA" w:rsidP="006854DA">
      <w:pPr>
        <w:pStyle w:val="TextoNormal"/>
      </w:pPr>
      <w:r>
        <w:t>Dada en Madrid a 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8" w:name="SENTENCIA_1997_122"/>
      <w:r>
        <w:lastRenderedPageBreak/>
        <w:t>SENTENCIA 122/1997, de 1 de julio de 1997</w:t>
      </w:r>
    </w:p>
    <w:bookmarkEnd w:id="38"/>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ECLI:ES:TC:1997:122</w:t>
      </w:r>
    </w:p>
    <w:p w:rsidR="006854DA" w:rsidRDefault="006854DA" w:rsidP="006854DA">
      <w:pPr>
        <w:pStyle w:val="SntesisDescriptiva"/>
      </w:pPr>
    </w:p>
    <w:p w:rsidR="006854DA" w:rsidRDefault="006854DA" w:rsidP="006854DA">
      <w:pPr>
        <w:pStyle w:val="SntesisDescriptiva"/>
      </w:pPr>
      <w:r>
        <w:t>Recurso de amparo 2.916/1995. Contra Autos y Sentencia de la Audiencia Provincial de La Rioja.</w:t>
      </w:r>
    </w:p>
    <w:p w:rsidR="006854DA" w:rsidRDefault="006854DA" w:rsidP="006854DA">
      <w:pPr>
        <w:pStyle w:val="SntesisDescriptiva"/>
      </w:pPr>
    </w:p>
    <w:p w:rsidR="006854DA" w:rsidRDefault="006854DA" w:rsidP="006854DA">
      <w:pPr>
        <w:pStyle w:val="SntesisAnaltica"/>
      </w:pPr>
      <w:r>
        <w:t>Vulneración del derecho a la tutela judicial efectiva: indefensión causada por denegación de la petición de recibimiento a prueba.</w:t>
      </w:r>
    </w:p>
    <w:p w:rsidR="006854DA" w:rsidRDefault="006854DA" w:rsidP="006854DA">
      <w:pPr>
        <w:pStyle w:val="SntesisAnaltica"/>
      </w:pPr>
    </w:p>
    <w:p w:rsidR="006854DA" w:rsidRDefault="006854DA" w:rsidP="006854DA">
      <w:pPr>
        <w:pStyle w:val="Extracto"/>
      </w:pPr>
      <w:r>
        <w:t>1.</w:t>
      </w:r>
      <w:r>
        <w:tab/>
        <w:t>La no interposición del recurso de súplica contra el Auto impugnado por parte del demandante de amparo privó a la Audiencia Provincial de La Rioja de la posibilidad cierta de reconsiderar su inicial decisión desestimatoria y, en su caso, de restablecer la lesión constitucional que ahora se suscita ante este Tribunal de manera indebida, al haber sido incumplidas las exigencias inherentes al principio constitucional de subsidiariedad que rige las relaciones entre Poder Judicial y Tribunal Constitucional en materia de protección jurisdiccional de los derechos fundamentales (art. 53.2 C.E.) [F.J. 2].</w:t>
      </w:r>
    </w:p>
    <w:p w:rsidR="006854DA" w:rsidRDefault="006854DA" w:rsidP="006854DA">
      <w:pPr>
        <w:pStyle w:val="Extracto"/>
      </w:pPr>
    </w:p>
    <w:p w:rsidR="006854DA" w:rsidRDefault="006854DA" w:rsidP="006854DA">
      <w:pPr>
        <w:pStyle w:val="Extracto"/>
      </w:pPr>
      <w:r>
        <w:t>2.</w:t>
      </w:r>
      <w:r>
        <w:tab/>
        <w:t>No se puede calificar de proporcionada la consecuencia que otorgó el órgano judicial -no admitir el recibimiento del juicio a prueba- al error procesal que imputaba a la parte, consistente en la no especificación en el escrito de instrucción de la prueba de los medios probatorios de los que pretendía valerse. Trátase aquí, en suma -como se dijo en la STC 157/1989-, «de no convertir los requisitos procesales en obstáculos que en sí mismos constituyan impedimentos para que la tutela judicial sea efectiva, sino que su exigencia responda a la verdadera finalidad de los mismos, esto es: la ordenación del proceso en garantía de los derechos de las partes» [F.J.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2.916/95, promovido por don Antonio Pinto do Bento, representado por el Procurador don Manuel Infante Sánchez Torres y asistido por el Le</w:t>
      </w:r>
      <w:r>
        <w:lastRenderedPageBreak/>
        <w:t>trado don Juan Antonio Soriano Jiménez, contra los Autos de 18 de enero, 9 de febrero y 6 de marzo de 1995, y la Sentencia de 14 de julio de 1995, resoluciones todas ellas dictadas por la Audiencia Provincial de La Rioja. Ha intervenido el Ministerio Fiscal y ha sido parte "Ofimática de Marco Soria, S.A.", representada por la procuradora doña Amalia Ruíz García y asistida por la Letrada doña Concepción Arruga Segura. Ha sido Ponente el Magistrado don Vicente Gimeno Sendra,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ante este Tribunal el día 29 de julio de 1995, la representación procesal de don Antonio Pinto do Bento interpuso el recurso de amparo del que se ha hecho mención en el encabezamiento.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se fundamenta en los siguientes hechos: </w:t>
      </w:r>
    </w:p>
    <w:p w:rsidR="006854DA" w:rsidRDefault="006854DA" w:rsidP="006854DA">
      <w:pPr>
        <w:pStyle w:val="TextoNormal"/>
      </w:pPr>
      <w:r>
        <w:t xml:space="preserve">a) El demandante de amparo fue declarado en rebeldía en el juicio ejecutivo núm. 59/93, seguido ante el Juzgado de Primera Instancia núm. 2 de los de Logroño, que finalizó mediante Sentencia de 20 de abril de 1993. </w:t>
      </w:r>
    </w:p>
    <w:p w:rsidR="006854DA" w:rsidRDefault="006854DA" w:rsidP="006854DA">
      <w:pPr>
        <w:pStyle w:val="TextoNormal"/>
      </w:pPr>
      <w:r>
        <w:t xml:space="preserve">b) Frente a dicha Sentencia, una vez le fue notificada, el demandante promovió recurso de apelación ante la Audiencia Provincial de La Rioja. En el trámite de instrucción del recurso, y por medio de escrito fechado el día 26 de diciembre de 1994, formuló dos diferentes solicitudes: en primer término, instó la declaración de nulidad de la diligencia de requerimiento de pago, embargo y citación de remate -por incumplimiento en su práctica de las formalidades previstas en los arts. 263 y 268 L.E.C., a los que se remite el art. 1.443 de la misma norma- y, en segundo lugar y de manera subsidiaria a la desestimación de la anterior solicitud, pidió el recibimiento a prueba del recurso, en virtud de lo dispuesto en el art. 862.5 L.E.C. </w:t>
      </w:r>
    </w:p>
    <w:p w:rsidR="006854DA" w:rsidRDefault="006854DA" w:rsidP="006854DA">
      <w:pPr>
        <w:pStyle w:val="TextoNormal"/>
      </w:pPr>
      <w:r>
        <w:t xml:space="preserve">c) Ambas solicitudes fueron desestimadas por Autos de fechas 18 de enero y 9 de febrero, respectivamente, el último de los cuales fue confirmado en súplica por nuevo Auto de 6 de marzo de 1995. </w:t>
      </w:r>
    </w:p>
    <w:p w:rsidR="006854DA" w:rsidRDefault="006854DA" w:rsidP="006854DA">
      <w:pPr>
        <w:pStyle w:val="TextoNormal"/>
      </w:pPr>
      <w:r>
        <w:t xml:space="preserve">d) En la vista oral celebrada en segunda instancia, el ahora recurrente en amparo reiteró de nuevo su solicitud de nulidad de la diligencia de requerimiento de pago, embargo y citación de remate. En el mismo acto, y subsidiariamente, instó también la nulidad de los Autos de 9 de febrero y 6 de marzo de 1995, antes reseñados, sobre la base de la doctrina contenida en la Sentencia de este Tribunal de 13 de enero de 1992. </w:t>
      </w:r>
    </w:p>
    <w:p w:rsidR="006854DA" w:rsidRDefault="006854DA" w:rsidP="006854DA">
      <w:pPr>
        <w:pStyle w:val="TextoNormal"/>
      </w:pPr>
      <w:r>
        <w:t>e) La Audiencia Provincial desestimó íntegramente el recurso de apelación mediante Sentencia de 14 de julio de 1995.</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Considera la parte recurrente que dichas resoluciones han vulnerado sus derechos fundamentales a la tutela judicial efectiva sin indefensión (art. 24.1 C.E.) y a la utilización de todos los medios de prueba pertinentes para su defensa (art. 24.2 C.E.). </w:t>
      </w:r>
    </w:p>
    <w:p w:rsidR="006854DA" w:rsidRDefault="006854DA" w:rsidP="006854DA">
      <w:pPr>
        <w:pStyle w:val="TextoNormal"/>
      </w:pPr>
      <w:r>
        <w:t xml:space="preserve">A) Sostiene, en primer término, que la diligencia acreditativa de la notificación de la resolución judicial por la que se ordena el requerimiento de pago, el embargo y la citación de remate, llevada a cabo por el Juzgado de Primera Instancia núm. 2 de los de Logroño, no se ajustó a las formalidades legales, pues en dicha diligencia, que en su día fuera levantada para certificar la entrega de la cédula a un vecino del recurrente tras una primera notificación personal infructuosa a este último, no consta "ni el segundo apellido, ni el estado, ni la ocupación de la persona" a quien se entregó la cédula, ni tampoco, ante la negativa </w:t>
      </w:r>
      <w:r>
        <w:lastRenderedPageBreak/>
        <w:t xml:space="preserve">del vecino a estampar su firma, "se dio cumplimiento a lo dispuesto en el art. 263 de la Ley de Enjuiciamiento Civil y tampoco consta que se (le) hicieran las advertencias legales del art. 268 del mismo cuerpo legal". </w:t>
      </w:r>
    </w:p>
    <w:p w:rsidR="006854DA" w:rsidRDefault="006854DA" w:rsidP="006854DA">
      <w:pPr>
        <w:pStyle w:val="TextoNormal"/>
      </w:pPr>
      <w:r>
        <w:t xml:space="preserve">Dichos defectos, según se afirma en el escrito de demanda, han tenido como resultado "que mi representado no recibió la citación en plazo, fue declarado rebelde y no pudo oponerse a la demanda ni ejercitar su derecho a la defensa, con la consiguiente indefensión, y con la consecuencia última de que se (le) ha impedido... obtener la tutela efectiva de los Jueces y Tribunales", razón por la cual solicita de este Tribunal que declare la nulidad de la diligencia de requerimiento de pago, embargo y citación de remate, del Auto de 18 de enero de 1995 y de las Sentencias recaídas en la primera y segunda instancia del juicio ejecutivo núm. 59/93, reponiendo las actuaciones al momento de llevar a la práctica la referida diligencia de requerimiento de pago, embargo y citación de remate. </w:t>
      </w:r>
    </w:p>
    <w:p w:rsidR="006854DA" w:rsidRDefault="006854DA" w:rsidP="006854DA">
      <w:pPr>
        <w:pStyle w:val="TextoNormal"/>
      </w:pPr>
      <w:r>
        <w:t xml:space="preserve">B) Manifiesta el demandante de amparo, en segundo término, que la negativa de la Audiencia Provincial a acceder a su solicitud de recibimiento a prueba de la apelación, formulada en virtud de lo dispuesto en el art. 862.5 L.E.C., le ha ocasionado la lesión del derecho fundamnetal a la prueba consagrado en el art. 24.2 C.E. </w:t>
      </w:r>
    </w:p>
    <w:p w:rsidR="006854DA" w:rsidRDefault="006854DA" w:rsidP="006854DA">
      <w:pPr>
        <w:pStyle w:val="TextoNormal"/>
      </w:pPr>
      <w:r>
        <w:t>Dicha negativa, tal y como consta en el impugnado Auto de 9 de febrero de 1995 posteriormente confirmado en súplica, se fundamenta exclusivamente en el hecho de que en la solicitud del recurrente "no se han concretado los medios probatorios, entendiendo esta Sala que en las apelaciones no existe un trámite de apertura para proponer las pruebas, sino que, como queda dicho, deben fijarse detalladamente en el escrito evacuando el trámite de instrucción para que la parte contraria en igual trámite pueda hacer alegaciones respecto de ellas con conocimiento de causa", argumentación ésta que el demandante reputa contraria a la doctrina de este Tribunal plasmada en la Sentencia de 13 de enero de 1992, de la que se transcriben diversos pasajes, lo que le conduce a instar, de manera subsidiaria a la desestimación del primer motivo de impugnación, la declaración de nulidad de los impugnados Autos de 9 de febrero y 6 de marzo de 1995, así como la reposición de las actuaciones al momento en que se proveyó sobre su solicitud de recibimiento a prueba del recurso de apelación.</w:t>
      </w:r>
    </w:p>
    <w:p w:rsidR="006854DA" w:rsidRDefault="006854DA" w:rsidP="006854DA">
      <w:pPr>
        <w:pStyle w:val="TextoNormal"/>
      </w:pPr>
    </w:p>
    <w:p w:rsidR="006854DA" w:rsidRDefault="006854DA" w:rsidP="006854DA">
      <w:pPr>
        <w:pStyle w:val="TextoNormal"/>
      </w:pPr>
      <w:r w:rsidRPr="006854DA">
        <w:rPr>
          <w:rStyle w:val="NumeroAFNegritaCaracter"/>
        </w:rPr>
        <w:t>4</w:t>
      </w:r>
      <w:r>
        <w:t>. La Sección, por medio de providencia de 20 de noviembre de 1995, acordó, en virtud de lo dispuesto en el art. 50.3 LOTC, conceder al recurrente y al Ministerio Fiscal un plazo de diez días con el fin de que formulasen alegaciones sobre el motivo de inadmisión de la demanda de amparo previsto en el art. 50.1c) LOTC. En dicho trámite, tanto el recurrente como el Ministerio Fiscal se pronunciaron en contra de la concurrencia en el caso de la referida causa de inadmisión.</w:t>
      </w:r>
    </w:p>
    <w:p w:rsidR="006854DA" w:rsidRDefault="006854DA" w:rsidP="006854DA">
      <w:pPr>
        <w:pStyle w:val="TextoNormal"/>
      </w:pPr>
    </w:p>
    <w:p w:rsidR="006854DA" w:rsidRDefault="006854DA" w:rsidP="006854DA">
      <w:pPr>
        <w:pStyle w:val="TextoNormal"/>
      </w:pPr>
      <w:r w:rsidRPr="006854DA">
        <w:rPr>
          <w:rStyle w:val="NumeroAFNegritaCaracter"/>
        </w:rPr>
        <w:t>5</w:t>
      </w:r>
      <w:r>
        <w:t>. El 15 de enero de 1996,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Por otra providencia de la misma fecha, la Sección acordó la apertura de la pieza separada de suspensión, otorgando a las partes el correspondiente plazo para efectuar alegaciones. En dicho trámite, la demandante insistió en su inicial solicitud de suspensión, a la que igualmente se adhirió el representante del Ministerio Público. La Sala, mediante Auto </w:t>
      </w:r>
      <w:r>
        <w:lastRenderedPageBreak/>
        <w:t>de 29 de enero de 1996, acordó acceder a la solicitud de suspensión de las resoluciones impugnadas.</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escrito registrado ante este Tribunal el 7 de febrero de 1996, la representación procesal de "Ofimática de Marco Soria, S.A.", compareció solicitando se la tuviera por personada como parte codemandada en el presente recurso.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Por providencia de 19 de febrero de 1996, la Sección acordó tener por recibidas las actuaciones judiciales solicitadas, por personada a la entidad "Ofimática de Marco Soria, S.A.", así como la apertura del trámite de alegaciones previsto en el art. 52 LOTC. </w:t>
      </w:r>
    </w:p>
    <w:p w:rsidR="006854DA" w:rsidRDefault="006854DA" w:rsidP="006854DA">
      <w:pPr>
        <w:pStyle w:val="TextoNormal"/>
      </w:pPr>
      <w:r>
        <w:t xml:space="preserve">A) El recurrente, a través de escrito registrado el 11 de marzo de 1996, se limitó a reiterar las iniciales alegaciones hechas constar en su escrito de interposición del recurso de amparo. </w:t>
      </w:r>
    </w:p>
    <w:p w:rsidR="006854DA" w:rsidRDefault="006854DA" w:rsidP="006854DA">
      <w:pPr>
        <w:pStyle w:val="TextoNormal"/>
      </w:pPr>
      <w:r>
        <w:t xml:space="preserve">B) La entidad codemandada, por medio de escrito registrado el 16 de marzo de 1995, instó la desestimación del recurso de amparo. </w:t>
      </w:r>
    </w:p>
    <w:p w:rsidR="006854DA" w:rsidRDefault="006854DA" w:rsidP="006854DA">
      <w:pPr>
        <w:pStyle w:val="TextoNormal"/>
      </w:pPr>
      <w:r>
        <w:t xml:space="preserve">A su juicio, el primero de los motivos de impugnación aducidos por el recurrente incurre en la causa de inadmisión consistente en no haberse agotado todos los recursos utilizables dentro de la vía judicial, pues, frente al Auto de 18 de enero de 1995, por el que la Audiencia Provincial de La Rioja desestimó la solicitud de declaración de nulidad de la diligencia de requerimiento de pago, embargo y citación de remate, no se interpuso el legalmente procedente recurso de súplica; de ahí que dicha resolución quedara firme y consentida, y su contenido sea ahora irrevisable. </w:t>
      </w:r>
    </w:p>
    <w:p w:rsidR="006854DA" w:rsidRDefault="006854DA" w:rsidP="006854DA">
      <w:pPr>
        <w:pStyle w:val="TextoNormal"/>
      </w:pPr>
      <w:r>
        <w:t xml:space="preserve">En lo que atañe al segundo de los motivos de impugnación, la parte codemandada estima que la Sentencia de este Tribunal de 13 de enero de 1992 no es aplicable al presente caso, al referirse la misma a una solicitud de recibimiento a prueba en la segunda instancia de un juicio de cognición, y no de un juicio ejecutivo como aquí se trata, en el que las Sentencias que le ponen término carecen de los efectos de la cosa juzgada. </w:t>
      </w:r>
    </w:p>
    <w:p w:rsidR="006854DA" w:rsidRDefault="006854DA" w:rsidP="006854DA">
      <w:pPr>
        <w:pStyle w:val="TextoNormal"/>
      </w:pPr>
      <w:r>
        <w:t xml:space="preserve">Añade, finalmente, que no cabe advertir en modo alguno que el recurrente en amparo haya padecido situación de indefensión alguna, por cuanto: a) Incumplió la carga procesal de personarse en el procedimiento, pues, pese a tener conocimiento de la existencia del mismo desde el 28 de febrero de 1993, no compareció hasta el posterior día 11 de noviembre de 1994, es decir, un año y diez meses después de que se produjese dicho conocimiento, sin que a lo largo de dicho período se dignase personarse o recurrir, ni contra la resolución acordando la declaración de rebeldía, ni contra la decisión de mejorar el embargo, ni en cualquier otro momento procesal; b) La actuación judicial notificadora fue respetuosa con el art. 268.2 L.E.C., pues se identificó a la persona a quien se entregó la cédula, se determinó el objeto de la diligencia y se firmó ésta por el actuario y dos personas más; c) Permaneció inactivo también en el procedimiento penal que él mismo instó frente a la ahora parte codemandada, y que finalizó por Auto de sobreseimiento provisional. </w:t>
      </w:r>
    </w:p>
    <w:p w:rsidR="006854DA" w:rsidRDefault="006854DA" w:rsidP="006854DA">
      <w:pPr>
        <w:pStyle w:val="TextoNormal"/>
      </w:pPr>
      <w:r>
        <w:t xml:space="preserve">C) El Ministerio Fiscal, por último, formuló sus alegaciones a través de escrito que quedó registrado el 18 de marzo de 1995. </w:t>
      </w:r>
    </w:p>
    <w:p w:rsidR="006854DA" w:rsidRDefault="006854DA" w:rsidP="006854DA">
      <w:pPr>
        <w:pStyle w:val="TextoNormal"/>
      </w:pPr>
      <w:r>
        <w:t>En dicho escrito se considera, en primer término, que las irregularidades que el recurrente imputa a la diligencia de requerimiento de pago y citación de remate carecen de dimensión constitucional "porque la omisión de esos datos no impide la identificación de la persona del vecino a quien se entrega la cédula y la advertencia legal se entiende hecha cuando se entrega la copia al mismo vecino para que la haga llegar al actor lo que significa que no ha producido indefensión material al ser simples infracciones procesales sin tras</w:t>
      </w:r>
      <w:r>
        <w:lastRenderedPageBreak/>
        <w:t xml:space="preserve">cendencia"; además, el actor no ha demostrado que dicho vecino no le hiciera entrega de la cédula. </w:t>
      </w:r>
    </w:p>
    <w:p w:rsidR="006854DA" w:rsidRDefault="006854DA" w:rsidP="006854DA">
      <w:pPr>
        <w:pStyle w:val="TextoNormal"/>
      </w:pPr>
      <w:r>
        <w:t>El representante del Ministerio Público, en segundo lugar, entiende, en cambio, que la invocada lesión del art. 24.2 C.E. sí posee el contenido suficiente como para determinar la estimación parcial de la demanda de amparo, pues entre la cuestión ahora planteada y la resuelta en sentido estimatorio por la STC 1/1992 concurre una substancial identidad. De ahí que se incline por considerar que la irrazonable negativa de la Audiencia a acceder al recibimiento a prueba de la segunda instancia ha lesionado el derecho de defensa del recurrente, privándole de la oportunidad de proponer pruebas y practicarlas.</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30 de junio de 1997 se acordó señalar el siguiente día 1 de julio para deliberación y votación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Tal y como se ha hecho constar de forma detallada en los antecedentes, el recurrente en amparo fue declarado en rebeldía en el juicio ejecutivo núm.  59/93, seguido ante el Juzgado de Primera Instancia núm. 2 de los de Logroño, procedimiento en el que no se personó hasta el momento en que, tras notificársele personalmente la Sentencia, interpuso frente a la misma recurso de apelación. Según afirma en la demanda, su incomparecencia a lo largo de la primera instancia se debió al hecho de no haber recibido en plazo la cédula de citación de remate que, después de un primer intento infructuoso de notificación personal, fue entregada por el Secretario a un tercero sin cumplimentar todas las formalidades legales establecidas en los arts. 263 y 268 L.E.C., lo que, en último término, le impidió comparecer y efectuar alegaciones en dicho juicio ejecutivo, sumiéndole en un estado de indefensión lesivo del art. 24.1 C.E., que no ha sido restablecido en segunda instancia por la Audiencia Provincial de la Rioja, la cual desestimó expresamente su solicitud de nulidad de la anterior diligencia de notificación y de las actuaciones posteriores a la misma.</w:t>
      </w:r>
    </w:p>
    <w:p w:rsidR="006854DA" w:rsidRDefault="006854DA" w:rsidP="006854DA">
      <w:pPr>
        <w:pStyle w:val="TextoNormal"/>
      </w:pPr>
      <w:r>
        <w:t>En segundo término, y con carácter subsidiario a la eventual desestimación del anterior motivo de impugnación, el demandante de amparo cuestiona también las resoluciones de la Audiencia Provincial de La Rioja que denegaron su solicitud de recibimiento a prueba del recurso de apelación, formulada ex art. 862.5 L.E.C., con el único argumento de no haberse reseñado en la misma los medios de prueba de los que intentaba valerse, lo que, de conformidad con la doctrina de este Tribunal contenida en la STC 1/1992, resulta lesivo de su derecho fundamental a utilizar todos los medios de prueba pertinentes para la defensa (art. 24.2 C.E.).</w:t>
      </w:r>
    </w:p>
    <w:p w:rsidR="006854DA" w:rsidRDefault="006854DA" w:rsidP="006854DA">
      <w:pPr>
        <w:pStyle w:val="TextoNormal"/>
      </w:pPr>
      <w:r>
        <w:t>A la petición del recurrente de que se declaren nulas las resoluciones impugnadas y se le restablezca en sus derechos fundamentales se ha adherido en parte el Ministerio Fiscal, quien, tras negar que las irregularidades que se predican de la diligencia de requerimiento de pago y citación de remate posean una dimensión constitucional, se muestra en cambio partidario de la estimación parcial del recurso, al entender que entre la segunda de las cuestiones planteadas en la demanda de amparo y y la resuelta en sentido estimatorio por la STC 1/1992 concurre una substancial identidad.</w:t>
      </w:r>
    </w:p>
    <w:p w:rsidR="006854DA" w:rsidRDefault="006854DA" w:rsidP="006854DA">
      <w:pPr>
        <w:pStyle w:val="TextoNormal"/>
      </w:pPr>
      <w:r>
        <w:t xml:space="preserve">La parte codemandada, por el contrario, ha postulado la íntegra desestimación del recurso de amparo, tanto por entender que el primero de los planteados motivos de impugnación incurre en la causa de inadmisión prevista en los arts.  44.1a) y 50.1a) LOTC -amén de carecer de contenido, puesto que el recurrente, al decidir libre y voluntariamente </w:t>
      </w:r>
      <w:r>
        <w:lastRenderedPageBreak/>
        <w:t>no comparecer en el juicio ejecutivo pese a conocer la pendencia del mismo, no ha podido sufrir indefensión-, como por considerar plenamente ajustada a la legalidad la interpretación que del art.  862.5 L.E.C. han llevado a cabo las resoluciones judiciales impugnadas.</w:t>
      </w:r>
    </w:p>
    <w:p w:rsidR="006854DA" w:rsidRDefault="006854DA" w:rsidP="006854DA">
      <w:pPr>
        <w:pStyle w:val="TextoNormal"/>
      </w:pPr>
    </w:p>
    <w:p w:rsidR="006854DA" w:rsidRDefault="006854DA" w:rsidP="006854DA">
      <w:pPr>
        <w:pStyle w:val="TextoNormal"/>
      </w:pPr>
      <w:r w:rsidRPr="006854DA">
        <w:rPr>
          <w:rStyle w:val="NumeroAFNegritaCaracter"/>
        </w:rPr>
        <w:t>2</w:t>
      </w:r>
      <w:r>
        <w:t>. Como ha quedado dicho, al enjuiciamiento de fondo del primero de los motivos de impugnación planteados en el recurso de amparo opone la parte codemandada la concurrencia del motivo de inadmisión consistente en no haberse agotado todos los recursos utilizables dentro de la vía judicial [arts. 44.1a) y 50.1a) LOTC], pues frente al Auto de la Audiencia Provincial de La Rioja, de 18 de enero de 1995, por el que se denegó su solicitud de nulidad de la diligencia de citación de remate por causa de indefensión, el demandante no interpuso recurso de súplica, pese a que dicho medio de impugnación era plenamente utilizable, incumpliéndo así la exigencia prevista en los citados preceptos.</w:t>
      </w:r>
    </w:p>
    <w:p w:rsidR="006854DA" w:rsidRDefault="006854DA" w:rsidP="006854DA">
      <w:pPr>
        <w:pStyle w:val="TextoNormal"/>
      </w:pPr>
      <w:r>
        <w:t>La alegada causa de inadmisión ha de ser estimada. De los antecedentes obrantes en Autos se desprende inequívocamente que, en efecto, y a diferencia de lo que hizo con respecto al Auto de 9 de febrero de 1995, sobre denegación del recibimiento a prueba del recurso de apelación, el ahora recurrente en amparo dejó pasar la oportunidad de interponer recurso de súplica frente al Auto de 18 de enero de 1995, que denegó su petición de nulidad de la diligencia de citación de remate a cuyas supuestas irregularidades achaca ahora la lesión del art. 24.1 C.E., pese a que en la notificación de dicho Auto se le ilustró expresamente de dicha posibilidad impugnatoria (art. 402 L.E.C.), y pese a que el recurso de súplica constituye en general (v.gr. AATC 334/1983 o 276/1984, entre otros), y notoriamente en casos como el ahora planteado, un cauce de impugnación objetivamente idóneo para obtener de los órganos judiciales un replanteamiento de sus iniciales decisiones y, con él, un eventual restablecimiento de los derechos fundamentales supuestamente lesionados.</w:t>
      </w:r>
    </w:p>
    <w:p w:rsidR="006854DA" w:rsidRDefault="006854DA" w:rsidP="006854DA">
      <w:pPr>
        <w:pStyle w:val="TextoNormal"/>
      </w:pPr>
      <w:r>
        <w:t>A dicha conclusión, además, no cabe oponer el hecho de que el ahora recurrente en amparo, en el acto de la vista oral de la segunda instancia, esgrimiera por segunda vez la antes citada pretensión anulatoria, pues dicha reiterada solicitud, tal y como se puso de manifiesto por la propia Audiencia Provincial de La Rioja en la Sentencia de 14 de julio de 1995, resultaba totalmente inadmisible al dirigirse a la modificación o anulación de una resolución, el Auto de 18 de enero de 1995, que ya había alcanzado firmeza.</w:t>
      </w:r>
    </w:p>
    <w:p w:rsidR="006854DA" w:rsidRDefault="006854DA" w:rsidP="006854DA">
      <w:pPr>
        <w:pStyle w:val="TextoNormal"/>
      </w:pPr>
      <w:r>
        <w:t>En consecuencia, la no interposición del recurso de súplica contra dicho Auto por parte del demandante de amparo privó a la Audiencia Provincial de La Rioja de la posibilidad cierta de reconsiderar su inicial decisión desestimatoria y, en su caso, de restablecer la lesión constitucional que ahora se suscita ante este Tribunal de manera indebida, al haber sido incumplidas las exigencias inherentes al principio constitucional de subsidiariedad que rige las relaciones entre Poder Judicial y Tribunal Constitucional en materia de protección jurisdiccional de los derechos fundamentales (art. 53.2 C.E.).</w:t>
      </w:r>
    </w:p>
    <w:p w:rsidR="006854DA" w:rsidRDefault="006854DA" w:rsidP="006854DA">
      <w:pPr>
        <w:pStyle w:val="TextoNormal"/>
      </w:pPr>
    </w:p>
    <w:p w:rsidR="006854DA" w:rsidRDefault="006854DA" w:rsidP="006854DA">
      <w:pPr>
        <w:pStyle w:val="TextoNormal"/>
      </w:pPr>
      <w:r w:rsidRPr="006854DA">
        <w:rPr>
          <w:rStyle w:val="NumeroAFNegritaCaracter"/>
        </w:rPr>
        <w:t>3</w:t>
      </w:r>
      <w:r>
        <w:t>. Pero es que, incluso con independencia de las anteriores consideraciones de índole formal, tampoco este primer motivo de impugnación podría ser estimado, pues las supuestas irregularidades formales que el recurrente predica de la notificación de la citación de remate, tal y como se desprende con claridad de las resoluciones impugnadas y han puesto en evidencia tanto el Ministerio Fiscal como la parte codemandada, carecen de relevancia constitucional.</w:t>
      </w:r>
    </w:p>
    <w:p w:rsidR="006854DA" w:rsidRDefault="006854DA" w:rsidP="006854DA">
      <w:pPr>
        <w:pStyle w:val="TextoNormal"/>
      </w:pPr>
      <w:r>
        <w:t xml:space="preserve">En efecto, desde la óptica del art. 268 L.E.C. no cabe admitir que la falta de mención en la diligencia al segundo apellido, al estado civil y a la ocupación de la persona a quien se entregó la cédula de notificación, prive a ésta de toda aptitud para alcanzar su fin, pues, </w:t>
      </w:r>
      <w:r>
        <w:lastRenderedPageBreak/>
        <w:t>habiendo sido debidamente consignados en ella el nombre y primer apellido de la persona receptora de la cédula, su relación con el destinatario de la misma (que en el presente caso era la de vecindad en el mismo inmueble), y la advertencia acerca de la obligación de entregarla lo más pronto posible a su original destinatario (lo que también hizo constar el actuario con las palabras "se entrega copia don Miguel Labrada... para que le entregue esta copia a don Antonio Pinto"), no es de recibo calificar al receptor de la cédula de "persona desconocida", como lo hace el recurrente, ni predicar de la diligencia su absoluta inidoneidad como acto procesal de comunicación.</w:t>
      </w:r>
    </w:p>
    <w:p w:rsidR="006854DA" w:rsidRDefault="006854DA" w:rsidP="006854DA">
      <w:pPr>
        <w:pStyle w:val="TextoNormal"/>
      </w:pPr>
      <w:r>
        <w:t>De otro lado, y ahora desde la perspectiva del art. 263 L.E.C., no se revela ajustada a la realidad la alegación del recurrente relativa al incumplimiento de dicho precepto por carecer la diligencia de las firmas de dos testigos, legalmente requeridas en los casos en que, como el presente, el receptor de la cédula afirma no querer firmar la diligencia. Y no se ajusta a la realidad porque la diligencia en cuestión, amén de estar firmada por el oficial actuante, también fue firmada por dos personas más, a saber: el agente judicial que, con el anterior, formaba la comisión del Juzgado, y el Procurador de la parte demandante en el juicio ejecutivo núm. 59/93.</w:t>
      </w:r>
    </w:p>
    <w:p w:rsidR="006854DA" w:rsidRDefault="006854DA" w:rsidP="006854DA">
      <w:pPr>
        <w:pStyle w:val="TextoNormal"/>
      </w:pPr>
      <w:r>
        <w:t>Por todas las expresadas razones, el primer motivo de impugnación, relativo a la supuesta indefensión padecida por el demandante de amparo como consecuencia de las irregularidades formales de que adolecía la diligencia de citación de remate, ha de ser rechazado.</w:t>
      </w:r>
    </w:p>
    <w:p w:rsidR="006854DA" w:rsidRDefault="006854DA" w:rsidP="006854DA">
      <w:pPr>
        <w:pStyle w:val="TextoNormal"/>
      </w:pPr>
    </w:p>
    <w:p w:rsidR="006854DA" w:rsidRDefault="006854DA" w:rsidP="006854DA">
      <w:pPr>
        <w:pStyle w:val="TextoNormal"/>
      </w:pPr>
      <w:r w:rsidRPr="006854DA">
        <w:rPr>
          <w:rStyle w:val="NumeroAFNegritaCaracter"/>
        </w:rPr>
        <w:t>4</w:t>
      </w:r>
      <w:r>
        <w:t>. No cabe afirmar lo propio, en cambio, con respecto al segundo de los motivos de impugnación antes enunciado, en el cual, tal y como se refleja de manera más minuciosa en los antecedentes, se invoca la lesión del derecho a la utilización de los medios de prueba pertinentes para la defensa originada por los Autos de 9 de febrero y 6 de marzo de 1995, que denegaron la petición de recibimiento a prueba de la segunda instancia, formulada por el actor en virtud de lo establecido en el art. 862.5 L.E.C., con el solo argumento de que en aquella petición no se hicieron constar en concreto los medios de prueba de los que el solicitante pretendía valerse.</w:t>
      </w:r>
    </w:p>
    <w:p w:rsidR="006854DA" w:rsidRDefault="006854DA" w:rsidP="006854DA">
      <w:pPr>
        <w:pStyle w:val="TextoNormal"/>
      </w:pPr>
      <w:r>
        <w:t xml:space="preserve">En este punto ha de convenirse con el demandante de amparo y con el Ministerio Fiscal, en que dicha cuestión coincide de manera substancial con la resuelta, en sentido estimatorio, por la STC 1/1992, resolución ésta en la que, tras hacernos eco de la doctrina constitucional emitida sobre el contenido del derecho fundamental a utilizar los medios de prueba pertinentes, pudimos declarar lo siguiente: "El Tribunal se fundó, para no recibir el juicio a prueba, en que el recurrente al solicitarlo en el escrito de instrucción, no concretó los medios de que intentaba valerse; entendió así imprescindible que en la solicitud de recibimiento se determinen y propongan las pruebas que se pretende ofrecer en la apelación y este argumento lo completó al resolver la súplica señalando que los arts. 893 y 862, in fine, exigen que los medios de prueba se formulen en el escrito de instrucción. Pero esta es una interpretación que dota a los preceptos citados de un alcance del que los mismos carecen y puede desvirtuar el especial tratamiento que la Ley otorga al rebelde comparecido, no sólo en general, sino en relación precisamente con el trámite probatorio... Al margen de la corrección o no en el plano de la legalidad ordinaria, dicha interpretación adquiere relevancia constitucional, porque configura, con formalismo excesivo, un requisito impeditivo para la práctica de la prueba por el rebelde en contra de la idea general favorable a sus posibilidades de defensa que se desprende de los preceptos citados, e incluso de la posible subsanación de una omisión formal, ya que de hecho no se le permitió así la práctica de la prueba que estimaba necesaria para fundar su oposición a la demanda. No se </w:t>
      </w:r>
      <w:r>
        <w:lastRenderedPageBreak/>
        <w:t>puede, pues, calificar de proporcionada la consecuencia que otorgó el órgano judicial -no admitir el recibimiento del juicio a prueba- al error procesal que imputaba a la parte, consistente en la no especificación en el escrito de instrucción de la prueba de los medios probatorios de los que pretendía valerse.  Trátase aquí, en suma -como se dijo en la STC 157/1989-, «de no convertir los requisitos procesales en obstáculos que en sí mismos constituyan impedimentos para que la tutela judicial sea efectiva, sino que su exigencia responda a la verdadera finalidad de los mismos, esto es: la ordenación del proceso en garantía de los derechos de las partes»".</w:t>
      </w:r>
    </w:p>
    <w:p w:rsidR="006854DA" w:rsidRDefault="006854DA" w:rsidP="006854DA">
      <w:pPr>
        <w:pStyle w:val="TextoNormal"/>
      </w:pPr>
      <w:r>
        <w:t>Por todo ello, la aplicación de la referida doctrina al presente caso ha de determinar la estimación parcial del presente recurso de amparo y, por tanto, la declaración de nulidad de las resoluciones cuestionadas en este extremo y la retroacción del procedimiento al momento en que se produjo el pronunciamiento judicial sobre la solicitud de recibimiento a prueba del recurso de apelación.</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parcialmente el recurso de amparo interpuesto por don Antonio Pinto do Bento y, en consecuencia:</w:t>
      </w:r>
    </w:p>
    <w:p w:rsidR="006854DA" w:rsidRDefault="006854DA" w:rsidP="006854DA">
      <w:pPr>
        <w:pStyle w:val="TextoNormal"/>
      </w:pPr>
      <w:r>
        <w:t>1º Restablecer al recurrente en su derecho a utilizar todos los medios de prueba pertinentes para la defensa.</w:t>
      </w:r>
    </w:p>
    <w:p w:rsidR="006854DA" w:rsidRDefault="006854DA" w:rsidP="006854DA">
      <w:pPr>
        <w:pStyle w:val="TextoNormal"/>
      </w:pPr>
      <w:r>
        <w:t>2º Anular los Autos de 9 de febrero y 6 de marzo de 1995, así como la Sentencia de 14 de julio del mismo año, dictados por la Audiencia Provincial de La Rioja.</w:t>
      </w:r>
    </w:p>
    <w:p w:rsidR="006854DA" w:rsidRDefault="006854DA" w:rsidP="006854DA">
      <w:pPr>
        <w:pStyle w:val="TextoNormal"/>
      </w:pPr>
      <w:r>
        <w:t>3º Retrotrer las actuaciones al momento de proveer sobre la solicitud del recurrente del recibimiento a prueba del recurso, para que se dicte una nueva resolución respetuosa con el art. 24.2 de la Constitución.</w:t>
      </w:r>
    </w:p>
    <w:p w:rsidR="006854DA" w:rsidRDefault="006854DA" w:rsidP="006854DA">
      <w:pPr>
        <w:pStyle w:val="TextoNormal"/>
      </w:pPr>
      <w:r>
        <w:t>Desestimar el recurso en todo lo demás.</w:t>
      </w:r>
    </w:p>
    <w:p w:rsidR="006854DA" w:rsidRDefault="006854DA" w:rsidP="006854DA">
      <w:pPr>
        <w:pStyle w:val="TextoNormal"/>
      </w:pPr>
    </w:p>
    <w:p w:rsidR="006854DA" w:rsidRDefault="006854DA" w:rsidP="006854DA">
      <w:pPr>
        <w:pStyle w:val="TextoNormal"/>
      </w:pPr>
      <w:r>
        <w:t>Dada en Madrid a 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39" w:name="SENTENCIA_1997_123"/>
      <w:r>
        <w:lastRenderedPageBreak/>
        <w:t>SENTENCIA 123/1997, de 1 de julio de 1997</w:t>
      </w:r>
    </w:p>
    <w:bookmarkEnd w:id="39"/>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ECLI:ES:TC:1997:123</w:t>
      </w:r>
    </w:p>
    <w:p w:rsidR="006854DA" w:rsidRDefault="006854DA" w:rsidP="006854DA">
      <w:pPr>
        <w:pStyle w:val="SntesisDescriptiva"/>
      </w:pPr>
    </w:p>
    <w:p w:rsidR="006854DA" w:rsidRDefault="006854DA" w:rsidP="006854DA">
      <w:pPr>
        <w:pStyle w:val="SntesisDescriptiva"/>
      </w:pPr>
      <w:r>
        <w:t>Recurso de amparo 760/1996. Contra Sentencia de la Sala Segunda del Tribunal Supremo dictada en recurso de casación seguido inicialmente ante la Audiencia Provincial de las Islas Baleares.</w:t>
      </w:r>
    </w:p>
    <w:p w:rsidR="006854DA" w:rsidRDefault="006854DA" w:rsidP="006854DA">
      <w:pPr>
        <w:pStyle w:val="SntesisDescriptiva"/>
      </w:pPr>
    </w:p>
    <w:p w:rsidR="006854DA" w:rsidRDefault="006854DA" w:rsidP="006854DA">
      <w:pPr>
        <w:pStyle w:val="SntesisAnaltica"/>
      </w:pPr>
      <w:r>
        <w:t>Supuesta vulneración de los derechos a la tutela judicial efectiva, al secreto de las comunicaciones y a la presunción de inocencia.</w:t>
      </w:r>
    </w:p>
    <w:p w:rsidR="006854DA" w:rsidRDefault="006854DA" w:rsidP="006854DA">
      <w:pPr>
        <w:pStyle w:val="SntesisAnaltica"/>
      </w:pPr>
    </w:p>
    <w:p w:rsidR="006854DA" w:rsidRDefault="006854DA" w:rsidP="006854DA">
      <w:pPr>
        <w:pStyle w:val="Extracto"/>
      </w:pPr>
      <w:r>
        <w:t>1.</w:t>
      </w:r>
      <w:r>
        <w:tab/>
        <w:t>Es procedente distinguir lo que constituyen exigencias básicas de motivación de las Sentencias, que supone, como dice la doctrina de este Tribunal, una exteriorización del razonamiento que conduce desde los hechos probados y las correspondientes consideraciones jurídicas al fallo, en los términos adecuados a la naturaleza y circunstancias concurrentes (congruencia con las pretensiones deducidas conforme a la Ley, racionalidad, conformidad con las reglas de la lógica y de la experiencia humana y científica, etc.) (arts. 24.1 y 120.3 C.E.), y la justificación que ha de contenerse en las resoluciones judiciales que adoptan medidas restrictivas de los derechos fundamentales reconocidos en la Constitución, justificación que, obviamente, ha de venir referida al derecho en sí, en los términos descritos por la Ley fundamental, en la que lo importante, dada la naturaleza y justificación de la medida no es tanto la motivación en el sentido antes expuesto, cuyas exigencias no son trasladables a este tipo de resolución, sino la expresión de la ponderación efectiva hecha por el Juez en relación con los valores o bienes jurídicos en juego en cada caso, según el derecho fundamental afectado, haciendo efectiva la exigencia de proporcionalidad inherente a la justicia [F.J. 3].</w:t>
      </w:r>
    </w:p>
    <w:p w:rsidR="006854DA" w:rsidRDefault="006854DA" w:rsidP="006854DA">
      <w:pPr>
        <w:pStyle w:val="Extracto"/>
      </w:pPr>
    </w:p>
    <w:p w:rsidR="006854DA" w:rsidRDefault="006854DA" w:rsidP="006854DA">
      <w:pPr>
        <w:pStyle w:val="Extracto"/>
      </w:pPr>
      <w:r>
        <w:t>2.</w:t>
      </w:r>
      <w:r>
        <w:tab/>
        <w:t>Conviene recordar lo establecido en el art.10.2 C.E., donde se afirma que las normas relativas a los derechos fundamentales y a las libertades que la Constitución reconoce deben interpretarse de conformidad con la Declaración Universal de Derechos Humanos y los tratados y acuerdos internacionales sobre las mismas materias ratificados por España, entre los que se encuentra el Convenio para la Protección de los Derechos Humanos y las Libertades Fundamentales [F.J. 4].</w:t>
      </w:r>
    </w:p>
    <w:p w:rsidR="006854DA" w:rsidRDefault="006854DA" w:rsidP="006854DA">
      <w:pPr>
        <w:pStyle w:val="Extracto"/>
      </w:pPr>
    </w:p>
    <w:p w:rsidR="006854DA" w:rsidRDefault="006854DA" w:rsidP="006854DA">
      <w:pPr>
        <w:pStyle w:val="Extracto"/>
      </w:pPr>
      <w:r>
        <w:t>3.</w:t>
      </w:r>
      <w:r>
        <w:tab/>
        <w:t>Este Tribunal ha declarado en el ATC 344/1990, que siendo cierto que la observación de las telecomunicaciones supone una grave injerencia en la esfera de la intimidad personal constitucionalmente reconocida, como tal injerencia ha de estar sometida al principio de legalidad y, en especial, al de proporcionalidad (STC 37/1989), el cual se refiere no sólo a la relativa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 [F.J. 4].</w:t>
      </w:r>
    </w:p>
    <w:p w:rsidR="006854DA" w:rsidRDefault="006854DA" w:rsidP="006854DA">
      <w:pPr>
        <w:pStyle w:val="Extracto"/>
      </w:pPr>
    </w:p>
    <w:p w:rsidR="006854DA" w:rsidRDefault="006854DA" w:rsidP="006854DA">
      <w:pPr>
        <w:pStyle w:val="Extracto"/>
      </w:pPr>
      <w:r>
        <w:lastRenderedPageBreak/>
        <w:t>4.</w:t>
      </w:r>
      <w:r>
        <w:tab/>
        <w:t>De acuerdo en este sentido con la citada doctrina reiteradísima y constante de este Tribunal, la presunción de inocencia, reconocida en el art. 24.2 de la Constitución, tiene su fundamento en dos conceptos de carácter previo: el principio de libre valoración de la prueba en el proceso penal, que corresponde de manera efectiva a los Jueces y Tribunales por imperativo del art. 117.3 C.E., y en segundo término, que la Sentencia condenatoria ha de fundamentarse en auténticos actos de prueba, debiendo ser la prueba practicada suficiente para generar en el Tribunal la evidencia de la existencia no sólo del hecho punible, sino también de la responsabilidad penal que en él tuvo el acusado (STC 32/1995, con cita de otras resoluciones posteriores) [F.J. 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760/96, promovido por don Cristóbal Company Seguí, representado por el Procurador de los Tribunales don Pedro Antonio González Sánchez, y asistido del Letrado don Juan Carlos Peiró Juan interpuesto contra la Sentencia núm. 52/95 de fecha 30 de enero de 1996, dictada por la Sala Segunda del Tribunal Supremo en el recurso de casación núm. 262/95, seguido inicialmente ante la Audiencia Provincial de las Islas Baleares (rollo 22/94). Ha intervenido el Ministerio Fiscal. Ha sido ponente el Magistrado don Enrique Ruiz Vadillo,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registrado en este Tribunal el día 24 de febrero de 1996, don Pedro Antonio González Sánchez, Procurador de los Tribunales y de don Cristóbal Company Seguí, asistido del Letrado don Juan Carlos Peiró Juan interpuso recurso de amparo contra la Sentencia núm. 52/95 de fecha 30 de enero de 1996, dictada por la Sala Segunda del Tribunal Supremo en el recurso de casación núm. 262/95, seguido inicialmente ante la Audiencia Provincial de Baleares (rollo 22/94).</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sucintamente expuestos, en los que se fundamenta la demanda son, los que siguen: </w:t>
      </w:r>
    </w:p>
    <w:p w:rsidR="006854DA" w:rsidRDefault="006854DA" w:rsidP="006854DA">
      <w:pPr>
        <w:pStyle w:val="TextoNormal"/>
      </w:pPr>
      <w:r>
        <w:t>A) El día 28 de enero de 1993, por el Juzgado de Instrucción número 3 de Inca (Islas Baleares) se dictó Auto de intervención de la línea telefónica núm. 86.49.19, correspon</w:t>
      </w:r>
      <w:r>
        <w:lastRenderedPageBreak/>
        <w:t xml:space="preserve">diente, como titular, a doña Brigitte Jungblut, a los efectos de investigar a don José Carlos Rodríguez Moreno, autorizándose dicha intervención por tiempo de treinta días. </w:t>
      </w:r>
    </w:p>
    <w:p w:rsidR="006854DA" w:rsidRDefault="006854DA" w:rsidP="006854DA">
      <w:pPr>
        <w:pStyle w:val="TextoNormal"/>
      </w:pPr>
      <w:r>
        <w:t xml:space="preserve">B) Como consecuencia de la práctica de tal intervención telefónica, se informa por la Guardia Civil al órgano judicial, que los teléfonos marcados desde el intervenido son los núms. 27.00.15 y 908.63.12.14, cuyas titularidades corresponden respectivamente con las de don Juan Company Soler y don Cristóbal Company Seguí. </w:t>
      </w:r>
    </w:p>
    <w:p w:rsidR="006854DA" w:rsidRDefault="006854DA" w:rsidP="006854DA">
      <w:pPr>
        <w:pStyle w:val="TextoNormal"/>
      </w:pPr>
      <w:r>
        <w:t xml:space="preserve">C) Por providencia de 15 de septiembre de 1993, se acuerda la reapertura de las diligencias previas que se abrieron al efecto, dictándose en dicha fecha sendos Autos, en virtud de los cuales se acordó prorrogar la jurisdicción, así como autorizar la práctica de las diligencias de entrada y registro, y la intervención telefónica, en el inmueble donde ésta tenía que llevarse a cabo. </w:t>
      </w:r>
    </w:p>
    <w:p w:rsidR="006854DA" w:rsidRDefault="006854DA" w:rsidP="006854DA">
      <w:pPr>
        <w:pStyle w:val="TextoNormal"/>
      </w:pPr>
      <w:r>
        <w:t xml:space="preserve">D) Como consecuencia de la práctica de tales diligencias, el día 29 de noviembre de 1993 fue detenido don Cristóbal Company Seguí, dictándose el correspondiente Auto de procesamiento el día 3 de febrero de 1994. Finalmente, dicho procesado, y ahora recurrente en amparo, fue condenado por la Audiencia Provincial de las Islas Baleares mediante Sentencia de fecha 30 de noviembre de 1994, como autor responsable de un delito contra la salud pública. </w:t>
      </w:r>
    </w:p>
    <w:p w:rsidR="006854DA" w:rsidRDefault="006854DA" w:rsidP="006854DA">
      <w:pPr>
        <w:pStyle w:val="TextoNormal"/>
      </w:pPr>
      <w:r>
        <w:t>E) Contra la Sentencia dictada por la Audiencia Provincial, interpuso el solicitante el recurso de casación ante la Sala Segunda del Tribunal Supremo, dictándose Sentencia el día 30 de enero de 1996 por la que se desestimaba el meritado recurso, interponiéndose por el recurrente el día 24 de febrero de 1996 el correspondiente recurso de amparo constitucional.</w:t>
      </w:r>
    </w:p>
    <w:p w:rsidR="006854DA" w:rsidRDefault="006854DA" w:rsidP="006854DA">
      <w:pPr>
        <w:pStyle w:val="TextoNormal"/>
      </w:pPr>
    </w:p>
    <w:p w:rsidR="006854DA" w:rsidRDefault="006854DA" w:rsidP="006854DA">
      <w:pPr>
        <w:pStyle w:val="TextoNormal"/>
      </w:pPr>
      <w:r w:rsidRPr="006854DA">
        <w:rPr>
          <w:rStyle w:val="NumeroAFNegritaCaracter"/>
        </w:rPr>
        <w:t>3</w:t>
      </w:r>
      <w:r>
        <w:t>. Por el solicitante de amparo se alega la vulneración en el procedimiento judicial seguido ante la Audiencia Provincial, y la Sala Segunda del Tribunal Supremo de sus derechos fundamentales a la presunción de inocencia (art.24.2 C.E.), a la intimidad personal (art.18.1 C.E.), al secreto de las comunicaciones telefónicas (art.18.3 C.E.), a un proceso con todas las garantías (art.24.2 C.E.), y a la tutela judicial efectiva (art.24.1 C.E.), así como, igualmente solicita la suspensión de las penas impuestas en el referido procedimiento judicial.</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providencias de 11 de noviembre de 1996, la Sección Primera de este Tribunal acordó admitir a trámite la demanda de amparo, así como a tenor de lo dispuesto en el art. 51 LOTC, requerir a la Sala Segunda del Tribunal Supremo, y a la Audiencia Provincial de las Islas Baleares, para que remitieran testimonio, respectivamente, del recurso de casación núm. 262/95, y del rollo núm. 22/94,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 Asimismo se acordó formar la oportuna pieza separada de suspensión y, a tenor de lo dispuesto en el art. 56 de la LOTC, conceder un plazo de tres días al Ministerio Fiscal y, al solicitante de amparo para que formularan las alegaciones que estimaran pertinentes sobre la suspensión solicitada.</w:t>
      </w:r>
    </w:p>
    <w:p w:rsidR="006854DA" w:rsidRDefault="006854DA" w:rsidP="006854DA">
      <w:pPr>
        <w:pStyle w:val="TextoNormal"/>
      </w:pPr>
    </w:p>
    <w:p w:rsidR="006854DA" w:rsidRDefault="006854DA" w:rsidP="006854DA">
      <w:pPr>
        <w:pStyle w:val="TextoNormal"/>
      </w:pPr>
      <w:r w:rsidRPr="006854DA">
        <w:rPr>
          <w:rStyle w:val="NumeroAFNegritaCaracter"/>
        </w:rPr>
        <w:t>5</w:t>
      </w:r>
      <w:r>
        <w:t>. Por el recurrente en amparo se formularon alegaciones por escrito, que ingresó en el registro de este Tribunal el día 21 de noviembre de 1996, en las que fundamentalmente se ratificó en las manifestaciones ya efectuadas en su escrito de demanda.</w:t>
      </w:r>
    </w:p>
    <w:p w:rsidR="006854DA" w:rsidRDefault="006854DA" w:rsidP="006854DA">
      <w:pPr>
        <w:pStyle w:val="TextoNormal"/>
      </w:pPr>
    </w:p>
    <w:p w:rsidR="006854DA" w:rsidRDefault="006854DA" w:rsidP="006854DA">
      <w:pPr>
        <w:pStyle w:val="TextoNormal"/>
      </w:pPr>
      <w:r w:rsidRPr="006854DA">
        <w:rPr>
          <w:rStyle w:val="NumeroAFNegritaCaracter"/>
        </w:rPr>
        <w:t>6</w:t>
      </w:r>
      <w:r>
        <w:t>. El Ministerio Fiscal, por escrito registrado el día 28 de noviembre de 1996, manifestó la procedencia de la suspensión solicitada con relación a la pena privativa de libertad impuesta como principal a don Cristóbal Company Seguí - cuatro años, dos meses y un día de prisión menor-, así como de la pena de arresto sustitutorio, y las accesorias, pero se mostró disconforme en lo referente a la suspensión solicitada tanto de la pena de multa, a la que igualmente el mismo había sido condenado, como al pago de las costas procesales.</w:t>
      </w:r>
    </w:p>
    <w:p w:rsidR="006854DA" w:rsidRDefault="006854DA" w:rsidP="006854DA">
      <w:pPr>
        <w:pStyle w:val="TextoNormal"/>
      </w:pPr>
    </w:p>
    <w:p w:rsidR="006854DA" w:rsidRDefault="006854DA" w:rsidP="006854DA">
      <w:pPr>
        <w:pStyle w:val="TextoNormal"/>
      </w:pPr>
      <w:r w:rsidRPr="006854DA">
        <w:rPr>
          <w:rStyle w:val="NumeroAFNegritaCaracter"/>
        </w:rPr>
        <w:t>7</w:t>
      </w:r>
      <w:r>
        <w:t>. Por Auto de 16 de diciembre de 1996 se acordó acceder a la suspensión de la penas privativas de libertad consistentes en la de prisión menor de cuatro años, dos meses y un día, y en su caso, la de arresto sustitutorio por tres días, así como las penas accesorias, igualmente impuestas por la Audiencia Provincial de las Islas Baleares, y confirmadas al no darse lugar al recurso de casación interpuesto, por la Sala Segunda del Tribunal Supremo a don Cristóbal Company Seguí; y, por el contrario, denegar la suspensión solicitada de la pena de multa, así como de las costas procesales a cuyo pago ha sido dicho recurrente en amparo judicialmente condenado, sin perjuicio de las medidas cautelares que el órgano judicial competente, en su caso, estime procedentes.</w:t>
      </w:r>
    </w:p>
    <w:p w:rsidR="006854DA" w:rsidRDefault="006854DA" w:rsidP="006854DA">
      <w:pPr>
        <w:pStyle w:val="TextoNormal"/>
      </w:pPr>
    </w:p>
    <w:p w:rsidR="006854DA" w:rsidRDefault="006854DA" w:rsidP="006854DA">
      <w:pPr>
        <w:pStyle w:val="TextoNormal"/>
      </w:pPr>
      <w:r w:rsidRPr="006854DA">
        <w:rPr>
          <w:rStyle w:val="NumeroAFNegritaCaracter"/>
        </w:rPr>
        <w:t>8</w:t>
      </w:r>
      <w:r>
        <w:t>. Por providencia de 3 de marzo de 1997,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para que dentro de dicho plazo pudieran presentar las alegaciones que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9</w:t>
      </w:r>
      <w:r>
        <w:t>. La representación procesal del recurrente en amparo por escrito registrado el día 25 de marzo de 1997, se ratificó en las manifestaciones efectuadas con anterioridad en el presente recurso de amparo, reiterando su contenido.</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Por el Ministerio Fiscal, mediante escrito de 3 de abril de 1997, se efectuaron las siguientes manifestaciones: </w:t>
      </w:r>
    </w:p>
    <w:p w:rsidR="006854DA" w:rsidRDefault="006854DA" w:rsidP="006854DA">
      <w:pPr>
        <w:pStyle w:val="TextoNormal"/>
      </w:pPr>
      <w:r>
        <w:t xml:space="preserve">A) Las distintas alegaciones efectuadas en la demanda de amparo, deben a nuestro juicio reconducirse por la vía de dos únicos derechos fundamentales que se alegan como vulnerados, y además íntimamente ligados entre sí. </w:t>
      </w:r>
    </w:p>
    <w:p w:rsidR="006854DA" w:rsidRDefault="006854DA" w:rsidP="006854DA">
      <w:pPr>
        <w:pStyle w:val="TextoNormal"/>
      </w:pPr>
      <w:r>
        <w:t xml:space="preserve">De un lado la posible vulneración del derecho consagrado en el art. 18.3 C.E. en cuanto la protección del secreto de las comunicaciones, a través de la legalidad de la intervención telefónica acordada en las actuaciones que dieron lugar a la condena del hoy recurrente, y en segundo lugar, y como decíamos, vinculado a lo anterior, la posible violación del derecho a la presunción de inocencia, consagrado en el art. 24.2 C.E., al no haber existido una prueba de cargo, lícitamente obtenida, y suficiente para desvirtuar el citado principio. </w:t>
      </w:r>
    </w:p>
    <w:p w:rsidR="006854DA" w:rsidRDefault="006854DA" w:rsidP="006854DA">
      <w:pPr>
        <w:pStyle w:val="TextoNormal"/>
      </w:pPr>
      <w:r>
        <w:t xml:space="preserve">B) En lo que se refiere en primer lugar a la quiebra del art. 18.3, éste Tribunal ha tenido ocasión de pronunciarse en los últimos tiempos en muy diversas ocasiones, sobre los requisitos que deben de reunir las intervenciones telefónicas acordadas en el curso de procedimientos penales, para que puedan considerarse válidamente obtenidas y puedan servir para ser valoradas por el Tribunal como auténtica prueba de cargo. </w:t>
      </w:r>
    </w:p>
    <w:p w:rsidR="006854DA" w:rsidRDefault="006854DA" w:rsidP="006854DA">
      <w:pPr>
        <w:pStyle w:val="TextoNormal"/>
      </w:pPr>
      <w:r>
        <w:t>Así, las SSTC 86/1995 y 49/1996, tras analizar el art. 18.3 en consonancia con el art.8 del Convenio Europeo para la Protección de los Derechos Humanos y Libertades Funda</w:t>
      </w:r>
      <w:r>
        <w:lastRenderedPageBreak/>
        <w:t xml:space="preserve">mentales de 4 de Noviembre de 1950 (C.E.D.H.), así como las resoluciones del propio Tribunal Europeo, señalan que el derecho al secreto de las comunicaciones, "sólo puede ser limitado mediante una resolución suficientemente motivada. La existencia de un mandamiento judicial autorizando la intervención, junto con la estricta observancia del principio de proporcionalidad en la ejecución de ésta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lo tanto la prohibición de valoración de cualquier elemento probatorio que pretenda deducirse del contenido de las conversaciones intervenidas, no solo del resultado mismo de la intervención, sino de cualquier otra prueba derivada de la observación telefónica, siempre que exista una relación causal entre ambos resultados probatorios". </w:t>
      </w:r>
    </w:p>
    <w:p w:rsidR="006854DA" w:rsidRDefault="006854DA" w:rsidP="006854DA">
      <w:pPr>
        <w:pStyle w:val="TextoNormal"/>
      </w:pPr>
      <w:r>
        <w:t xml:space="preserve">C) En la demanda se alega que el Auto que acordó la intervención telefónica carecía de la necesaria motivación y además que no se cumplieron los requisitos posteriores de control judicial de la medida. </w:t>
      </w:r>
    </w:p>
    <w:p w:rsidR="006854DA" w:rsidRDefault="006854DA" w:rsidP="006854DA">
      <w:pPr>
        <w:pStyle w:val="TextoNormal"/>
      </w:pPr>
      <w:r>
        <w:t xml:space="preserve">Sin embargo, el Ministerio Fiscal no comparte las anteriores afirmaciones. Efectivamente, la motivación se constituye en uno de los requisitos básicos de toda intervención telefónica, por cuanto preserva el derecho de defensa y permite realizar el necesario juicio de proporcionalidad entre el sacrificio del derecho fundamental y la causa a la que obedece (SSTC 160/1994, 50/1995 y 181/1995) </w:t>
      </w:r>
    </w:p>
    <w:p w:rsidR="006854DA" w:rsidRDefault="006854DA" w:rsidP="006854DA">
      <w:pPr>
        <w:pStyle w:val="TextoNormal"/>
      </w:pPr>
      <w:r>
        <w:t xml:space="preserve">En el caso que nos ocupa, entiende el Ministerio Fiscal que ha existido suficiente motivación en la resolución judicial, no sólo por las razones que se exponen en el mismo, sino porque los motivos que se hacen constar para la petición, por parte de la policía judicial, deben integrar y completar el citado Auto de 27 de enero de 1993, en el que se señala que la medida restrictiva de derechos tiene por objeto "esclarecer hechos supuestamente delictivos y en concreto de venta de cocaína", añadiéndose como fundamento lo siguiente: "deduciéndose de lo expuesto por la Policía Judicial que existen fundados indicios de que mediante la intervención del teléfono...pueden descubrirse hechos y circunstancias de interés sobre la comisión de un delito contra la salud pública, en el que pudiera estar implicado...es procedente ordenar la intervención telefónica solicitada..." </w:t>
      </w:r>
    </w:p>
    <w:p w:rsidR="006854DA" w:rsidRDefault="006854DA" w:rsidP="006854DA">
      <w:pPr>
        <w:pStyle w:val="TextoNormal"/>
      </w:pPr>
      <w:r>
        <w:t xml:space="preserve">La motivación permite apreciar la proporcionalidad de la medida en razón de la gravedad del delito que se investiga, suficiente para justificar la misma, exponiéndose las razones que permiten apreciar su necesidad. </w:t>
      </w:r>
    </w:p>
    <w:p w:rsidR="006854DA" w:rsidRDefault="006854DA" w:rsidP="006854DA">
      <w:pPr>
        <w:pStyle w:val="TextoNormal"/>
      </w:pPr>
      <w:r>
        <w:t xml:space="preserve">D) Pero además se alega por el recurrente la falta de control judicial de la intervención y el que ésta se haya acordado en las denominadas diligencias indeterminadas. Tampoco el Ministerio Fiscal está de acuerdo con estas afirmaciones. Efectivamente, el ámbito al que debe circunscribirse la intervención es el procedimiento penal, pero para la validez o no de la medida no debe ser obstáculo el que pueda acordarse en diligencias indeterminadas, es más, podrán existir ocasiones en las que éste sea el medio idóneo, como cuando el Juez que lo acuerda carece de competencia territorial en relación al hecho que se investiga, que aunque no es el caso que nos ocupa, sin embargo,nos indica que no afecta al derecho fundamental que se encuentra en juego. </w:t>
      </w:r>
    </w:p>
    <w:p w:rsidR="006854DA" w:rsidRDefault="006854DA" w:rsidP="006854DA">
      <w:pPr>
        <w:pStyle w:val="TextoNormal"/>
      </w:pPr>
      <w:r>
        <w:t xml:space="preserve">Sí es básico, no obstante, el control judicial de la medida acordada, que se invoca por el recurrente como carente en éste caso. </w:t>
      </w:r>
    </w:p>
    <w:p w:rsidR="006854DA" w:rsidRDefault="006854DA" w:rsidP="006854DA">
      <w:pPr>
        <w:pStyle w:val="TextoNormal"/>
      </w:pPr>
      <w:r>
        <w:t>De todo ello se deduce que sí hubo control judicial de la medida acordada, porque el Juez conoció los resultados obtenidos de la intervención, no hubo ninguna divergencia entre el objeto investigado y el resultado de la comunicación y finalmente, tal y como se reconoce en la Sentencia de la Audiencia Provincial, las conversaciones fueron reconoci</w:t>
      </w:r>
      <w:r>
        <w:lastRenderedPageBreak/>
        <w:t xml:space="preserve">das -con una excepción- al ser escuchadas a presencia del Juez Instructor por los imputados con asistencia de Letrado, y son precisamente estas conversaciones y nada más que éstas las que se toman en consideración para dictar la Sentencia condenatoria, en base a las dudas surgidas en torno a la selección judicial de las mismas. </w:t>
      </w:r>
    </w:p>
    <w:p w:rsidR="006854DA" w:rsidRDefault="006854DA" w:rsidP="006854DA">
      <w:pPr>
        <w:pStyle w:val="TextoNormal"/>
      </w:pPr>
      <w:r>
        <w:t xml:space="preserve">Por lo tanto, son las propias declaraciones de los imputados las que sirven para delimitar las cintas que son tomadas en consideración de tal manera que, a nuestro juicio, quedó subsanada la posible falta que se hubiera podido cometer al respecto. </w:t>
      </w:r>
    </w:p>
    <w:p w:rsidR="006854DA" w:rsidRDefault="006854DA" w:rsidP="006854DA">
      <w:pPr>
        <w:pStyle w:val="TextoNormal"/>
      </w:pPr>
      <w:r>
        <w:t xml:space="preserve">E) Y lo anterior engarza necesariamente con el último de los motivos que se alega en la demanda, relativo a la vulneración del derecho a la presunción de inocencia, principio consagrado en el art. 24.2 C.E. </w:t>
      </w:r>
    </w:p>
    <w:p w:rsidR="006854DA" w:rsidRDefault="006854DA" w:rsidP="006854DA">
      <w:pPr>
        <w:pStyle w:val="TextoNormal"/>
      </w:pPr>
      <w:r>
        <w:t xml:space="preserve">Partiendo de la validez de la prueba de intervención telefónica, no se trata, en éste momento, de entrar en la valoración de la prueba practicada, si no simplemente en comprobar si efectivamente se ha llevado a cabo la suficiente para destruir el principio antedicho. </w:t>
      </w:r>
    </w:p>
    <w:p w:rsidR="006854DA" w:rsidRDefault="006854DA" w:rsidP="006854DA">
      <w:pPr>
        <w:pStyle w:val="TextoNormal"/>
      </w:pPr>
      <w:r>
        <w:t xml:space="preserve">Y en éste sentido tal como se aprecia en la Sentencia de instancia y se recoge por el Tribunal Supremo, el juzgador ha realizado un juicio de valoración de los indicios existentes, para llegar a una conclusión, mediante una ilación lógica, de la comisión del delito por el que finalmente condena. </w:t>
      </w:r>
    </w:p>
    <w:p w:rsidR="006854DA" w:rsidRDefault="006854DA" w:rsidP="006854DA">
      <w:pPr>
        <w:pStyle w:val="TextoNormal"/>
      </w:pPr>
      <w:r>
        <w:t xml:space="preserve">Por último, afirma el Ministerio Fiscal, procede señalar la reiteradísima jurisprudencia de éste Tribunal en torno a la validez de la prueba indiciaria. Baste para ello mencionar, por todas, las SSTC 174 y 175/1985. </w:t>
      </w:r>
    </w:p>
    <w:p w:rsidR="006854DA" w:rsidRDefault="006854DA" w:rsidP="006854DA">
      <w:pPr>
        <w:pStyle w:val="TextoNormal"/>
      </w:pPr>
      <w:r>
        <w:t>Las llamadas telefónicas reconocidas por los intervinientes, la prueba testifical que sobre ellas se practicó, la prueba pericial sobre el teléfono marcado en la única conversación no reconocida por el recurrente en amparo, aunque sí parcialmente por el otro interlocutor, unido a las demás pruebas practicadas han sido valoradas por los órganos judiciales, en la medida en que de las mismas han podido extraerse una serie de indicios respecto de los cuales se ha llevado a cabo un razonamiento lógico, que satisface a nuestro juicio los requisitos exigibles, para otorgar validez a la denominada prueba indiciaria, por lo que en consecuencia, se consideran suficientes en orden a desvirtuar la presunción de inocencia.</w:t>
      </w:r>
    </w:p>
    <w:p w:rsidR="006854DA" w:rsidRDefault="006854DA" w:rsidP="006854DA">
      <w:pPr>
        <w:pStyle w:val="TextoNormal"/>
      </w:pPr>
    </w:p>
    <w:p w:rsidR="006854DA" w:rsidRDefault="006854DA" w:rsidP="006854DA">
      <w:pPr>
        <w:pStyle w:val="TextoNormal"/>
      </w:pPr>
      <w:r w:rsidRPr="006854DA">
        <w:rPr>
          <w:rStyle w:val="NumeroAFNegritaCaracter"/>
        </w:rPr>
        <w:t>11</w:t>
      </w:r>
      <w:r>
        <w:t>. Por providencia de 30 de junio de 1997, se señaló para la deliberación y votación de la presente Sentencia el día 1 de julio de 1997.</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Don Cristobal Company Seguí estima que las dos Sentencias objeto de impugnación, la de la Audiencia Provincial de Palma de Mallorca de 30 de noviembre de 1994 (Sentencia núm.  159/94 y la dictada por la Sala de lo Penal del Tribunal Supremo de 30 de enero de 1996) (Sentencia núm.52/1995) que resolvió el correspondiente recurso de casación interpuesto contra la primera de dichas resoluciones y que no dio lugar al mismo, produjeron diversas vulneraciones a los siguientes derechos fundamentales: a la intimidad y al secreto de las comunicaciones telefónicas (art.18.1 y 3 C.E.), a un proceso con todas las garantías (art.24.2 C.E.), el derecho a la presunción de inocencia (art.24.2 C.E.), y, finalmente, el derecho a la tutela judicial efectiva (art.24.1 C.E.).</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Cuestión central en el presente recurso de amparo es la consistente en determinar si la condena impuesta al recurrente por las Sentencias impugnadas se asentó en una actividad probatoria que pueda considerarse suficiente al efecto de desvirtuar la presunción de </w:t>
      </w:r>
      <w:r>
        <w:lastRenderedPageBreak/>
        <w:t>inocencia. Para lo cual se hace preciso analizar con carácter previo si los elementos de prueba en los que los órganos judiciales basaron su convicción acerca de la culpabilidad del recurrente en relación con el delito contra la salud pública que se le imputaba, fueron constitucionalmente obtenidos como entiende la Sentencia del Tribunal Supremo; o si, por el contrario, como sostiene el recurrente en la demanda de amparo, insistiendo en lo ya alegado en su recurso de casación, los elementos de prueba en los que se basa la Sentencia condenatoria, por haberse conseguido vulnerando derechos y libertades fundamentales han de reputarse de nula eficacia probatoria.</w:t>
      </w:r>
    </w:p>
    <w:p w:rsidR="006854DA" w:rsidRDefault="006854DA" w:rsidP="006854DA">
      <w:pPr>
        <w:pStyle w:val="TextoNormal"/>
      </w:pPr>
      <w:r>
        <w:t>Aduce el recurrente a este respecto, que los únicos elementos de prueba con que contaron los órganos judiciales de instancia y de casación traían su origen de una patente violación de su derecho al secreto de las comunicaciones telefónicas, reconocido en el art.18.3 C.E. del derecho a la presunción de inocencia y a un proceso con todas las garantías, consagrados ambos en el art.  24.2 C.E. Por lo que, a juicio del recurrente, habría de concluirse que los órganos judiciales no estaban autorizados a otorgar validez probatoria alguna a los resultados derivados de la misma, y que, por consiguiente, al fundamentar la condena en tales resultados, infringieron los derechos de los demandantes a un proceso con todas las garantías y a la presunción de inocencia (art. 24.2 C.E.). Razones, pues, de carácter metodológico aconsejan que en primer lugar se examinen las alegaciones relativas a la vulneración del derecho al secreto de las comunicaciones, y a la legalidad de las intervenciones telefónicas efectuadas.</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El problema de las exigencias que ha de reunir una intervención telefónica para que de ella pueda afirmarse que es conforme al orden constitucional, ha sido, en general, resuelto por este Tribunal por medio de una reiterada jurisprudencia contenida en numerosas resoluciones, que constituye en la actualidad un cuerpo de doctrina consolidado.  Desde el primer momento este Tribunal (STC 26/1981) ha declarado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a los que se sacrificó. De este modo -añade la Sentencia-, la motivación es no sólo una elemental cortesía, sino un riguroso requisito del acto de sacrificio de los derechos». Y en este mismo sentido, para la STC 62/1982, «a juicio de este Tribunal resulta claro que toda resolución que limite o restrinja el ejercicio de un derecho fundamental ha de estar motivada, de forma tal que la decisión determinante pueda ser conocida por el afectado. De otro modo, se infringe el derecho a la tutela judicial efectiva de los Jueces y Tribunales en el ejercicio de los derechos (art. 24.1 de la Constitución), ya que afectaría al ejercicio del derecho a un proceso público por una resolución no fundada en Derecho, dificultando con ello gravemente las posibilidades de defensa en la vía ordinaria, en su caso, y en último extremo por la vía del recurso de amparo». En este sentido es procedente distinguir lo que constituyen exigencias básicas de motivación de las Sentencias, que supone, como dice la doctrina de este Tribunal, una exteriorización del razonamiento que conduce desde los hechos probados y las correspondientes consideraciones jurídicas al fallo, en los términos adecuados a la naturaleza y circunstancias concurrentes (congruencia con las pretensiones deducidas conforme a la ley, racionalidad, conformidad con las reglas de la lógica y de la experiencia humana y científica, etc.)  (arts.24.1 y 120.3 C.E.), y la justificación que ha de contenerse en las resoluciones judiciales que adoptan medidas restrictivas de los derechos fundamentales reconocidos en la Constitución, justificación que, obviamente, ha de venir referida al derecho en sí, en los </w:t>
      </w:r>
      <w:r>
        <w:lastRenderedPageBreak/>
        <w:t>términos descritos por la Ley fundamental, en la que lo importante, dada la naturaleza y justificación de la medida no es tanto la motivación en el sentido antes expuesto, cuyas exigencias no son trasladables a este tipo de resolución, sino la expresión de la ponderación efectiva hecha por el Juez en relación con los valores o bienes jurídicos en juego en cada caso, según el derecho fundamental afectado, haciendo efectiva la exigencia de proporcionalidad inherente a la justicia.</w:t>
      </w:r>
    </w:p>
    <w:p w:rsidR="006854DA" w:rsidRDefault="006854DA" w:rsidP="006854DA">
      <w:pPr>
        <w:pStyle w:val="TextoNormal"/>
      </w:pPr>
    </w:p>
    <w:p w:rsidR="006854DA" w:rsidRDefault="006854DA" w:rsidP="006854DA">
      <w:pPr>
        <w:pStyle w:val="TextoNormal"/>
      </w:pPr>
      <w:r w:rsidRPr="006854DA">
        <w:rPr>
          <w:rStyle w:val="NumeroAFNegritaCaracter"/>
        </w:rPr>
        <w:t>4</w:t>
      </w:r>
      <w:r>
        <w:t>. El recurrente alega, como más adelante se examinará, la vulneración de su derecho a la tutela judicial efectiva (art.24.1 C.E.), como consecuencia de la falta de motivación donde se acuerda dicha intervención telefónica.</w:t>
      </w:r>
    </w:p>
    <w:p w:rsidR="006854DA" w:rsidRDefault="006854DA" w:rsidP="006854DA">
      <w:pPr>
        <w:pStyle w:val="TextoNormal"/>
      </w:pPr>
      <w:r>
        <w:t>Pero no es el derecho a la tutela o derecho a la obtención de una resolución definitiva motivada el que puede estar aquí comprometido, sino el deber de motivación de las resoluciones limitativas de los derechos fundamentales que, como exigencia del principio de proporcionalidad sólo puede ser limitados mediante resolución judicial motivada (SSTC 86/1995 y 49/1996, con especial consideración del Convenio Europeo de los Derechos Humanos, y la Jurisprudencia del Tribunal de Estrasburgo), es decir, mediante resolución que revista la forma de Auto, en la que se expliciten las razones que apoyan tan especial limitación de un derecho fundamental, en la que habrán de considerarse, como acaba de decirse, las exigencias que el principio de proporcionalidad impone. Complementariamente, a tal efecto, conviene recordar lo establecido en el art.10.2 C.E., donde se afirma que las normas relativas a los derechos fundamentales y a las libertades que la Constitución reconoce deben interpretarse de conformidad con la Declaración Universal de Derechos Humanos y los tratados y acuerdos internacionales sobre las mismas materias ratificados por España, entre los que se encuentra el Convenio para la Protección de los Derechos Humanos y las Libertades Fundamentales, cuyo art.8 dice: «1.Toda persona tiene derecho al respeto de su vida privada y familiar, de su domicilio y de su correspondencia. 2. No podrá haber injerencia de la autoridad pública en el ejercicio de este derecho sino en tanto en cuanto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o las libertades de los demás».</w:t>
      </w:r>
    </w:p>
    <w:p w:rsidR="006854DA" w:rsidRDefault="006854DA" w:rsidP="006854DA">
      <w:pPr>
        <w:pStyle w:val="TextoNormal"/>
      </w:pPr>
      <w:r>
        <w:t>En desarrollo de esta disposición, el Tribunal Europeo de Derechos Humanos ha venido exigiendo toda una serie de requisitos para estimar conforme a Derecho la interceptación de las comunicaciones telefónicas de un particular. Con cita expresa de las Sentencias de dicho Tribunal de 6 de septiembre de 1978 y 2 de agosto de 1984 - respectivamente dictadas en los asuntos «Klass y otros» y «Malone»-, este Tribunal ha declarado en el ATC 344/1990, que siendo cierto que la observación de las telecomunicaciones supone una grave injerencia en la esfera de la intimidad personal constitucionalmente reconocida, como tal injerencia ha de estar sometida al principio de legalidad y, en especial, al de proporcionalidad (STC 37/1989), el cual se refiere no sólo a la relativa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 Por último, en este orden de cosas, cabe afirmar, que la medida de intervención telefónica ordenada y practicada no sólo fue proporcional a las circunstancias concurrentes en el presente caso, sino que en la misma se han respetado las correspondientes garantías, tomando en consideración que la ponderación efectuada de los valores comprometidos fue ajustada a las previ</w:t>
      </w:r>
      <w:r>
        <w:lastRenderedPageBreak/>
        <w:t>siones constitucionales, determinando que dicha intervención reuniera los requisitos necesarios a los efectos de su plena eficacia jurídica.</w:t>
      </w:r>
    </w:p>
    <w:p w:rsidR="006854DA" w:rsidRDefault="006854DA" w:rsidP="006854DA">
      <w:pPr>
        <w:pStyle w:val="TextoNormal"/>
      </w:pPr>
    </w:p>
    <w:p w:rsidR="006854DA" w:rsidRDefault="006854DA" w:rsidP="006854DA">
      <w:pPr>
        <w:pStyle w:val="TextoNormal"/>
      </w:pPr>
      <w:r w:rsidRPr="006854DA">
        <w:rPr>
          <w:rStyle w:val="NumeroAFNegritaCaracter"/>
        </w:rPr>
        <w:t>5</w:t>
      </w:r>
      <w:r>
        <w:t>. No existió, pues, la vulneración de su derecho a la tutela judicial efectiva (art.24.1 C.E.), como consecuencia de la falta de motivación explícita del Auto de 28 de enero de 1993. A la vista de la doctrina de este Tribunal, la alegación del demandante consistente en que el citado Auto del Juzgado de 28 de enero de 1993 carece de motivación ha de ser rechazada por las razones ya expuestas. Es verdad que dicha resolución judicial tiene una fundamentación ciertamente breve y escueta, pero pese a ello, satisface las correspondientes exigencias que en orden a la motivación de las resoluciones judiciales establece el art. 24.1 C.E., debiéndose indicar que tanto en los antecedentes de hecho, como en los fundamentos jurídicos de dicho Auto se hace expresa referencia a una operación de venta de cocaína, que se explicita en el correspondiente informe de la Guardia Civil, con lo cual la motivación que se contiene en dicha resolución se efectúa por remisión con relación al informe indicado.</w:t>
      </w:r>
    </w:p>
    <w:p w:rsidR="006854DA" w:rsidRDefault="006854DA" w:rsidP="006854DA">
      <w:pPr>
        <w:pStyle w:val="TextoNormal"/>
      </w:pPr>
    </w:p>
    <w:p w:rsidR="006854DA" w:rsidRDefault="006854DA" w:rsidP="006854DA">
      <w:pPr>
        <w:pStyle w:val="TextoNormal"/>
      </w:pPr>
      <w:r w:rsidRPr="006854DA">
        <w:rPr>
          <w:rStyle w:val="NumeroAFNegritaCaracter"/>
        </w:rPr>
        <w:t>6</w:t>
      </w:r>
      <w:r>
        <w:t>. Resuelto este primer grupo de impugnaciones llevadas a cabo por el recurrente, las cuales tienen como elemento de identidad la quiebra denunciada del derecho a la intimidad y de otros derechos fundamentales que le son inherentes, corresponde el examen de la impugnación relativa a la quiebra del derecho a la presunción de inocencia (art.24.2 C.E.). Como ya se afirmó en la STC 34/1996 la presunción de inocencia, " guarda relación con el elemento más importante del tipo penal, la culpabilidad, configurada también como principio por esa importancia, elemento subjetivo que marca la frontera de la vindicta, aunque sea colectiva, con la justicia que comporta el Derecho penal como tal Derecho. Pues bien, un paso más en esa evolución, configurado -este sí- como uno de los principios cardinales del ius puniendi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por obra y gracia de su inclusión en el art. 24 de la Constitución, cuya interpretación -según indica el art.10 del mismo texto- ha de hacerse a la luz de la Declaración Universal de los Derechos Humanos y de los demás tratados internacionales sobre la materia ratificados por España, como lo fue en 1979 el Convenio de Roma (1950), sin olvidar el Pacto de Derechos Civiles y Políticos de 1966 (Nueva York). Su lectura pone de manifiesto que el principio más arriba enunciado sintéticamente ofrece mayor complejidad si se observa que la presunción de inocencia sólo se destruye cuando un Tribunal independiente, imparcial y predeterminado por la Ley declara la culpabilidad de una persona tras un proceso celebrado con todas las garantías (art. 6.1 y 2 de aquel Convenio).</w:t>
      </w:r>
    </w:p>
    <w:p w:rsidR="006854DA" w:rsidRDefault="006854DA" w:rsidP="006854DA">
      <w:pPr>
        <w:pStyle w:val="TextoNormal"/>
      </w:pPr>
      <w:r>
        <w:t>Entre los múltiples aspectos de este concepto polifacético hay uno procesal, que consiste en desplazar el onus probandi, con otros efectos añadidos.  En tal sentido hemos dicho ya que la presunción de inocencia comporta en el orden penal, al menos, las cuatro siguientes exigencias:</w:t>
      </w:r>
    </w:p>
    <w:p w:rsidR="006854DA" w:rsidRDefault="006854DA" w:rsidP="006854DA">
      <w:pPr>
        <w:pStyle w:val="TextoNormal"/>
      </w:pPr>
      <w:r>
        <w:t>A) La carga de la prueba sobre los hechos constitutivos de la pretensión penal corresponde exclusivamente a la acusación, sin que sea exigible a la defensa una probatio diabolica de los hechos negativos.</w:t>
      </w:r>
    </w:p>
    <w:p w:rsidR="006854DA" w:rsidRDefault="006854DA" w:rsidP="006854DA">
      <w:pPr>
        <w:pStyle w:val="TextoNormal"/>
      </w:pPr>
      <w:r>
        <w:t>B) Sólo debe entenderse como prueba la practicada en el juicio oral bajo la inmediación del órgano judicial decisor y con observancia de los principios de contradicción y publicidad.</w:t>
      </w:r>
    </w:p>
    <w:p w:rsidR="006854DA" w:rsidRDefault="006854DA" w:rsidP="006854DA">
      <w:pPr>
        <w:pStyle w:val="TextoNormal"/>
      </w:pPr>
      <w:r>
        <w:lastRenderedPageBreak/>
        <w:t>C) De dicha regla general sólo han de exceptuarse los supuestos de prueba preconstituida y anticipada, cuya reproducción en el juicio oral sea o se prevea imposible y siempre que se garantice el ejercicio del derecho de defensa o la posibilidad de contradicción.</w:t>
      </w:r>
    </w:p>
    <w:p w:rsidR="006854DA" w:rsidRDefault="006854DA" w:rsidP="006854DA">
      <w:pPr>
        <w:pStyle w:val="TextoNormal"/>
      </w:pPr>
      <w:r>
        <w:t>D) La valoración conjunta de la prueba practicada es una potestad exclusiva del juzgador, que éste ejerce libremente con la sola obligación de razonar el resultado de dicha valoración (SSTC 76/1990,138/1992 y 102/1994).</w:t>
      </w:r>
    </w:p>
    <w:p w:rsidR="006854DA" w:rsidRDefault="006854DA" w:rsidP="006854DA">
      <w:pPr>
        <w:pStyle w:val="TextoNormal"/>
      </w:pPr>
      <w:r>
        <w:t>De acuerdo en este sentido con la citada doctrina reiteradísima y constante de este Tribunal, la presunción de inocencia, reconocida como ha quedado dicho en el art. 24.2 de la Constitución, tiene su fundamento en dos conceptos de carácter previo: el principio de libre valoración de la prueba en el proceso penal, que corresponde de manera efectiva a los Jueces y Tribunales por imperativo del art.  117.3 C.E., y en segundo término, que la Sentencia condenatoria ha de fundamentarse en auténticos actos de prueba, debiendo ser la prueba practicada suficiente para generar en el Tribunal la evidencia de la existencia no sólo del hecho punible, sino también la responsabilidad penal que en él tuvo el acusado (STC 32/1995, con cita análoga de otras resoluciones posteriores).</w:t>
      </w:r>
    </w:p>
    <w:p w:rsidR="006854DA" w:rsidRDefault="006854DA" w:rsidP="006854DA">
      <w:pPr>
        <w:pStyle w:val="TextoNormal"/>
      </w:pPr>
      <w:r>
        <w:t>En el caso que se somete a nuestro enjuiciamiento el hecho penalmente ilícito del tráfico de drogas quedó suficientemente probado a juicio de los órganos judiciales intervinientes, a consecuencia tanto de las intervenciones telefónicas efectuadas, cuya corrección desde el punto de vista legal y constitucional ya se ha puesto de manifiesto, donde por medio de un lenguaje críptico y cifrado, como es usual en estas circunstancias, se evidenciaron las conversaciones telefónicas mantenidas entre el otro condenado no recurrente y el ahora solicitante de amparo, las cuales han sido reconocidas por los mismos; como de otras pruebas practicadas, entre las que se encuentra la pericial llevada a cabo, de la que el Tribunal dedujo de manera lógica, carente de cualquier arbitrariedad o irrazonabilidad, la participación del ahora demandante en la operación de tráfico de droga. En virtud de tales elementos de prueba tanto directa como en virtud de los indicios obtenidos, la Sala juzgadora de instancia y la Sala de lo Penal del Tribunal Supremo han considerado la existencia de suficientes elementos probatorios de cargo, que han permitido proceder a la desvirtuación del derecho a la presunción de inocencia del solicitante, debiendo concluirse que la vinculación existente entre tales pruebas e indicios, y la decisión condenatoria finalmente adoptada, no sólo es congruente con los hechos declarados probados y los fundamentos jurídicos aplicados, sino que es coherente con el proceso intelectual aplicado que ha permitido, como ha quedado dicho, establecer dicho pronunciamiento condenatorio al considerar como suficientemente probada y acreditada su falta de inocencia como consecuencia de su participación en los hechos, en virtud de los cuales, se le ha impuesto las correspondientes penas.</w:t>
      </w:r>
    </w:p>
    <w:p w:rsidR="006854DA" w:rsidRDefault="006854DA" w:rsidP="006854DA">
      <w:pPr>
        <w:pStyle w:val="TextoNormal"/>
      </w:pPr>
      <w:r>
        <w:t>Por todo ello, cabe afirmar, a modo de conclusión, que no se han producido las lesiones constitucionales denunciadas por el recurrente en su demanda de amparo constitucional, procediendo, como consecuencia, la desestimación de su pretensión.</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NACIÓN ESPAÑOLA,</w:t>
      </w:r>
    </w:p>
    <w:p w:rsidR="006854DA" w:rsidRDefault="006854DA" w:rsidP="006854DA">
      <w:pPr>
        <w:pStyle w:val="TextoNormal"/>
      </w:pPr>
    </w:p>
    <w:p w:rsidR="006854DA" w:rsidRDefault="006854DA" w:rsidP="006854DA">
      <w:pPr>
        <w:pStyle w:val="TextoNormalCentrado"/>
        <w:keepNext/>
      </w:pPr>
      <w:r>
        <w:lastRenderedPageBreak/>
        <w:t>Ha decidido</w:t>
      </w:r>
    </w:p>
    <w:p w:rsidR="006854DA" w:rsidRDefault="006854DA" w:rsidP="006854DA">
      <w:pPr>
        <w:pStyle w:val="TextoNormalCentrado"/>
        <w:keepNext/>
      </w:pPr>
    </w:p>
    <w:p w:rsidR="006854DA" w:rsidRDefault="006854DA" w:rsidP="006854DA">
      <w:pPr>
        <w:pStyle w:val="TextoNormal"/>
      </w:pPr>
      <w:r>
        <w:t>Denegar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0" w:name="SENTENCIA_1997_124"/>
      <w:r>
        <w:lastRenderedPageBreak/>
        <w:t>SENTENCIA 124/1997, de 1 de julio de 1997</w:t>
      </w:r>
    </w:p>
    <w:bookmarkEnd w:id="40"/>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ECLI:ES:TC:1997:124</w:t>
      </w:r>
    </w:p>
    <w:p w:rsidR="006854DA" w:rsidRDefault="006854DA" w:rsidP="006854DA">
      <w:pPr>
        <w:pStyle w:val="SntesisDescriptiva"/>
      </w:pPr>
    </w:p>
    <w:p w:rsidR="006854DA" w:rsidRDefault="006854DA" w:rsidP="006854DA">
      <w:pPr>
        <w:pStyle w:val="SntesisDescriptiva"/>
      </w:pPr>
      <w:r>
        <w:t>Recurso de amparo 2.581/1996. Contra Sentencia de la Sala de lo Social del T.S.J. del País Vasco pronunciada en vía de suplicación frente a la Sentencia y Auto aclaratorio de la misma, dictados por el Juzgado de lo Social núm. 3 de Bilbao en autos por despido.</w:t>
      </w:r>
    </w:p>
    <w:p w:rsidR="006854DA" w:rsidRDefault="006854DA" w:rsidP="006854DA">
      <w:pPr>
        <w:pStyle w:val="SntesisDescriptiva"/>
      </w:pPr>
    </w:p>
    <w:p w:rsidR="006854DA" w:rsidRDefault="006854DA" w:rsidP="006854DA">
      <w:pPr>
        <w:pStyle w:val="SntesisAnaltica"/>
      </w:pPr>
      <w:r>
        <w:t>Vulneración del derecho a la tutela judicial efectiva: indefensión causada por error judicial.</w:t>
      </w:r>
    </w:p>
    <w:p w:rsidR="006854DA" w:rsidRDefault="006854DA" w:rsidP="006854DA">
      <w:pPr>
        <w:pStyle w:val="SntesisAnaltica"/>
      </w:pPr>
    </w:p>
    <w:p w:rsidR="006854DA" w:rsidRDefault="006854DA" w:rsidP="006854DA">
      <w:pPr>
        <w:pStyle w:val="Extracto"/>
      </w:pPr>
      <w:r>
        <w:t>1.</w:t>
      </w:r>
      <w:r>
        <w:tab/>
        <w:t>En este caso, la Sentencia del Tribunal Superior de Justicia del País Vasco examinada en relación con el resto de las actuaciones incorporadas a este proceso de amparo constitucional, se equivocó gravemente, aunque el error fuera explicable, al inadmitir el correspondiente recurso de suplicación interpuesto contra la Sentencia dictada por el Juzgado de lo Social núm. 3 de Bilbao, argumentando que dicha resolución al absolver al Ayuntamiento no era susceptible de ser recurrida por quien había visto plenamente satisfechos sus pretensiones, imponiéndole incluso una multa por actuar con temeridad, sin darse cuenta -porque en la pieza separada no se había incorporado- que en el recurso de aclaración, el propio Juzgado de lo Social, y en atención a la contradicción existente entre la fundamentación jurídica y el fallo de la correspondiente Sentencia había resuelto en sentido contrario al inicial y había condenado al Ayuntamiento ahora recurrente en amparo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2.581/96, promovido por el Ayuntamiento de Ordizia, representado por la Procuradora de los Tribunales doña Beatriz Ruano Casanova, y asistido de la Letrada doña Ana Urkizu Kerejeta contra la Sentencia de 21 de mayo de 1996 de la Sala de lo Social del Tribunal Superior de Justicia del País Vasco, en autos 669/95. Ha sido ponente el Magistrado don Enrique Ruiz Vadillo, quien expresa el parecer de la Sala.</w:t>
      </w:r>
    </w:p>
    <w:p w:rsidR="006854DA" w:rsidRDefault="006854DA" w:rsidP="006854DA">
      <w:pPr>
        <w:pStyle w:val="TextoNormal"/>
      </w:pPr>
    </w:p>
    <w:p w:rsidR="006854DA" w:rsidRDefault="006854DA" w:rsidP="006854DA">
      <w:pPr>
        <w:pStyle w:val="TextoNormalNegritaCentrado"/>
        <w:keepNext/>
      </w:pPr>
      <w:r>
        <w:lastRenderedPageBreak/>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registrado en este Tribunal el día 24 de junio de 1996, doña Beatriz Ruano Casanova, Procuradora de los Tribunales y del Ayuntamiento de Ordizia, asistida de la Letrada doña Ana Urkizu Kerejeta interpuso recurso de amparo contra la Sentencia de 21 de mayo de 1996 de la Sala de lo Social del Tribunal Superior de Justicia del País Vasco, y contra el Auto aclaratorio de la Sentencia de 26 de octubre de 1995, dictado por el Juzgado de lo Social núm.3 de Bilbao en autos 669/95.</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sucintamente expuestos, en los que se fundamenta la demanda son, los que siguen: </w:t>
      </w:r>
    </w:p>
    <w:p w:rsidR="006854DA" w:rsidRDefault="006854DA" w:rsidP="006854DA">
      <w:pPr>
        <w:pStyle w:val="TextoNormal"/>
      </w:pPr>
      <w:r>
        <w:t xml:space="preserve">A) Doña Ana María Barandiarán, doña Begoña Edurza López, doña Vicenta Arias Murillo, doña Belén Hernández Tolosa, doña Miren Garbiñe Aramendi Amundaraín y doña María Angeles López Herreros, interpusieron, por el cauce de la Ley de Procedimiento Laboral, reclamación por despido nulo contra el Ayuntamiento de Ordizia y la Empresa ASAD, ante el Juzgado de lo Social núm. 3 de Bilbao, por el cese de dichas trabajadoras decidido por la citada Empresa. </w:t>
      </w:r>
    </w:p>
    <w:p w:rsidR="006854DA" w:rsidRDefault="006854DA" w:rsidP="006854DA">
      <w:pPr>
        <w:pStyle w:val="TextoNormal"/>
      </w:pPr>
      <w:r>
        <w:t xml:space="preserve">B) Teniendo por presentada la demanda con núm. de autos 669/95 y previos los trámites legales correspondientes, la parte actora deducía en la misma la nulidad del despido o subsidiariamente la improcedencia del mismo, así como la vinculación solidaria del Ayuntamiento con ASAD, y en el suplico de la demanda se solicitaba la readmisión de las trabajadoras en las mismas condiciones anteriores al cese, o subsidiariamente, la readmisión o indemnización equivalente a cuarenta y cinco días de salario por año de antigüedad, y, en todo caso, al abono de los salarios dejados de percibir entre el cese y la notificación de la Sentencia. </w:t>
      </w:r>
    </w:p>
    <w:p w:rsidR="006854DA" w:rsidRDefault="006854DA" w:rsidP="006854DA">
      <w:pPr>
        <w:pStyle w:val="TextoNormal"/>
      </w:pPr>
      <w:r>
        <w:t xml:space="preserve">C) Comparecidas ambas partes en el juicio, la actora se ratificó en la demanda, oponiéndose el Ayuntamiento de Ordizia, alegando la excepción de falta de legitimación pasiva, por entender que dicha Corporación carece de legitimación para ser parte en cualquier negocio jurídico que vincule a la Entidad concesionaria con sus propios trabajadores. </w:t>
      </w:r>
    </w:p>
    <w:p w:rsidR="006854DA" w:rsidRDefault="006854DA" w:rsidP="006854DA">
      <w:pPr>
        <w:pStyle w:val="TextoNormal"/>
      </w:pPr>
      <w:r>
        <w:t xml:space="preserve">D) Celebrado el juicio y practicadas las pruebas, el Juzgado de lo Social núm. 3 de Bilbao, dictó Sentencia con fecha 26 de octubre de 1995, por la que estimaba la excepción de falta de legitimación pasiva, alegada por el Ayuntamiento de Ordizia, así como parcialmente la demanda formulada por doña Ana María Barandiarán, doña Begoña Edurza López, doña Vicenta Arias Murillo, doña Belén Hernández Tolosa, doña Miren Garbiñe Aramendi Amundaraín y doña María Angeles López Herreros, declarando nula la decisión de ASAD de extinguir los contratos de trabajo de las actoras con efectos de 30 de junio de 1995, condenando, asimismo, a la empresa demandada a la inmediata readmisión de las actoras y al abono de los salarios dejados de percibir hasta la fecha en la que le fuera notificada dicha Sentencia, absolviendo al Ayuntamiento de las peticiones deducidas en su contra, pese a que en el correspondiente fundamento de derecho se mantenía distinto criterio. </w:t>
      </w:r>
    </w:p>
    <w:p w:rsidR="006854DA" w:rsidRDefault="006854DA" w:rsidP="006854DA">
      <w:pPr>
        <w:pStyle w:val="TextoNormal"/>
      </w:pPr>
      <w:r>
        <w:t xml:space="preserve">E) Notificada esta resolución a las partes en el proceso, la representación procesal de la parte actora interpuso con fecha 9 de noviembre de 1995, recurso de aclaración contra la misma. </w:t>
      </w:r>
    </w:p>
    <w:p w:rsidR="006854DA" w:rsidRDefault="006854DA" w:rsidP="006854DA">
      <w:pPr>
        <w:pStyle w:val="TextoNormal"/>
      </w:pPr>
      <w:r>
        <w:t xml:space="preserve">F) Mediante Auto de 2 de enero de 1996, el Juzgado de lo Social núm. 3 de Bilbao rectificaba el fallo de la Sentencia, condenando al Ayuntamiento de Ordizia solidariamente </w:t>
      </w:r>
      <w:r>
        <w:lastRenderedPageBreak/>
        <w:t xml:space="preserve">con la empresa ASAD, al abono de los salarios dejados de percibir entre la fecha de cese, y la de notificación de la indicada Sentencia. </w:t>
      </w:r>
    </w:p>
    <w:p w:rsidR="006854DA" w:rsidRDefault="006854DA" w:rsidP="006854DA">
      <w:pPr>
        <w:pStyle w:val="TextoNormal"/>
      </w:pPr>
      <w:r>
        <w:t xml:space="preserve">G) Considerando el Ayuntamiento el contenido de dicho Auto contrario a Derecho y perjudicial para sus intereses, conforme al art.192 del Texto Refundido de la Ley de Procedimiento Laboral, anunció recurso de suplicación para ante el Tribunal Superior de Justicia del País Vasco. Dicho recurso fue admitido a trámite y registrado con el núm. 744/96, el cual se basaba fundamentalmente en la excepción de falta de legitimación pasiva, lo que implicaba la no aplicación del art. 42.2. del E.T. pues el Ayuntamiento carecía de legitimación para ser parte en cualquier negocio jurídico que vinculara a la entidad concesionaria con sus trabajadores. </w:t>
      </w:r>
    </w:p>
    <w:p w:rsidR="006854DA" w:rsidRDefault="006854DA" w:rsidP="006854DA">
      <w:pPr>
        <w:pStyle w:val="TextoNormal"/>
      </w:pPr>
      <w:r>
        <w:t xml:space="preserve">Además, alegaba que este supuesto de responsabilidad solidaria respecto a obligaciones de naturaleza salarial del empresario o contratistas principales que establece el art. 42.2 del E.T. no es de carácter ilimitado en el tiempo, de tal forma que únicamente abarca a los salarios debidos durante el tiempo de vigencia de la contrata, contrata que finalizó con la empresa adjudicataria del servicio el día 30 de junio de 1995. </w:t>
      </w:r>
    </w:p>
    <w:p w:rsidR="006854DA" w:rsidRDefault="006854DA" w:rsidP="006854DA">
      <w:pPr>
        <w:pStyle w:val="TextoNormal"/>
      </w:pPr>
      <w:r>
        <w:t xml:space="preserve">H) Con fecha de 21 de mayo de 1996 se dictó Sentencia por la Sala de lo Social del Tribunal Superior de Justicia del País Vasco, en la que se inadmitía el recurso de suplicación interpuesto por el Ayuntamiento de Ordizia, condenando además a la citada Corporación Local a pagar por temeridad la multa de 10.000 pesetas. </w:t>
      </w:r>
    </w:p>
    <w:p w:rsidR="006854DA" w:rsidRDefault="006854DA" w:rsidP="006854DA">
      <w:pPr>
        <w:pStyle w:val="TextoNormal"/>
      </w:pPr>
      <w:r>
        <w:t xml:space="preserve">I) Con fecha 29 de mayo de 1996 fue notificada a la recurrente la providencia en la que se acuerda la citación a comparecencia, para decidir sobre la petición de la parte actora de ejecución parcial de la Sentencia. En dicha comparecencia y en virtud de los arts.240 y 279 de la Ley de Procedimiento Laboral, la parte actora solicitó la extinción de la relación laboral de las trabajadoras frente a la empresa ASAD, dada la no readmisión en sus puestos de trabajo. </w:t>
      </w:r>
    </w:p>
    <w:p w:rsidR="006854DA" w:rsidRDefault="006854DA" w:rsidP="006854DA">
      <w:pPr>
        <w:pStyle w:val="TextoNormal"/>
      </w:pPr>
      <w:r>
        <w:t xml:space="preserve">El Ayuntamiento manifestó en dicho acto la interposición del recurso de suplicación y la no firmeza de la Sentencia en lo que a él se refería. </w:t>
      </w:r>
    </w:p>
    <w:p w:rsidR="006854DA" w:rsidRDefault="006854DA" w:rsidP="006854DA">
      <w:pPr>
        <w:pStyle w:val="TextoNormal"/>
      </w:pPr>
      <w:r>
        <w:t>J) Con fecha 8 de junio de 1996, el Ayuntamiento solicitó a la Sala de lo Social del Tribunal Superior de Justicia que dictase una aclaración o nulidad, en su caso, de la Sentencia de fecha 21 de mayo de 1996, lo que en el momento de interponerse el recurso no se había producido.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Funda el recurrente su demanda de amparo en un único motivo, referido a la invocada vulneración de su derecho a la tutela judicial efectiva en su modalidad del derecho de acceso a los recursos contenido en el art. 24.1 C.E., por considerar que, al no haber tenido en cuenta el Tribunal Superior de Justicia la existencia del Auto, de fecha 2 de enero de 1996 dictado por el Juzgado de lo Social núm. 3 de Bilbao -no figuraba en el testimonio de la pieza separada formada para sustanciar el rollo del recurso, según indicó el Tribunal- por el que aclaraba la contradicción existente entre uno de los fundamentos jurídicos y el sentido del fallo de la Sentencia anteriormente pronunciada, desestimaba la excepción de falta de legitimación pasiva que había alegado el ahora demandante de amparo en la instancia. </w:t>
      </w:r>
    </w:p>
    <w:p w:rsidR="006854DA" w:rsidRDefault="006854DA" w:rsidP="006854DA">
      <w:pPr>
        <w:pStyle w:val="TextoNormal"/>
      </w:pPr>
      <w:r>
        <w:t>Sostiene, en consecuencia, el demandante que se ha producido un error manifiesto al inadmitir el recurso de suplicación que había interpuesto, impidiéndole, por tanto, el efectivo ejercicio de su derecho de acceso al recurso legalmente contemplado en la Ley de Procedimiento Laboral, pues el Tribunal eludió realizar un pronunciamiento sobre el fondo de la cuestión que le sometía a su consideración.</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4</w:t>
      </w:r>
      <w:r>
        <w:t>. Mediante providencia de 15 de noviembre de 1996, la Sección Segunda de este Tribunal acordó requerir a la Procuradora de los Tribunales de la parte recurrente en amparo, a los efectos de que en el plazo máximo e improrrogable de diez días procediera a aportar al presente procedimiento constitucional la correspondiente certificación acreditativa de la fecha de notificación a dicha parte procesal de la Sentencia de la Sala de lo Social del Tribunal Superior de Justicia del País Vasco, objeto del presente recurso.</w:t>
      </w:r>
    </w:p>
    <w:p w:rsidR="006854DA" w:rsidRDefault="006854DA" w:rsidP="006854DA">
      <w:pPr>
        <w:pStyle w:val="TextoNormal"/>
      </w:pPr>
    </w:p>
    <w:p w:rsidR="006854DA" w:rsidRDefault="006854DA" w:rsidP="006854DA">
      <w:pPr>
        <w:pStyle w:val="TextoNormal"/>
      </w:pPr>
      <w:r w:rsidRPr="006854DA">
        <w:rPr>
          <w:rStyle w:val="NumeroAFNegritaCaracter"/>
        </w:rPr>
        <w:t>5</w:t>
      </w:r>
      <w:r>
        <w:t>. Mediante providencia de 2 de diciembre de 1996, se tuvo por cumplimentado el requerimiento efectuado, acordando la citada Sección admitir a trámite la demanda de amparo, así como a tenor de lo dispuesto en el art. 51 LOTC, requerir a la indicada Sala del Tribunal Superior de Justicia del País Vasco y al Juzgado de lo Social núm. 3 de Bilbao, para que remitieran, respectivamente, testimonios del recurso de suplicación núm. 744/96, y de los autos núm. 669/95,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17 de febrero de 1997,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para que dentro de dicho plazo pudieran presentar las alegaciones que a su derecho convinieran.</w:t>
      </w:r>
    </w:p>
    <w:p w:rsidR="006854DA" w:rsidRDefault="006854DA" w:rsidP="006854DA">
      <w:pPr>
        <w:pStyle w:val="TextoNormal"/>
      </w:pPr>
    </w:p>
    <w:p w:rsidR="006854DA" w:rsidRDefault="006854DA" w:rsidP="006854DA">
      <w:pPr>
        <w:pStyle w:val="TextoNormal"/>
      </w:pPr>
      <w:r w:rsidRPr="006854DA">
        <w:rPr>
          <w:rStyle w:val="NumeroAFNegritaCaracter"/>
        </w:rPr>
        <w:t>7</w:t>
      </w:r>
      <w:r>
        <w:t>. La representación procesal de las recurrentes en amparo por escrito registrado el día 13 de marzo de 1997, se ratificó en las manifestaciones efectuadas con anterioridad en el presente recurso de amparo, reiterando su contenido.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Por el Ministerio Fiscal, mediante escrito de 13 de marzo de 1997, se efectuaron las siguientes manifestaciones: </w:t>
      </w:r>
    </w:p>
    <w:p w:rsidR="006854DA" w:rsidRDefault="006854DA" w:rsidP="006854DA">
      <w:pPr>
        <w:pStyle w:val="TextoNormal"/>
      </w:pPr>
      <w:r>
        <w:t xml:space="preserve">A) Habiéndose formalizado la presente demanda de amparo antes de que hubiera sido resuelta la aclaración que el Ayuntamiento de Ordizia, mediante el oportuno escrito, había solicitado del Tribunal Superior de Justicia, en relación con la Sentencia que ahora se impugna, actuación que debe estimarse como correcta, toda vez que, como indica reiteradamente el Tribunal Constitucional (SSTC 27/1990 y 27/1994) "el repetido recurso de aclaración, al no permitir variar ni modificar el contenido de las sentencias no preserva la naturaleza subsidiaria del recurso de amparo"; por ello no precisa de su previo ejercicio para dejar expedito el cauce constitucional, siendo, por tanto, evidente que ha sido agotada la vía judicial previa, lo que impugna el precitado Ayuntamiento es la Sentencia de 21 de mayo de 1996 que dictó la Sala de lo Social del Tribunal Superior de Justicia del País Vasco, al no haber entrado a enjuiciar el fondo de la cuestión que el ahora demandante de amparo le proponía en su recurso de suplicación. </w:t>
      </w:r>
    </w:p>
    <w:p w:rsidR="006854DA" w:rsidRDefault="006854DA" w:rsidP="006854DA">
      <w:pPr>
        <w:pStyle w:val="TextoNormal"/>
      </w:pPr>
      <w:r>
        <w:t>Por consiguiente, es de plena aplicación al supuesto de autos la doctrina del Tribunal Constitucional (STC 37/1995) sobre el denominado principio hermenéutico pro actione que no opera con igual intensidad en la fase inicial del proceso, para acceder al sistema judicial, que en las sucesivas, pues mientras en el primero de los casos, "el poder dirigirse a un Juez en busca de protección para hacer valer el derecho de cada quien, tiene naturale</w:t>
      </w:r>
      <w:r>
        <w:lastRenderedPageBreak/>
        <w:t xml:space="preserve">za constitucional por nacer directamente de la propia Ley suprema." En cambio, en los sucesivos grados jurisdiccionales, se trata de un derecho de configuración legal, ésto es, el sistema de recursos se incorpora a la tutela judicial "en la configuración que le de cada una de esas leyes de enjuiciamiento reguladores de los diferentes órdenes jurisdiccionales ... " a salvo, obviamente, en el proceso penal. </w:t>
      </w:r>
    </w:p>
    <w:p w:rsidR="006854DA" w:rsidRDefault="006854DA" w:rsidP="006854DA">
      <w:pPr>
        <w:pStyle w:val="TextoNormal"/>
      </w:pPr>
      <w:r>
        <w:t xml:space="preserve">También ha destacado el Tribunal Constitucional (STC 55/1995) que 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válida constitución del proceso. Unicamente, cuando se deniegue el acceso al recurso de forma inmotivada (STC 18/1990), basándose en una causa legal inexistente o en error patente (SSTC 192/1992 y 255/1994) o, finalmente, mediante una interpretación de la misma manifiestamente arbitraria e infundada que no podría considerarse expresión del ejercicio de la justicia (por todas, STC 148/1994), es posible su revisión en sede constitucional. </w:t>
      </w:r>
    </w:p>
    <w:p w:rsidR="006854DA" w:rsidRDefault="006854DA" w:rsidP="006854DA">
      <w:pPr>
        <w:pStyle w:val="TextoNormal"/>
      </w:pPr>
      <w:r>
        <w:t xml:space="preserve">Pues bien, al amparo de la doctrina constitucional citada se impone analizar el supuesto de autos y, en concreto, la Sentencia de 21 de mayo de 1996, dictada por la Sala de lo Social del Tribunal Superior de Justicia del País Vasco, pudiendose ya constatar ab initio que el Auto que la propia Sala dictó con posterioridad, a solicitud de aclaración formulada por el demandante de amparo reconoce (fundamento jurídico 1º) que en la pieza separada que se había formado para sustanciar el recurso de suplicación, no había sido incorporado testimonio del Auto aclaratorio de la Sentencia del Juzgado de lo Social que era objeto del recurso, por lo que, a la hora de emitir un pronunciamiento sobre la cuestión de fondo que sometía a su consideración la parte recurrente, no pudo tomar en consideración el Auto dictado en aclaración en el que, con toda nitidez, se determinaba por el Juzgador a quo que la excepción de falta de legitimación pasiva del Ayuntamiento de Ordizia resultaba desestimada. </w:t>
      </w:r>
    </w:p>
    <w:p w:rsidR="006854DA" w:rsidRDefault="006854DA" w:rsidP="006854DA">
      <w:pPr>
        <w:pStyle w:val="TextoNormal"/>
      </w:pPr>
      <w:r>
        <w:t xml:space="preserve">Por consiguiente, la simple lectura de los autos sirve para constatar el error patente cometido por la Sala de lo Social del Tribunal Superior de Justicia, dado que no tuvo en cuenta a la hora de dictar Sentencia el contenido del Auto de 2 de enero de 1996, y se limitó a desestimar, sin realizar razonamiento ni consideración alguna sobre el fondo de la litis planteada por el recurrente, apreciando, además, temeridad en el actuar del Ayuntamiento e imponiendo una sanción pecuniaria que, lógicamente, estaría ajustada a Derecho en el supuesto fáctico que la propia Sentencia contempla, esto es, sin haber tenido en cuenta la resolución aclaratorio del Juzgado. </w:t>
      </w:r>
    </w:p>
    <w:p w:rsidR="006854DA" w:rsidRDefault="006854DA" w:rsidP="006854DA">
      <w:pPr>
        <w:pStyle w:val="TextoNormal"/>
      </w:pPr>
      <w:r>
        <w:t xml:space="preserve">Por todo ello, entiende el Ministerio Fiscal, apreciado el error manifiesto en la Sentencia impugnada, procede el otorgamiento del amparo solicitado, por haber sido denegada la tutela judicial efectiva al demandante, en cuanto que no ha obtenido del órgano jurisdiccional un pronunciamiento sobre el fondo, por haber precedido a la resolución judicial de inadmisión un error manifiesto no imputable al solicitante de amparo. </w:t>
      </w:r>
    </w:p>
    <w:p w:rsidR="006854DA" w:rsidRDefault="006854DA" w:rsidP="006854DA">
      <w:pPr>
        <w:pStyle w:val="TextoNormal"/>
      </w:pPr>
      <w:r>
        <w:t xml:space="preserve">B) En lo que atañe al alcance del amparo este habrá de extenderse a la anulación de la Sentencia de fecha 21 de mayo de 1996, de la Sala de lo Social del Tribunal Superior de Justicia del País Vasco, retrotrayéndose las actuaciones al momento procesal inmediatamente anterior al trámite de la Sentencia, debiendo aquélla dictar, con libertad de criterio, nueva Sentencia en la que expresamente y teniendo en cuenta el contenido del Auto de 2 de enero de 1996, aclaratorio de la anterior Sentencia de 26 de octubre de 1995, dictado por el Juzgado de lo Social núm. 3 de Bilbao, se pronuncie sobre la estimación o no de la </w:t>
      </w:r>
      <w:r>
        <w:lastRenderedPageBreak/>
        <w:t>excepción de falta de legitimación pasiva del Ayuntamiento de Ordizia en los autos de despido núm. 669/95 del precitado Juzgado de lo Social.</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30 de junio de 1997, se señaló para la deliberación y votación de la presente Sentencia el día 1 de julio de 1997.</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Ayuntamiento de Ordizia sostiene como fundamento de su pretensión en el presente recurso de amparo constitucional, que la Sala de lo Social del Tribunal Superior de Justicia del País Vasco al resolver el recurso de suplicación por ella interpuesto contra la Sentencia y el Auto aclaratorio de la misma dictado por el Juzgado de lo Social núm.  3 de Bilbao, no ha tenido en consideración el Auto aclaratorio dictado, circunstancia que supone la existencia de un manifiesto error material, lo que provocó que la Sala dictara Sentencia inadmitiendo dicho recurso, y que incluso impusiera por temeridad una multa a dicha recurrente, en razón a que había visto satisfecha su pretensión, lo que, como ya se anticipó, no era cierto, aunque al no tener a la vista el Auto de aclaración parecia serlo, impidiendo esta circunstancia que dicho órgano judicial entrara a conocer del fondo del asunto, así como que la Corporación ahora recurrente haya podido interponer, en su caso, el correspondiente recurso de casación para la unificación de doctrina ante la Sala de lo Social del Tribunal Supremo, lo que en definitiva, a juicio de la representación procesal del Ayuntamiento de Ordizia implica la quiebra de su derecho a la tutela judicial efectiva (art.24.1 C.E.).</w:t>
      </w:r>
    </w:p>
    <w:p w:rsidR="006854DA" w:rsidRDefault="006854DA" w:rsidP="006854DA">
      <w:pPr>
        <w:pStyle w:val="TextoNormal"/>
      </w:pPr>
    </w:p>
    <w:p w:rsidR="006854DA" w:rsidRDefault="006854DA" w:rsidP="006854DA">
      <w:pPr>
        <w:pStyle w:val="TextoNormal"/>
      </w:pPr>
      <w:r w:rsidRPr="006854DA">
        <w:rPr>
          <w:rStyle w:val="NumeroAFNegritaCaracter"/>
        </w:rPr>
        <w:t>2</w:t>
      </w:r>
      <w:r>
        <w:t>. Según doctrina de este Tribunal, el art. 24.1 C.E. consagra el derecho de los ciudadanos a obtener de los órganos judiciales una resolución que satisfaga la pretensión sustantiva o de fondo deducida en el proceso, siempre que no concurra una causa legal de inadmisión que dichos órganos apliquen de manera razonable y con interpretación que no incurra en un formalismo incompatible con el contenido del derecho, vulnerándose éste cuando la inadmisión del proceso se declara sobre la base de una causa inexistente o de un error patente (STC 103/1987), es decir cuando pese a la procedencia legal del recurso, este se hace imposible sin una justificación razonable (STC 36/1989), correspondiendo a este Tribunal como garante último del derecho fundamental a obtener la tutela judicial efectiva de Jueces y Tribunales examinar los motivos y argumentos en que se funda la decisión judicial que elude pronunciarse sobre el fondo del asunto planteado. Y ello, como es obvio, no para suplantar la función que a los Jueces, en este caso del orden social de la jurisdicción, compete para interpretar y aplicar las normas jurídicas a los casos concretos controvertidos, sino para apreciar la razonabilidad constitucional del motivo apreciado, reparando, en su caso, en esta vía de amparo, no sólo la toma en consideración de una causa que no tenga ninguna cobertura legal, sino también, aún existiendo ésta, la aplicación que sea arbitraria o infundada, o que resulte, como ha quedado dicho, de la existencia de un error patente que tenga relevancia constitucional (SSTC 23/1987, 36/1988, 232/1988, 159/1989, 63/1990, 192/1992, 55/1993, 5/1995) y que produzca efectos negativos en la esfera jurídica del ciudadano (SSTC 172/1985, 190/1990 y 101/1992), siendo el recurso de amparo, en los supuestos donde exista dicho error patente, el cauce adecuado para restablecer el derecho a la tutela judicial efectiva (SSTC 190/1990 y 101/1992, en relación con las SSTC 55/1993 y 107/1994).</w:t>
      </w:r>
    </w:p>
    <w:p w:rsidR="006854DA" w:rsidRDefault="006854DA" w:rsidP="006854DA">
      <w:pPr>
        <w:pStyle w:val="TextoNormal"/>
      </w:pPr>
    </w:p>
    <w:p w:rsidR="006854DA" w:rsidRDefault="006854DA" w:rsidP="006854DA">
      <w:pPr>
        <w:pStyle w:val="TextoNormal"/>
      </w:pPr>
      <w:r w:rsidRPr="006854DA">
        <w:rPr>
          <w:rStyle w:val="NumeroAFNegritaCaracter"/>
        </w:rPr>
        <w:t>3</w:t>
      </w:r>
      <w:r>
        <w:t>. El art. 24 de la C.E. contempla en sus dos epígrafes, dos supuestos íntimamente relacionados entre sí, aunque hayan de recibir un tratamiento diferenciado, proclamando el primero, el derecho a la tutela judicial efectiva de los Jueces y Tribunales en el ejercicio de los derechos e intereses legítimos previniendo que nunca pueda producirse indefensión (STC 46/82) garantía que en su expresión práctica adquiere infinitas variedades que este Tribunal ha contemplado en muchas de sus resoluciones.</w:t>
      </w:r>
    </w:p>
    <w:p w:rsidR="006854DA" w:rsidRDefault="006854DA" w:rsidP="006854DA">
      <w:pPr>
        <w:pStyle w:val="TextoNormal"/>
      </w:pPr>
      <w:r>
        <w:t>En este caso, la Sentencia del Tribunal Superior de Justicia del País Vasco de 21 de mayo de 1996 examinada en relación con el resto de las actuaciones incorporadas a este proceso de amparo constitucional, se equivocó gravemente, aunque el error fuera explicable, al inadmitir el correspondiente recurso de suplicación interpuesto contra la Sentencia dictada por el Juzgado de lo Social no 3 de Bilbao de 26 de octubre de 1995 argumentando que dicha resolución al absolver al Ayuntamiento no era susceptible de ser recurrida por quien había visto plenamente satisfechos sus pretensiones, imponiéndole incluso una multa por actuar con temeridad, sin darse cuenta -porque en la pieza separada no se había incorporado- que en el recurso de aclaración, el propio Juzgado de lo Social en las actuaciones a las que ya se hizo referencia y en atención a la contradicción existente entre la fundamentación jurídica y el fallo de la correspondiente sentencia había resuelto en sentido contrario al inicial y había condenado al Ayuntamiento ahora recurrente en amparo.</w:t>
      </w:r>
    </w:p>
    <w:p w:rsidR="006854DA" w:rsidRDefault="006854DA" w:rsidP="006854DA">
      <w:pPr>
        <w:pStyle w:val="TextoNormal"/>
      </w:pPr>
      <w:r>
        <w:t>Así las cosas, es innegable que el citado Ayuntamiento ha sufrido a causa de un error patente -y en este sentido debemos recordar la extensa jurisprudencia de este Tribunal, que por notoria, no es necesario citar expresamente- una grave indefensión en cuanto en las circunstancias que quedan descritas tras ver alterada el citado Ayuntamiento la parte dispositiva de la sentencia, el Tribunal Superior de Justicia del País Vasco partiendo de la idea sin duda equivocada de que el fallo originario era el único existente, sin darse cuenta, como se dijo, de que el Juzgado en el proceso del que se trae causa el recurso de suplicación había sustituido la parte dispositiva inicial por otra que en este sentido variaba por completo la primera, no solo inadmitió el recurso, sino que incluso, como ya quedó también indicado, le impuso una sanción pecuniaria por temeridad.</w:t>
      </w:r>
    </w:p>
    <w:p w:rsidR="006854DA" w:rsidRDefault="006854DA" w:rsidP="006854DA">
      <w:pPr>
        <w:pStyle w:val="TextoNormal"/>
      </w:pPr>
      <w:r>
        <w:t>Como señalan entre otras la STC 14/1987 no existe indefensión de relevancia constitucional cuando no se llega a producir efectivo y real menoscabo del derecho de defensa ni si ha existido (STC 98/1987) posibilidad de defenderse en términos reales y efectivos. Luego cuando estas consecuencias se dan, como ocurrió en este caso, hay clara indefensión.</w:t>
      </w:r>
    </w:p>
    <w:p w:rsidR="006854DA" w:rsidRDefault="006854DA" w:rsidP="006854DA">
      <w:pPr>
        <w:pStyle w:val="TextoNormal"/>
      </w:pPr>
      <w:r>
        <w:t>Habiéndose producido, pues, un error patente, que ha provocado una indefensión material sin que en nuestro ordenamiento jurídico exista cauce adecuado para corregirla, en el momento procesal en que se produjo, que sin duda produce o ha podido producir razonablemente un perjuicio al recurrente, es visto que, como propone el Ministerio Fiscal, resulta procedente otorgar el amparo solicitado anulando la sentencia del Tribunal Superior de Justicia del País Vasco de 21 de mayo de 1996 retrotrayendo las actuaciones al momento anterior al de dictar la correspondiente resolución a fin de que teniendo en cuenta el Auto de aclaración al que ya se ha hecho referencia resuelva con libertad de criterio sobre la pretensión del Ayuntamiento de Ordizia que condenado en los términos ya expuestos, tenía derecho a obtener una sentencia que diera respuesta razonada y razonable a sus pretensiones.</w:t>
      </w:r>
    </w:p>
    <w:p w:rsidR="006854DA" w:rsidRDefault="006854DA" w:rsidP="006854DA">
      <w:pPr>
        <w:pStyle w:val="TextoNormal"/>
      </w:pPr>
    </w:p>
    <w:p w:rsidR="006854DA" w:rsidRDefault="006854DA" w:rsidP="006854DA">
      <w:pPr>
        <w:pStyle w:val="TextoNormalCentrado"/>
        <w:keepNext/>
      </w:pPr>
      <w:r>
        <w:lastRenderedPageBreak/>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por el Ayuntamiento de Ordizia y, en su virtud:</w:t>
      </w:r>
    </w:p>
    <w:p w:rsidR="006854DA" w:rsidRDefault="006854DA" w:rsidP="006854DA">
      <w:pPr>
        <w:pStyle w:val="TextoNormal"/>
      </w:pPr>
      <w:r>
        <w:t>1º. Reconocer el derecho de la citada Corporación local recurrente a la tutela judicial efectiva (art.24.1 C.E.)</w:t>
      </w:r>
    </w:p>
    <w:p w:rsidR="006854DA" w:rsidRDefault="006854DA" w:rsidP="006854DA">
      <w:pPr>
        <w:pStyle w:val="TextoNormal"/>
      </w:pPr>
      <w:r>
        <w:t>2º. Anular la Sentencia de la Sala de lo Social del Tribunal Superior de Justicia del País Vasco de 21 de mayo de 1996, dejándo sin efecto la sanción impuesta, teniendo en cuenta que lo fue de manera injustificada.</w:t>
      </w:r>
    </w:p>
    <w:p w:rsidR="006854DA" w:rsidRDefault="006854DA" w:rsidP="006854DA">
      <w:pPr>
        <w:pStyle w:val="TextoNormal"/>
      </w:pPr>
      <w:r>
        <w:t>3º. Retrotraer las actuaciones judiciales practicadas en el recurso de suplicación núm. 744/96 seguidas ante la Sala de lo Social de dicho Tribunal Superior de Justicia, al momento inmediatamente anterior al de dictar Sentencia, a fin de que dicte la resolución procedente en Derecho, teniendo en consideración el Auto de aclaración dictado por el Juzgado de lo Social núm. 3 de Bilbao en las actuaciones a las que este recurso se refiere.</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1" w:name="SENTENCIA_1997_125"/>
      <w:r>
        <w:lastRenderedPageBreak/>
        <w:t>SENTENCIA 125/1997, de 1 de julio de 1997</w:t>
      </w:r>
    </w:p>
    <w:bookmarkEnd w:id="41"/>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171, de 18 de agosto de 1997)</w:t>
      </w:r>
    </w:p>
    <w:p w:rsidR="006854DA" w:rsidRDefault="006854DA" w:rsidP="006854DA">
      <w:pPr>
        <w:pStyle w:val="TtuloBOE"/>
      </w:pPr>
    </w:p>
    <w:p w:rsidR="006854DA" w:rsidRDefault="006854DA" w:rsidP="006854DA">
      <w:pPr>
        <w:pStyle w:val="SntesisDescriptiva"/>
      </w:pPr>
      <w:r>
        <w:t>ECLI:ES:TC:1997:125</w:t>
      </w:r>
    </w:p>
    <w:p w:rsidR="006854DA" w:rsidRDefault="006854DA" w:rsidP="006854DA">
      <w:pPr>
        <w:pStyle w:val="SntesisDescriptiva"/>
      </w:pPr>
    </w:p>
    <w:p w:rsidR="006854DA" w:rsidRDefault="006854DA" w:rsidP="006854DA">
      <w:pPr>
        <w:pStyle w:val="SntesisDescriptiva"/>
      </w:pPr>
      <w:r>
        <w:t>Recurso de amparo 3.884/1996. Contra Auto de la Sala Tercera del Tribunal Supremo recaída en recurso de casación seguido inicialmente anta la Sala de lo Contencioso- Administrativo del T.S.J. de Andalucía.</w:t>
      </w:r>
    </w:p>
    <w:p w:rsidR="006854DA" w:rsidRDefault="006854DA" w:rsidP="006854DA">
      <w:pPr>
        <w:pStyle w:val="SntesisDescriptiva"/>
      </w:pPr>
    </w:p>
    <w:p w:rsidR="006854DA" w:rsidRDefault="006854DA" w:rsidP="006854DA">
      <w:pPr>
        <w:pStyle w:val="SntesisAnaltica"/>
      </w:pPr>
      <w:r>
        <w:t>Supuesta vulneración del principio de legalidad y del derecho a la tutela judicial efectiva: inadmisión de recurso de casación debidamente motivada. Votos particulares.</w:t>
      </w:r>
    </w:p>
    <w:p w:rsidR="006854DA" w:rsidRDefault="006854DA" w:rsidP="006854DA">
      <w:pPr>
        <w:pStyle w:val="SntesisAnaltica"/>
      </w:pPr>
    </w:p>
    <w:p w:rsidR="006854DA" w:rsidRDefault="006854DA" w:rsidP="006854DA">
      <w:pPr>
        <w:pStyle w:val="Extracto"/>
      </w:pPr>
      <w:r>
        <w:t>1.</w:t>
      </w:r>
      <w:r>
        <w:tab/>
        <w:t>En lo atinente al acceso al recurso de casación, debe tenerse en consideración que no es posible imponer en los casos en que existe ya un pronunciamiento en la instancia una concreta interpretación de la norma procesal que permita dicho acceso. La decisión sobre su admisión o no y la verificación de la concurrencia de los presupuestos y requisitos materiales y procesales a que está sujeto, constituye una cuestión de legalidad ordinaria que corresponde exclusivamente a los Jueces y Tribunales, en el ejercicio de la potestad jurisdiccional que les atribuye el art. 117.3 C.E. (SSTC 10/1987, 26/1988, 214/1988, 55/1992, 63/1992 y 161/1992), sin que este Tribunal pueda corregir dicha interpretación salvo que, como hemos señalado en muchas ocasiones, la aplicación de la norma que se adopte sea arbitraria, manifiestamente infundada o producto de un error patente (SSTC 50/1984, 23/1987, 50/1988, 90/1990, 359/1993 y 160/1996 entre otras) [F.J. 3].</w:t>
      </w:r>
    </w:p>
    <w:p w:rsidR="006854DA" w:rsidRDefault="006854DA" w:rsidP="006854DA">
      <w:pPr>
        <w:pStyle w:val="Extracto"/>
      </w:pPr>
    </w:p>
    <w:p w:rsidR="006854DA" w:rsidRDefault="006854DA" w:rsidP="006854DA">
      <w:pPr>
        <w:pStyle w:val="Extracto"/>
      </w:pPr>
      <w:r>
        <w:t>2.</w:t>
      </w:r>
      <w:r>
        <w:tab/>
        <w:t>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(STC 37/1995), pues a diferencia del contemplado en la STC 188/1994, que era de cuantía inestimable, en el presente que nos ocupa, no lo es. Lo que hace entrar en juego la «summa gravaminis» de los 6.000.000 de pesetas, requerida por el art. 93.2 b) L.J.C.A, que cierra las puertas a la interposición del recurso de casación, presupuesto de dicho recurso que este Tribunal ha declarado reiteradamente razonable, por lo que, su aplicación no conculca el derecho a la tutela judicial efectiva (art.24. 1 C.E.) [F.J. 4].</w:t>
      </w:r>
    </w:p>
    <w:p w:rsidR="006854DA" w:rsidRDefault="006854DA" w:rsidP="006854DA">
      <w:pPr>
        <w:pStyle w:val="Extracto"/>
      </w:pPr>
    </w:p>
    <w:p w:rsidR="006854DA" w:rsidRDefault="006854DA" w:rsidP="006854DA">
      <w:pPr>
        <w:pStyle w:val="Extracto"/>
      </w:pPr>
      <w:r>
        <w:t>3.</w:t>
      </w:r>
      <w:r>
        <w:tab/>
        <w:t>Como ya se afirmó en la STC 37/1995,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En definitiva, la balanza constitucional no puede inclinarse en ningún sentido para optar entre dos solu</w:t>
      </w:r>
      <w:r>
        <w:lastRenderedPageBreak/>
        <w:t>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 (STC 37/1995) [F.J.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3.884/96, promovido por doña Irene Margarita Gorbea Escudero, representada por el Procurador de los Tribunales don Eduardo Codes Feijóo, y asistida del Letrado don Enrique Ramiro Areces interpuesto contra el Auto de la Sección Séptima de la Sala Tercera del Tribunal Supremo de fecha 18 de septiembre de 1996, recaída en el recurso de casación núm.4.081/95, seguido inicialmente ante la Sala de lo Contencioso- Administrativo del Tribunal Superior de Justicia de Andalucía. Han intervenido el Abogado del Estado, la Junta de Andalucía y el Ministerio Fiscal. Ha sido Ponente el Magistrado don Enrique Ruiz Vadillo,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registrado en este Tribunal el día 30 de octubre de 1996, don Eduardo Codes Feijóo, Procurador de los Tribunales y de doña Irene Margarita Gorbea Escudero, asistida del Letrado don Enrique Ramiro Areces interpone recurso de amparo contra el Auto de la Sección Séptima de la Sala Tercera del Tribunal Supremo, de 18 de septiembre de 1996, por la que se inadmite el recurso de casación formulado contra la Sentencia de la Sala de lo Contencioso- Administrativo del Tribunal Superior de Justicia de Andalucía de fecha 31 de enero de 1995.</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sucintamente expuestos, en los que se fundamenta la demanda son, los que siguen: </w:t>
      </w:r>
    </w:p>
    <w:p w:rsidR="006854DA" w:rsidRDefault="006854DA" w:rsidP="006854DA">
      <w:pPr>
        <w:pStyle w:val="TextoNormal"/>
      </w:pPr>
      <w:r>
        <w:t xml:space="preserve">A) Por la Recaudación Ejecutiva de la Delegación de Hacienda de la Junta de Andalucía se ha seguido un procedimiento de apremio contra la ahora recurrente en amparo, que tenía por objeto la liquidación del Impuesto de Transmisiones Patrimoniales. Dicho procedimiento se siguió inaudita parte y en el mismo se produjo el día 18 de febrero de 1994, la traba y embargo de la totalidad de las cuentas corrientes y de ahorro de la administrada, lo que motivó que por la demandante se interpusiera el correspondiente procedimiento contencioso- administrativo de garantías fundamentales al amparo de la Ley 62/1978, de </w:t>
      </w:r>
      <w:r>
        <w:lastRenderedPageBreak/>
        <w:t xml:space="preserve">26 de diciembre, el cual se siguió ante la Sala de lo Contencioso-Administrativo del Tribunal Superior de Justicia de Andalucía con sede en Málaga. </w:t>
      </w:r>
    </w:p>
    <w:p w:rsidR="006854DA" w:rsidRDefault="006854DA" w:rsidP="006854DA">
      <w:pPr>
        <w:pStyle w:val="TextoNormal"/>
      </w:pPr>
      <w:r>
        <w:t>B) El día 31 de enero de 1995 recayó Sentencia en dicho procedimiento judicial y como, a juicio de la recurrente, la resolución dictada guardaba silencio y dejaba manifiestamente imprejuzgadas las denuncias que sobre el fondo del asunto había formulado, motivó la interposición del correspondiente recurso de casación previsto en el art. 9.1 de la expresada Ley 62/1978. Dicho recurso, pese a ser admitido por la Sala de Instancia, fue finalmente rechazado tras la exposición de una doble causa de inadmisión por el Tribunal Supremo.</w:t>
      </w:r>
    </w:p>
    <w:p w:rsidR="006854DA" w:rsidRDefault="006854DA" w:rsidP="006854DA">
      <w:pPr>
        <w:pStyle w:val="TextoNormal"/>
      </w:pPr>
    </w:p>
    <w:p w:rsidR="006854DA" w:rsidRDefault="006854DA" w:rsidP="006854DA">
      <w:pPr>
        <w:pStyle w:val="TextoNormal"/>
      </w:pPr>
      <w:r w:rsidRPr="006854DA">
        <w:rPr>
          <w:rStyle w:val="NumeroAFNegritaCaracter"/>
        </w:rPr>
        <w:t>3</w:t>
      </w:r>
      <w:r>
        <w:t>. La solicitante interpuso recurso de amparo contra el Auto de la Sección Séptima de la Sala Tercera del Tribunal Supremo de 18 de septiembre de 1996, como ha quedado dicho. Entiende la demandante que la resolución judicial impugnada ha incurrido en infracción de los arts. 24.1 y 25.1 de la Constitución, por cuanto que las vulneraciones constitucionales se habían producido en primer término con relación a la aplicación de normas inconstitucionales -arts. 111.3 y 128.5 de la Ley General Tributaria- relativas a la imposición y exacción de un tributo por la vía ejecutiva; así como por el hecho de haberse seguido un procedimiento de apremio sin llevar a cabo el emplazamiento personal y directo del administrado, con ausencia de alguna causa que lo justifique, cuando era patente, notorio y manifiesto su domicilio, e incluso, a mayor abundamiento, la Administración ejecutante conocía el mismo al haber sido parte en las previas actuaciones económico-administrativas.</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10 de enero de 1997, la Sección Segunda de este Tribunal acordó admitir a trámite la demanda de amparo así como, a tenor de lo dispuesto en el art. 51 LOTC, requerir a la Sala Tercera del Tribunal Supremo, y a la Sala de lo Contencioso-Administrativo del Tribunal Superior de Justicia de Andalucía, para que remitieran testimonio, respectivamente, del recurso de casación núm. 4.081/95, y del recurso contencioso-administrativo núm. 664/94, interesando al mismo tiempo, el emplazamiento de cuantas personas fueron parte en dicha causa judicial, con excepción de la recurrente en amparo, para que en el plazo máximo e improrrogable de diez días, comparecieran en el presente procedimiento constitucional, si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10 de marzo de 1997, se tuvieron por recibidos los testimonios solicitados, así como por personados al Abogado del Estado, a la Letrada de la Junta de Andalucía, y conforme a lo dispuesto en el art. 52 LOTC se acordó dar vista de las actuaciones recibidas, y de las demás existentes en el presente recurso de amparo en Secretaría, por un plazo común de veinte días al Ministerio Fiscal, a la representación procesal de la recurrente en amparo, al Abogado del Estado, y a la Letrada de la Junta de Andalucía para que dentro de dicho plazo pudieran presentar las alegaciones que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Por escrito registrado en este Tribunal el día 1 de abril de 1997, el Abogado del Estado realizó las siguientes alegaciones: </w:t>
      </w:r>
    </w:p>
    <w:p w:rsidR="006854DA" w:rsidRDefault="006854DA" w:rsidP="006854DA">
      <w:pPr>
        <w:pStyle w:val="TextoNormal"/>
      </w:pPr>
      <w:r>
        <w:t>A) El art. 9.1 de la Ley 62/1978 debe estimarse abrogado por la Disposición derogatoria Segunda de la Ley 10/1992, de 30 de abril. El Auto del Tribunal Supremo que se recurre no se apoya en el art. 9.1 de la Ley 62/1978, sino en el art. 93.2.b) L.J.C.A. (falta de cuantía). El art. 93.2b) L.J.C.A., cuya constitucionalidad no se pone en tela de juicio, ma</w:t>
      </w:r>
      <w:r>
        <w:lastRenderedPageBreak/>
        <w:t xml:space="preserve">nifiesta con claridad que la casación no procede en asuntos de cuantía igual o inferior a seis millones de pesetas «cualquiera que fuere la materia». No hay aquí ningún «en su caso» interpretable. Está de más recordar que la casación es un recurso extraordinario, y ordinario, -en cambio- el de apelación, aunque también ha de reconocerse que el art. 15.2 de la Ley 62/1978 expresa una valoración del legislador a favor de garantizar el acceso a la casación en asuntos civiles de derechos fundamentales. </w:t>
      </w:r>
    </w:p>
    <w:p w:rsidR="006854DA" w:rsidRDefault="006854DA" w:rsidP="006854DA">
      <w:pPr>
        <w:pStyle w:val="TextoNormal"/>
      </w:pPr>
      <w:r>
        <w:t xml:space="preserve">B) Así pues, el Auto del Tribunal Supremo impugnado no ha hecho otra cosa que interpretar y aplicar razonablemente el mandato del legislador contenido en el art. 93.2b) L.J.C.A. El art.24.1 C.E. no da un derecho autónomo a la casación contencioso-administrativa en asuntos de derechos fundamentales, sino que corresponde al legislador ordinario abrir o no esa vía de recurso. Y la decisión del legislador de denegar la casación en asuntos de cuantía inferior a seis millones de pesetas es transparente: no hay casación «cualquiera que fuere la materia», aunque se trate de una supuesta lesión de derechos fundamentales. </w:t>
      </w:r>
    </w:p>
    <w:p w:rsidR="006854DA" w:rsidRDefault="006854DA" w:rsidP="006854DA">
      <w:pPr>
        <w:pStyle w:val="TextoNormal"/>
      </w:pPr>
      <w:r>
        <w:t xml:space="preserve">Sobra decir que si, pese al escaso apoyo textual que proporciona el art. 93.2b) L.J.C.A., la doctrina de la STC 188/1994 fuera extendida a la casación, el abuso del procedimiento regulado en la Sección Segunda de la Ley 62/1978 -del que la experiencia cotidiana registra ejemplos constantes y notorios- tendría un fuerte estímulo adicional. </w:t>
      </w:r>
    </w:p>
    <w:p w:rsidR="006854DA" w:rsidRDefault="006854DA" w:rsidP="006854DA">
      <w:pPr>
        <w:pStyle w:val="TextoNormal"/>
      </w:pPr>
      <w:r>
        <w:t xml:space="preserve">C) Aun si se estimara concurrente una violación del art. 24.1 C.E. imputable a la Sala Tercera del Tribunal Supremo, la jurisprudencia constitucional impide dar lugar a un pronunciamiento de reenvío (SSTC 12/1982, fundamento jurídico 1º, 74/1982 fundamento jurídico 1º, 31/1984 fundamento jurídico 2º, 148/1986 fundamento jurídico 3º, 35/1987, fundamento jurídico 2º, 47/1990 fundamento jurídico 2º, 160/1991, fundamento jurídico 6º, y 363/1993 fundamento jurídico 2º). Sentada la doctrina que procediera respecto al recurso de casación en asuntos de derechos fundamentales, deberían examinarse las demás supuestas lesiones de derechos fundamentales invocadas en la demanda, cuya falta de consistencia es obvia y evidente. </w:t>
      </w:r>
    </w:p>
    <w:p w:rsidR="006854DA" w:rsidRDefault="006854DA" w:rsidP="006854DA">
      <w:pPr>
        <w:pStyle w:val="TextoNormal"/>
      </w:pPr>
      <w:r>
        <w:t xml:space="preserve">D) No se ve en razón de qué la demanda de amparo juzga incongruente la Sentencia de la Sala de Málaga, que trata de las dos infracciones de derechos fundamentales que fueron planteadas. Hay una falta total de razonamiento sobre este punto en dicha demanda ya que no determina siquiera a qué cuestiones debidamente suscitadas y debatidas en el proceso se ha omitido dar respuesta. Respecto a esta infracción, la demanda incumple manifiestamente la carga de alegar que resulta de los arts. 49.1 y 85.1 LOTC. </w:t>
      </w:r>
    </w:p>
    <w:p w:rsidR="006854DA" w:rsidRDefault="006854DA" w:rsidP="006854DA">
      <w:pPr>
        <w:pStyle w:val="TextoNormal"/>
      </w:pPr>
      <w:r>
        <w:t xml:space="preserve">E) La demanda no toma en consideración que, con la excepción de los procedimientos sancionadores y los casos excepcionales a que se refiere la STC 103/1996, los procedimientos administrativos -como los de ejecución forzosa sobre el patrimonio, es decir: el procedimiento de apremio- quedan fuera de la esfera protectora del art. 24.1 C.E., que se refiere al derecho a obtener tutela judicial efectiva (SSTC 90/1985, y 197/1988). En nuestro caso, la recurrente ha tenido franco el acceso a los Tribunales Contencioso-Administrativos, ante los que ha formulado sus pretensiones a las que la Sala de Málaga ha dado respuesta fundada. </w:t>
      </w:r>
    </w:p>
    <w:p w:rsidR="006854DA" w:rsidRDefault="006854DA" w:rsidP="006854DA">
      <w:pPr>
        <w:pStyle w:val="TextoNormal"/>
      </w:pPr>
      <w:r>
        <w:t xml:space="preserve">En consecuencia, no es aplicable al procedimiento administrativo de apremio la doctrina constitucional sobre el emplazamiento personal y directo en el proceso contencioso- administrativo u otros. La doctrina en cuestión se refiere al emplazamiento en los procesos judiciales y no puede extenderse el régimen de las notificaciones en los procedimientos administrativos, punto sobre el que, además, se extiende la Sentencia de la Sala de Málaga en términos que, con independencia de que los procedimientos administrativos de apremio </w:t>
      </w:r>
      <w:r>
        <w:lastRenderedPageBreak/>
        <w:t xml:space="preserve">queden fuera del ámbito del art. 24.1 C.E, han de considerarse no sólo razonables sino acertados. </w:t>
      </w:r>
    </w:p>
    <w:p w:rsidR="006854DA" w:rsidRDefault="006854DA" w:rsidP="006854DA">
      <w:pPr>
        <w:pStyle w:val="TextoNormal"/>
      </w:pPr>
      <w:r>
        <w:t xml:space="preserve">F) El embargo de cuentas bancarias en el seno de un procedimiento administrativo de ejecución forzosa patrimonial es una típica medida de aseguramiento, que bajo ningún concepto puede calificarse de sanción a los efectos del art. 25.1 C.E. (SSTC 239/1988, fundamento jurídico 2º, y 164/1995, fundamento jurídico 4º). </w:t>
      </w:r>
    </w:p>
    <w:p w:rsidR="006854DA" w:rsidRDefault="006854DA" w:rsidP="006854DA">
      <w:pPr>
        <w:pStyle w:val="TextoNormal"/>
      </w:pPr>
      <w:r>
        <w:t>G) La STC 195/1994 invalidó el último inciso del art. 111.3 de la Ley General Tributaria (en lo sucesivo, L.G.T.) y el primer apartado del art. 128.5 L.G.T., en cuanto remite al expresado art. 111.3 L.G.T., por razones de inconstitucionalidad formal (haberse dado nueva redacción a los citados preceptos en una Ley de Presupuestos). Nada tiene ello que ver con el derecho fundamental a la legalidad sancionadora del art. 25.1 C.E. El fallo de la citada Sentencia constitucional no impide embargar, en un procedimiento administrativo tributario de ejecución forzosa, el «dinero en cuentas abiertas en entidades de depósito» (art. 131.2 L.G.T.), es decir, el crédito realizable en el acto del depositante contra la entidad de crédito que ha recibido el depósito irregular de dinero.</w:t>
      </w:r>
    </w:p>
    <w:p w:rsidR="006854DA" w:rsidRDefault="006854DA" w:rsidP="006854DA">
      <w:pPr>
        <w:pStyle w:val="TextoNormal"/>
      </w:pPr>
    </w:p>
    <w:p w:rsidR="006854DA" w:rsidRDefault="006854DA" w:rsidP="006854DA">
      <w:pPr>
        <w:pStyle w:val="TextoNormal"/>
      </w:pPr>
      <w:r w:rsidRPr="006854DA">
        <w:rPr>
          <w:rStyle w:val="NumeroAFNegritaCaracter"/>
        </w:rPr>
        <w:t>7</w:t>
      </w:r>
      <w:r>
        <w:t>. La representación procesal de la recurrente en amparo por escrito registrado el día 4 de abril de 1997, se ratificó en las manifestaciones efectuadas con anterioridad en el presente recurso de amparo, reiterando su contenido.</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La representación procesal de la Junta de Andalucía por escrito registrado el día 8 de abril de 1997, llevó a cabo las siguientes alegaciones: </w:t>
      </w:r>
    </w:p>
    <w:p w:rsidR="006854DA" w:rsidRDefault="006854DA" w:rsidP="006854DA">
      <w:pPr>
        <w:pStyle w:val="TextoNormal"/>
      </w:pPr>
      <w:r>
        <w:t xml:space="preserve">A) Vulneración del derecho a la tutela judicial efectiva. Acceso a los recursos. </w:t>
      </w:r>
    </w:p>
    <w:p w:rsidR="006854DA" w:rsidRDefault="006854DA" w:rsidP="006854DA">
      <w:pPr>
        <w:pStyle w:val="TextoNormal"/>
      </w:pPr>
      <w:r>
        <w:t xml:space="preserve">Es posible discernir un triple objeto en el presente recurso de amparo. </w:t>
      </w:r>
    </w:p>
    <w:p w:rsidR="006854DA" w:rsidRDefault="006854DA" w:rsidP="006854DA">
      <w:pPr>
        <w:pStyle w:val="TextoNormal"/>
      </w:pPr>
      <w:r>
        <w:t xml:space="preserve">En primer lugar, la demanda se dirige contra el Auto de la Sala Tercera del Tribunal Supremo, de 18 de Septiembre de 1996, por el que se acuerda declarar inadmisible el recurso de casación interpuesto por la ahora recurrente en amparo, contra la Sentencia de la Sala de lo Contencioso-Administrativo de Málaga del Tribunal Superior de Justicia de Andalucía, de 31 de Enero de 1990. El fundamento constitucional contra aquella decisión del Tribunal Supremo se basa en la supuesta vulneración del derecho a la tutela judicial efectiva en su vertiente de acceso a los recursos, al entenderse que se desconoció, además de una manera consciente y explícita, la doctrina del Tribunal en relación con los recursos admisibles contra las sentencias dictadas en procedimientos de protección del derechos fundamentales. </w:t>
      </w:r>
    </w:p>
    <w:p w:rsidR="006854DA" w:rsidRDefault="006854DA" w:rsidP="006854DA">
      <w:pPr>
        <w:pStyle w:val="TextoNormal"/>
      </w:pPr>
      <w:r>
        <w:t xml:space="preserve">En segundo lugar, aun cuando el texto de la demanda de amparo presenta serias dudas sobre el particular, parece que también de la Sentencia del Tribunal Superior de Justicia se predica la violación, al incurrir en incongruencia omisiva, del art. 24 de la Constitución. </w:t>
      </w:r>
    </w:p>
    <w:p w:rsidR="006854DA" w:rsidRDefault="006854DA" w:rsidP="006854DA">
      <w:pPr>
        <w:pStyle w:val="TextoNormal"/>
      </w:pPr>
      <w:r>
        <w:t xml:space="preserve">Finalmente, el tercero los objetos del amparo sería el acto administrativo originariamente impugnado, respecto del cual, la intervención tanto del Tribunal Supremo como de la Sala malagueña del Tribunal Superior de Justicia de Andalucía, vendría a constituir la vía judicial previa al amparo (art.43.1 de la Ley Orgánica del Tribunal), actuación aquella a la que se imputa la violación del los derechos fundamentales consagrados en los art. 24 y 25 de la Constitución. </w:t>
      </w:r>
    </w:p>
    <w:p w:rsidR="006854DA" w:rsidRDefault="006854DA" w:rsidP="006854DA">
      <w:pPr>
        <w:pStyle w:val="TextoNormal"/>
      </w:pPr>
      <w:r>
        <w:t xml:space="preserve">Pues bien, en cuanto al primero de los motivos, es evidente que no puede prosperar. </w:t>
      </w:r>
    </w:p>
    <w:p w:rsidR="006854DA" w:rsidRDefault="006854DA" w:rsidP="006854DA">
      <w:pPr>
        <w:pStyle w:val="TextoNormal"/>
      </w:pPr>
      <w:r>
        <w:t>Como acaba de decirse, se basa el motivo, dirigido contra la decisión del la Sala Tercera del Tribunal Supremo de declarar inadmisible el recurso de casación interpuesto contra la también referida Sentencia del Tribunal Superior de Justicia, en el supuesto desconocimiento por la Sala de la doctrina mantenida en la STC 188/1994, en relación con la proce</w:t>
      </w:r>
      <w:r>
        <w:lastRenderedPageBreak/>
        <w:t xml:space="preserve">dencia del recurso de apelación contra sentencias dictadas en procedimientos de protección jurisdiccional de los derechos fundamentales de la persona, de la Ley 62/1978. El derecho fundamental habría quedado desconocido al realizarse una interpretación irracional y arbitraria de la norma reguladora del acceso al recurso de casación. </w:t>
      </w:r>
    </w:p>
    <w:p w:rsidR="006854DA" w:rsidRDefault="006854DA" w:rsidP="006854DA">
      <w:pPr>
        <w:pStyle w:val="TextoNormal"/>
      </w:pPr>
      <w:r>
        <w:t xml:space="preserve">No obstante, son varias las razones que excluyen la referida vulneración, ya que, ante todo, no puede hablarse de un desconocimiento de plano de la doctrina constitucional sobre la materia. Por el contrario, el propio Tribunal Supremo tiene justificado adecuadamente el no seguimiento en todos los supuestos posibles de recursos contra Sentencias recaídas en tales procesos, de la conclusión obtenida por el Tribunal en el caso concreto enjuiciado en la STC 188/1994. </w:t>
      </w:r>
    </w:p>
    <w:p w:rsidR="006854DA" w:rsidRDefault="006854DA" w:rsidP="006854DA">
      <w:pPr>
        <w:pStyle w:val="TextoNormal"/>
      </w:pPr>
      <w:r>
        <w:t xml:space="preserve">La razones expuestas reiteradamente por el Alto Tribunal (pueden verse, entre otras muchas, las Sentencias de 11 de octubre de 1994, R.A 7.983, y de 31 de enero de 1996, R.A 561) parten de la consideración de las declaraciones contenidas en la STC 188/1994 como propias del supuesto concreto que enjuicia, que no es otro que el de la realización de una interpretación no favorable al derecho a acceder al recurso de apelación en supuestos de admisibilidad dudosa, como lo era aquel caso estudiado por la Sentencia, en el que la cuantía mínima prevista legalmente no resultaba claramente alcanzada. Se concluye por tanto que en el marco del proceso especial de protección de los derechos fundamentales, en la resolución de las dudas que puedan suscitarse sobre la procedencia o no del recurso debe prevalecer la interpretación favorable a la admisión del recurso. </w:t>
      </w:r>
    </w:p>
    <w:p w:rsidR="006854DA" w:rsidRDefault="006854DA" w:rsidP="006854DA">
      <w:pPr>
        <w:pStyle w:val="TextoNormal"/>
      </w:pPr>
      <w:r>
        <w:t xml:space="preserve">El Tribunal, por tanto, no afirma, como parece pretenderse por la recurrente en amparo, la necesaria introducción en todo caso de la doble instancia en el ámbito del proceso de protección jurisdiccional de los derechos fundamentales, imposición que, como tiene declarado el Tribunal, únicamente tendría lugar en el proceso penal (SSTC 171/1991, 82/1992, 113/1992, 230/1993, 89/1995 y 169/1996, entre otras). Por el contrario, partiendo de las posibilidades que ofrece el art. 9.1 de la Ley 62/1978, por cuyos oscuros términos cabe entender afirmado el sometimiento de la apelación contencioso- administrativa a las limitaciones generales establecidas en la Ley Jurisdiccional, es la necesaria interpretación de los supuestos dudosos, de manera favorable a la admisión del recurso, cuando de derechos fundamentales se trate, lo que reclama el Tribunal en su STC 188/1984. </w:t>
      </w:r>
    </w:p>
    <w:p w:rsidR="006854DA" w:rsidRDefault="006854DA" w:rsidP="006854DA">
      <w:pPr>
        <w:pStyle w:val="TextoNormal"/>
      </w:pPr>
      <w:r>
        <w:t xml:space="preserve">Pues bien, el Tribunal Supremo se limita a hacer aplicación de la tesis sostenida por el propio Tribunal Constitucional (incorporada también a los AATC 103/1982, 344/1988, 779/1988 y 163/1989), trasladando tales apreciaciones al supuesto concreto enjuiciado, en el que ninguna duda aparece sobre la insuficiencia de la cuantía del proceso, de «...algo más de seiscientas mil pesetas...», que no alcanza en absoluto la mínima prevista en el art. 93.2b) de la Ley reguladora de la Jurisdicción Contencioso-Administrativa, para hacer admisible el recurso de casación, recurso del que ahora se trata. </w:t>
      </w:r>
    </w:p>
    <w:p w:rsidR="006854DA" w:rsidRDefault="006854DA" w:rsidP="006854DA">
      <w:pPr>
        <w:pStyle w:val="TextoNormal"/>
      </w:pPr>
      <w:r>
        <w:t xml:space="preserve">Pero, además, es lo cierto que cualesquiera cuestiones que pudiera haber planteado la interpretación del art. 9.1 de la Ley 62/1978, han quedado eliminadas con la reforma procesal de la Ley 10/1992, de 30 de Abril, que al introducir el recurso de casación en el ámbito del proceso contencioso-administrativo, lo hace sin ningún género de distinción entre el proceso ordinario y en el especial de la Ley de protección jurisdiccional de los derechos fundamentales de la persona. </w:t>
      </w:r>
    </w:p>
    <w:p w:rsidR="006854DA" w:rsidRDefault="006854DA" w:rsidP="006854DA">
      <w:pPr>
        <w:pStyle w:val="TextoNormal"/>
      </w:pPr>
      <w:r>
        <w:t>El legislador manifiesta de forma explícita esta previsión en la Disposición derogatoria segunda de la Ley 10/1992, cuyo tenor no deja ya lugar a dudas sobre la aplicación al proceso especial de la Ley 62/1978, de las limitaciones generales establecidas para el acceso al recurso de casación. Según esta norma «...quedan derogadas las normas reguladores del recurso de apelación en materia contencioso-administrativa previstas en cualquier disposi</w:t>
      </w:r>
      <w:r>
        <w:lastRenderedPageBreak/>
        <w:t xml:space="preserve">ción legal, sin perjuicio de la procedencia del recurso de casación, en su caso, y en los términos previstos en la presente Ley...». </w:t>
      </w:r>
    </w:p>
    <w:p w:rsidR="006854DA" w:rsidRDefault="006854DA" w:rsidP="006854DA">
      <w:pPr>
        <w:pStyle w:val="TextoNormal"/>
      </w:pPr>
      <w:r>
        <w:t xml:space="preserve">En consecuencia, el acceso al recurso de casación en el marco de la protección jurisdiccional contencioso- administrativa de los derechos fundamentales de la persona, queda sometida a la regulación general establecida, tras la reforma de la Ley 10/1992, en la Ley reguladora de la Jurisdicción Contencioso-Administrativa, sin que desde entonces pueda existir incertidumbre alguna respecto de la aplicación en aquel proceso de protección jurisdiccional, de las causas de inadmisión del recurso de casación previstas en la citada Ley, en concreto en su artículo 93 [en cuyo apartado 2c),se contempla, incluso, una especial referencia al proceso especial de la Ley 62/1978]. </w:t>
      </w:r>
    </w:p>
    <w:p w:rsidR="006854DA" w:rsidRDefault="006854DA" w:rsidP="006854DA">
      <w:pPr>
        <w:pStyle w:val="TextoNormal"/>
      </w:pPr>
      <w:r>
        <w:t xml:space="preserve">En definitiva, la declaración de inadmisión del recurso de casación se ha realizado por el Tribunal Supremo de forma ajustada a Derecho, mediante una interpretación racional y fundada de las causas de inadmisión legalmente establecidas, y, por tanto, sin vulneración alguna del derecho a la tutela judicial efectiva, y, concretamente, del derecho a acceso a los recursos. </w:t>
      </w:r>
    </w:p>
    <w:p w:rsidR="006854DA" w:rsidRDefault="006854DA" w:rsidP="006854DA">
      <w:pPr>
        <w:pStyle w:val="TextoNormal"/>
      </w:pPr>
      <w:r>
        <w:t xml:space="preserve">Por todo, el motivo debe ser desestimado. </w:t>
      </w:r>
    </w:p>
    <w:p w:rsidR="006854DA" w:rsidRDefault="006854DA" w:rsidP="006854DA">
      <w:pPr>
        <w:pStyle w:val="TextoNormal"/>
      </w:pPr>
      <w:r>
        <w:t xml:space="preserve">B) Supuesta vulneración en la vía judicial del art. 24 de la Constitución. </w:t>
      </w:r>
    </w:p>
    <w:p w:rsidR="006854DA" w:rsidRDefault="006854DA" w:rsidP="006854DA">
      <w:pPr>
        <w:pStyle w:val="TextoNormal"/>
      </w:pPr>
      <w:r>
        <w:t xml:space="preserve">Esta segunda infracción constitucional podría venir imputada a la Sentencia dictada en la instancia del proceso jurisdiccional por la Sala de lo Contencioso-Administrativo de Málaga del Tribunal Superior de Justicia de Andalucía, aunque, realmente, del escrito de demanda de amparo, sólo con especiales dificultades es posible deducir este extremo. </w:t>
      </w:r>
    </w:p>
    <w:p w:rsidR="006854DA" w:rsidRDefault="006854DA" w:rsidP="006854DA">
      <w:pPr>
        <w:pStyle w:val="TextoNormal"/>
      </w:pPr>
      <w:r>
        <w:t xml:space="preserve">En efecto, la demanda del recurso de amparo se limita, en el apartado c) del fundamento jurídico 2º, a indicar la existencia de incongruencia. No se señala el acto o resolución que en ella incurre, acto que podría ser tanto el administrativo impugnado, como las dos resoluciones judiciales a las que también afecta el recurso. Además, tampoco se indica nada sobre la razón de tal defecto, es decir, sobre el elemento, circunstancia o fundamentación de la recurrente que se estima omitida por unos u otros actos o resoluciones. </w:t>
      </w:r>
    </w:p>
    <w:p w:rsidR="006854DA" w:rsidRDefault="006854DA" w:rsidP="006854DA">
      <w:pPr>
        <w:pStyle w:val="TextoNormal"/>
      </w:pPr>
      <w:r>
        <w:t xml:space="preserve">La defectuosa fundamentación, contra la que no es posible argumentar de contrario, justificaría por sí misma un pronunciamiento -al menos- desestimatorio del motivo. </w:t>
      </w:r>
    </w:p>
    <w:p w:rsidR="006854DA" w:rsidRDefault="006854DA" w:rsidP="006854DA">
      <w:pPr>
        <w:pStyle w:val="TextoNormal"/>
      </w:pPr>
      <w:r>
        <w:t xml:space="preserve">No obstante, ante el improbable e hipotético examen por el Tribunal de la incongruencia de la Sentencia impugnada, que denunciada en el (innecesariamente) extenso escrito de anuncio del recurso de casación presentado ante el Tribunal Superior de Justicia, puede significarse como la Sala de instancia sí ofreció adecuada respuesta a la cuestión plateada efectivamente por la actora, cuestión que no era otra que la supuesta práctica incorrecta de la notificación edictal del acto administrativo impugnado; y es que esta cuestión resulta más que suficientemente tratada en la Sentencia (fundamento jurídico 3º), la cual, consecuentemente, no puede tacharse de incongruente por omisión porque en la apreciación del conjunto de elementos jurídicos y fácticos aportados al Juzgador no haya dado mayor relevancia al unas u otras circunstancias. </w:t>
      </w:r>
    </w:p>
    <w:p w:rsidR="006854DA" w:rsidRDefault="006854DA" w:rsidP="006854DA">
      <w:pPr>
        <w:pStyle w:val="TextoNormal"/>
      </w:pPr>
      <w:r>
        <w:t xml:space="preserve">C) Infracción por los actos administrativos impugnados de los art. 24 y 25 de la Constitución. </w:t>
      </w:r>
    </w:p>
    <w:p w:rsidR="006854DA" w:rsidRDefault="006854DA" w:rsidP="006854DA">
      <w:pPr>
        <w:pStyle w:val="TextoNormal"/>
      </w:pPr>
      <w:r>
        <w:t xml:space="preserve">Finalmente, el tercer objeto del recurso vendría constituido por el acto administrativo originariamente impugnado, es decir, la Resolución de 18 de febrero de 1994, de la Delegación de Hacienda de Málaga de la Junta de Andalucía, por la que se traba embargo de la libreta de ahorro de la demandante. </w:t>
      </w:r>
    </w:p>
    <w:p w:rsidR="006854DA" w:rsidRDefault="006854DA" w:rsidP="006854DA">
      <w:pPr>
        <w:pStyle w:val="TextoNormal"/>
      </w:pPr>
      <w:r>
        <w:t xml:space="preserve">No es necesaria una especial intensidad argumental para concluir en la improcedencia manifiesta de las supuestas infracciones constitucionales cometidas por la resolución administrativa. </w:t>
      </w:r>
    </w:p>
    <w:p w:rsidR="006854DA" w:rsidRDefault="006854DA" w:rsidP="006854DA">
      <w:pPr>
        <w:pStyle w:val="TextoNormal"/>
      </w:pPr>
      <w:r>
        <w:lastRenderedPageBreak/>
        <w:t xml:space="preserve">En cuanto a la supuesta vulneración del artículo 24 de la Constitución, es suficientemente conocida la no aplicación en el ámbito del procedimiento administrativo (salvo en el sancionador) de las garantías que dicho precepto constitucional consagra (SSTC 26/1994 y 65/1994, entre otras), lo que ya de por sí debe conllevar la desestimación, al menos, del motivo. </w:t>
      </w:r>
    </w:p>
    <w:p w:rsidR="006854DA" w:rsidRDefault="006854DA" w:rsidP="006854DA">
      <w:pPr>
        <w:pStyle w:val="TextoNormal"/>
      </w:pPr>
      <w:r>
        <w:t xml:space="preserve">En cualquier caso no debe dejar de recordarse la más que diligente actuación de la Administración en la práctica de la correspondiente notificación, que fue intentada inicialmente y por dos veces en el domicilio señalado a tales efectos en las autoliquidaciones tributarias que dieron lugar al embargo, sin que la demandante comunicara, como es su deber (ex art. 45.2 de la Ley General Tributaria), la existencia de cualquier cambio domiciliario, atendiendo posteriormente al domicilio proporcionado por el Ayuntamiento, en el que se intenta también por dos veces la comunicación del acto, y acudiéndose, finalmente, a la publicación de edictos en el Boletín Oficial de la Provincia y el tablón de anuncios del Ayuntamiento, al amparo del art. 103 del Reglamento General de Recaudación. </w:t>
      </w:r>
    </w:p>
    <w:p w:rsidR="006854DA" w:rsidRDefault="006854DA" w:rsidP="006854DA">
      <w:pPr>
        <w:pStyle w:val="TextoNormal"/>
      </w:pPr>
      <w:r>
        <w:t xml:space="preserve">En consecuencia, nada pueda achacarse a la actuación administrativa con relación a cualquier afección a la esfera de la defensa de los derechos e intereses de la recurrente, siendo imputable exclusivamente a ella lo acaecido, ya que omite la preceptiva comunicación de la alteración domiciliaria a la Administración. </w:t>
      </w:r>
    </w:p>
    <w:p w:rsidR="006854DA" w:rsidRDefault="006854DA" w:rsidP="006854DA">
      <w:pPr>
        <w:pStyle w:val="TextoNormal"/>
      </w:pPr>
      <w:r>
        <w:t xml:space="preserve">Finalmente, tampoco puede merecer acogida la invocada infracción del artículo 25 de la Constitución, infracción que pretende sustentarse, de un lado, en la supuesta inconstitucionalidad de los preceptos que sirven de base a la actuación administrativa, lo que, a su vez, según la actora, convertiría la traba del embargo en cuestión, en una sanción administrativa, naturalmente, sin cobertura legal. </w:t>
      </w:r>
    </w:p>
    <w:p w:rsidR="006854DA" w:rsidRDefault="006854DA" w:rsidP="006854DA">
      <w:pPr>
        <w:pStyle w:val="TextoNormal"/>
      </w:pPr>
      <w:r>
        <w:t xml:space="preserve">Sin embargo, para desechar la pretensión expuesta, basta comprobar la inexistencia de la declaración de inconstitucionalidad que se dice afectante a la actuación administrativa, ya que, la STC 195/1994, que se invoca en este sentido, como es sabido, en modo alguno refiere su juicio de constitucionalidad a la regulación legal del embargo administrativo, aspecto que, precisamente, había sido modificado por la Ley 31/1991, para excluir del ordenamiento la traba sobre bienes indeterminados, quedando circunscrita aquella Sentencia a las potestades de investigación previa a la diligencia de embargo (fundamento jurídico 1º de la Sentencia). </w:t>
      </w:r>
    </w:p>
    <w:p w:rsidR="006854DA" w:rsidRDefault="006854DA" w:rsidP="006854DA">
      <w:pPr>
        <w:pStyle w:val="TextoNormal"/>
      </w:pPr>
      <w:r>
        <w:t xml:space="preserve">En cualquier caso, aun partiendo de la ya descartada carencia de cobertura legal de la actuación administrativa, no se entiende la razón por la que la circunstancia expuesta hubiera de transformar la actuación de que se trata en sanción administrativa, ni conllevar la consiguiente infracción del artículo 25 de la Constitución. </w:t>
      </w:r>
    </w:p>
    <w:p w:rsidR="006854DA" w:rsidRDefault="006854DA" w:rsidP="006854DA">
      <w:pPr>
        <w:pStyle w:val="TextoNormal"/>
      </w:pPr>
      <w:r>
        <w:t>En consecuencia, tampoco los motivos últimamente comentados pueden tener acogida.</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Por el Ministerio Fiscal, mediante escrito de 11 de abril de 1997, se efectuaron las siguientes manifestaciones: </w:t>
      </w:r>
    </w:p>
    <w:p w:rsidR="006854DA" w:rsidRDefault="006854DA" w:rsidP="006854DA">
      <w:pPr>
        <w:pStyle w:val="TextoNormal"/>
      </w:pPr>
      <w:r>
        <w:t xml:space="preserve">A) Ante todo, y para centrar el objeto del presente recurso de amparo, interesa descartar la alegada quiebra del artículo 25.1 de la Constitución. Ni nos encontramos ante un procedimiento sancionador, ni se aportan argumentos serios que intenten justificar la vulneración del principio de legalidad (STC 45/1984). </w:t>
      </w:r>
    </w:p>
    <w:p w:rsidR="006854DA" w:rsidRDefault="006854DA" w:rsidP="006854DA">
      <w:pPr>
        <w:pStyle w:val="TextoNormal"/>
      </w:pPr>
      <w:r>
        <w:t xml:space="preserve">B) En cuanto a la vulneración del art. 24.1 de la </w:t>
      </w:r>
    </w:p>
    <w:p w:rsidR="006854DA" w:rsidRDefault="006854DA" w:rsidP="006854DA">
      <w:pPr>
        <w:pStyle w:val="TextoNormal"/>
      </w:pPr>
      <w:r>
        <w:t>Constitución, aparte de otros argumentos que harían referencia al recurso contencioso- administrativo resuelto por la Sentencia de instancia, hay que resaltar la alegada quiebra acceso al recurso. La recurrente inició un procedimiento de la Ley 62/1978 alegando la indefensión que le había supuesto un embargo de su cuenta corriente sin previa notifica</w:t>
      </w:r>
      <w:r>
        <w:lastRenderedPageBreak/>
        <w:t xml:space="preserve">ción de sus causas, y por tanto sin oportunidad de impugnarlas. La Sala entendió que el procedimiento era el adecuado, pues lo admitió a trámite. Con ello reconocía que se encontraba en juego uno de los derechos reconocidos en el art. 53.2 de la Constitución. </w:t>
      </w:r>
    </w:p>
    <w:p w:rsidR="006854DA" w:rsidRDefault="006854DA" w:rsidP="006854DA">
      <w:pPr>
        <w:pStyle w:val="TextoNormal"/>
      </w:pPr>
      <w:r>
        <w:t xml:space="preserve">C) Al intentar el recurso de casación contra la Sentencia que resolvía el recurso interpuesto, la Sala Tercera del Tribunal Supremo lo inadmite por no alcanzar la cuantía mínima requerida por la Ley de la Jurisdicción Administrativa, tras la reforma de la Ley 10/1992. </w:t>
      </w:r>
    </w:p>
    <w:p w:rsidR="006854DA" w:rsidRDefault="006854DA" w:rsidP="006854DA">
      <w:pPr>
        <w:pStyle w:val="TextoNormal"/>
      </w:pPr>
      <w:r>
        <w:t xml:space="preserve">D) En el supuesto de hecho planteado en la STC 188/1994, el Ministerio Fiscal defendía que se trataba de un recurso sin cuantía, pues los recurrentes no discutían la obligación del pago, sino el destinatario del mismo (que pretendían fuera la Iglesia Evangélica en lugar de la Católica o el Estado). Por ello, el Ministerio Fiscal se inclinaba por el otorgamiento del amparo y la consiguiente apertura del recurso de casación, pues la aplicación de criterios crematísticos resultaba desproporcionado al caso. </w:t>
      </w:r>
    </w:p>
    <w:p w:rsidR="006854DA" w:rsidRDefault="006854DA" w:rsidP="006854DA">
      <w:pPr>
        <w:pStyle w:val="TextoNormal"/>
      </w:pPr>
      <w:r>
        <w:t xml:space="preserve">E) Ahora bien, el Tribunal Constitucional sentó una doctrina de alcance más general al afirmar que "cuando lo planteado en el proceso (de la Ley 62/1978) sea manifiestamente un problema directamente relacionado con la tutela de los derechos fundamentales, es necesario permitir la segunda instancia y darle ocasión al Tribunal Supremo a que pueda restablecer el derecho fundamental vulnerado". La mención genérica del Tribunal Supremo parecía, además, eliminar el problema relativo a si se trataba de una doctrina aplicable exclusivamente al recurso de apelación entonces vigente, o si era extensible al actual sistema de casación. </w:t>
      </w:r>
    </w:p>
    <w:p w:rsidR="006854DA" w:rsidRDefault="006854DA" w:rsidP="006854DA">
      <w:pPr>
        <w:pStyle w:val="TextoNormal"/>
      </w:pPr>
      <w:r>
        <w:t xml:space="preserve">F) Se hace necesario esclarecer si el mero hecho de que una Sala de lo Contencioso- Administrativo admita a trámite un procedimiento de la Ley 62/1978, lo que supone reconocer que el acto impugnado repercute sobre algún derecho fundamental, da derecho a entender que lo realmente discutido es la quiebra del mismo, que debe ser resuelta por los Tribunales ordinarios. Ello haría pasar a segundo plano el tema de la cuantía de la reclamación discutida, o incluso la cuestión personal que pudiera subyacer en el proceso a quo, con lo que el acceso al Tribunal Supremo resultaría lógico, pues los Tribunales ordinarios son los guardianes naturales de los derechos fundamentales, y no sería coherente privar al Tribunal Supremo de la posibilidad de restaurarlos. </w:t>
      </w:r>
    </w:p>
    <w:p w:rsidR="006854DA" w:rsidRDefault="006854DA" w:rsidP="006854DA">
      <w:pPr>
        <w:pStyle w:val="TextoNormal"/>
      </w:pPr>
      <w:r>
        <w:t xml:space="preserve">G) Ningún problema se plantea si la Sala de lo Contencioso- Administrativo inadmite el recurso de la Ley 62/1978 por inadecuación de procedimiento. Ello supone reconocer que ninguno de los derechos del art. 53.2 se encuentra en juego. Pero cuando el procedimiento sumario y preferente es declarado viable, no resulta razonable que el Tribunal Supremo deba revisar si prima facie existe realmente un derecho fundamental en juego, para admitir la casación en tal caso, o para negarla en el supuesto contrario. Existe una presunción de que el mero hecho de la admisión a trámite del procedimiento especial supone la aceptación de que ello es debido a una acertada interpretación de la ley, y por tanto, el thema decidendi afecta realmente a un derecho fundamental o a una libertad pública. </w:t>
      </w:r>
    </w:p>
    <w:p w:rsidR="006854DA" w:rsidRDefault="006854DA" w:rsidP="006854DA">
      <w:pPr>
        <w:pStyle w:val="TextoNormal"/>
      </w:pPr>
      <w:r>
        <w:t xml:space="preserve">H) Así las cosas, de la doctrina sentada en la STC 188/1994 parece deducirse que debe caber recurso de casación en todos los supuestos tramitados por la vía especial de la Ley 62/1978. No obstante, el Tribunal Supremo se ha negado sistemáticamente a aplicar tal criterio. Buen ejemplo de ello lo constituye el Auto de inadmisión ahora impugnado. </w:t>
      </w:r>
    </w:p>
    <w:p w:rsidR="006854DA" w:rsidRDefault="006854DA" w:rsidP="006854DA">
      <w:pPr>
        <w:pStyle w:val="TextoNormal"/>
      </w:pPr>
      <w:r>
        <w:t xml:space="preserve">I) Tampoco puede olvidarse que después de la STC 188/1994 se dictó la STC 37/1995, que inicia una doctrina restrictiva de la interpretación del principio pro actione en el acceso a los recursos. Esta línea abonaría la tesis de que si el Tribunal Supremo entiende de aplicación los criterios generales de la Ley de la Jurisdicción-Contencioso Administrativa, y la cuantía litigiosa es uno de ellos, poco tiene que decir este Tribunal. </w:t>
      </w:r>
    </w:p>
    <w:p w:rsidR="006854DA" w:rsidRDefault="006854DA" w:rsidP="006854DA">
      <w:pPr>
        <w:pStyle w:val="TextoNormal"/>
      </w:pPr>
      <w:r>
        <w:lastRenderedPageBreak/>
        <w:t xml:space="preserve">J) No obstante, el papel preponderante que los derechos fundamentales ostentan en nuestro ordenamiento jurídico lleva al Ministerio Fiscal a entender que su defensa por los Tribunales ordinarios debe ser potenciada, y el carácter subsidiario y último del recurso de amparo hace que no deba entrar en juego hasta que el Tribunal Supremo se pronuncie, pues lo contrario supondría un criterio reduccionista del derecho fundamental: una nimia diferencia económica sería suficiente para negarle un plus de protección jurisdiccional. </w:t>
      </w:r>
    </w:p>
    <w:p w:rsidR="006854DA" w:rsidRDefault="006854DA" w:rsidP="006854DA">
      <w:pPr>
        <w:pStyle w:val="TextoNormal"/>
      </w:pPr>
      <w:r>
        <w:t xml:space="preserve">K) Por ello, el Ministerio Fiscal entiende que el presente recurso de amparo debe prosperar. La Sala de lo Contencioso-Administrativo del Tribunal Superior de Justicia de Andalucía ha reconocido que nos encontramos ante un problema de indefensión, y no resulta adecuado a la protección de los derechos fundamentales que tal cuestión se vea privada del acceso a la casación por una interpretación crematística que a todas luces resulta secundaria en la resolución del caso. </w:t>
      </w:r>
    </w:p>
    <w:p w:rsidR="006854DA" w:rsidRDefault="006854DA" w:rsidP="006854DA">
      <w:pPr>
        <w:pStyle w:val="TextoNormal"/>
      </w:pPr>
      <w:r>
        <w:t xml:space="preserve">L) El alcance del amparo (art. 55.1 LOTC) no debe ser otro que la admisión a trámite del recurso de casación, para que el Tribunal Supremo pueda pronunciarse sobre el fondo en el sentido que estime pertinente. </w:t>
      </w:r>
    </w:p>
    <w:p w:rsidR="006854DA" w:rsidRDefault="006854DA" w:rsidP="006854DA">
      <w:pPr>
        <w:pStyle w:val="TextoNormal"/>
      </w:pPr>
      <w:r>
        <w:t>En consecuencia, el Fiscal interesa que, de acuerdo con lo dispuesto en los arts. 86.1 y 80 de la Ley Orgánica del Tribunal Constitucional y 372 de la Ley de Enjuiciamiento Civil, por el Tribunal Constitucional se dicte Sentencia otorgando el amparo, en los términos antedichos, por cuanto resulta del proceso la lesión del derecho a la tutela judicial efectiva, en su vertiente relativa al acceso a los recursos, de la recurrente.</w:t>
      </w:r>
    </w:p>
    <w:p w:rsidR="006854DA" w:rsidRDefault="006854DA" w:rsidP="006854DA">
      <w:pPr>
        <w:pStyle w:val="TextoNormal"/>
      </w:pPr>
    </w:p>
    <w:p w:rsidR="006854DA" w:rsidRDefault="006854DA" w:rsidP="006854DA">
      <w:pPr>
        <w:pStyle w:val="TextoNormal"/>
      </w:pPr>
      <w:r w:rsidRPr="006854DA">
        <w:rPr>
          <w:rStyle w:val="NumeroAFNegritaCaracter"/>
        </w:rPr>
        <w:t>10</w:t>
      </w:r>
      <w:r>
        <w:t>. Por providencia de 30 de junio de 1997, se señaló para la deliberación y votación de la presente Sentencia el día 1 de julio de 1997.</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demandante de amparo impugna el Auto de la Sección Séptima de la Sala de lo Contencioso-Administrativo del Tribunal Supremo de 18 de septiembre de 1996 que inadmitió el recurso de casación interpuesto contra la Sentencia de la Sala del mismo orden jurisdiccional del Tribunal Superior de Justicia de Andalucía de 31 de enero de 1995 por no alcanzar la cuantía del mismo el mínimo legalmente señalado, impugnación que se desdobla en cuanto a su fundamentación apoyada en los arts. 25.1 y 24.1 C.E.</w:t>
      </w:r>
    </w:p>
    <w:p w:rsidR="006854DA" w:rsidRDefault="006854DA" w:rsidP="006854DA">
      <w:pPr>
        <w:pStyle w:val="TextoNormal"/>
      </w:pPr>
    </w:p>
    <w:p w:rsidR="006854DA" w:rsidRDefault="006854DA" w:rsidP="006854DA">
      <w:pPr>
        <w:pStyle w:val="TextoNormal"/>
      </w:pPr>
      <w:r w:rsidRPr="006854DA">
        <w:rPr>
          <w:rStyle w:val="NumeroAFNegritaCaracter"/>
        </w:rPr>
        <w:t>2</w:t>
      </w:r>
      <w:r>
        <w:t>. El acto administrativo sobre el que se pronunció la Sentencia del Tribunal Superior de Justicia, acabada de citar fue una Resolución del organismo de Recaudación Ejecutiva de la Delegación de Hacienda de la Junta de Andalucía acordando el embargo de una determinada cuenta corriente por importe de algo más de seiscientas mil pesetas, acto que según la recurrente en amparo, vulneraría el art. 25.1 C.E. en cuanto proclama el principio de legalidad, alegación que ha de rechazarse, sin más, pues no se aporta, en este sentido, ningún argumento serio respecto de tal vulneración, desconociéndose así la doctrina de este Tribunal según la cual cuando se acusa una violación constitucional es carga de los recurrentes no solo la de abrir la vía correspondiente para que aquél pueda pronunciarse sino también la de proporcionar la fundamentación que razonablemente sea de esperar en cada caso.  (en este sentido, STC 45/1984 citada por el Ministerio Fiscal).</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w:t>
      </w:r>
      <w:r>
        <w:t>. En el análisis del presente recurso de amparo constitucional debe tomarse como punto de partida la doctrina afirmada por este Tribunal, consistente en la afirmación de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Ahora bien, "esto sólo puede ocurrir cuando la inadmisión se funde en razones establecidas por el legislador, que deban al mismo tiempo considerarse como proporcionadas en relación con los fines constitucionalmente protegibles a que los requisitos procesales pretenden atender" (SSTC 43/1985 y 37/1995).</w:t>
      </w:r>
    </w:p>
    <w:p w:rsidR="006854DA" w:rsidRDefault="006854DA" w:rsidP="006854DA">
      <w:pPr>
        <w:pStyle w:val="TextoNormal"/>
      </w:pPr>
      <w:r>
        <w:t>Aplicada esta doctrina en lo atinente al acceso al recurso de casación, debe tenerse en consideración que no es posible imponer en los casos, en los que existe ya un pronunciamiento en la instancia, una concreta interpretación de la norma procesal que permita dicho acceso. La decisión sobre su admisión o no y la verificación de la concurrencia de los presupuestos y requisitos materiales y procesales a que está sujeto, constituye pues una cuestión de legalidad ordinaria que corresponde exclusivamente a los Jueces y Tribunales, en el ejercicio de la potestad jurisdiccional que les atribuye el art.  117.3 C.E. (SSTC 10/1987, 26/1988, 214/1988, 55/1992, 63/1992, 161/1992), sin que este Tribunal pueda corregir dicha interpretación salvo que, como hemos señalado en muchas ocasiones, la aplicación de la norma que se adopte sea arbitraria, manifiestamente infundada o producto de un error patente (SSTC 50/1984, 23/1987, 50/1988, 90/1990, 359/1993, y 160/1996 entre otras).</w:t>
      </w:r>
    </w:p>
    <w:p w:rsidR="006854DA" w:rsidRDefault="006854DA" w:rsidP="006854DA">
      <w:pPr>
        <w:pStyle w:val="TextoNormal"/>
      </w:pPr>
      <w:r>
        <w:t>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legalidad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 (SSTC 37/1995 y 58/1995).</w:t>
      </w:r>
    </w:p>
    <w:p w:rsidR="006854DA" w:rsidRDefault="006854DA" w:rsidP="006854DA">
      <w:pPr>
        <w:pStyle w:val="TextoNormal"/>
      </w:pPr>
    </w:p>
    <w:p w:rsidR="006854DA" w:rsidRDefault="006854DA" w:rsidP="006854DA">
      <w:pPr>
        <w:pStyle w:val="TextoNormal"/>
      </w:pPr>
      <w:r w:rsidRPr="006854DA">
        <w:rPr>
          <w:rStyle w:val="NumeroAFNegritaCaracter"/>
        </w:rPr>
        <w:t>4</w:t>
      </w:r>
      <w:r>
        <w:t>. Específicamente, respecto del acceso al recurso de casación que, como queda dicho rechazó el Tribunal Supremo en el Auto de 18 de septiembre de 1996, la presente demanda plantea el problema de si en relacion con los derechos fundamentales de la persona y en el marco de la Ley 62/1978 es atendible, a los efectos del acceso al recurso de casación, el criterio de la cuantía del mismo o por el contrario, cualquiera que sea esta, el recurso estará abierto sin restricción alguna por esta razón.</w:t>
      </w:r>
    </w:p>
    <w:p w:rsidR="006854DA" w:rsidRDefault="006854DA" w:rsidP="006854DA">
      <w:pPr>
        <w:pStyle w:val="TextoNormal"/>
      </w:pPr>
      <w:r>
        <w:t>En este sentido conviene tener presente lo siguiente:</w:t>
      </w:r>
    </w:p>
    <w:p w:rsidR="006854DA" w:rsidRDefault="006854DA" w:rsidP="006854DA">
      <w:pPr>
        <w:pStyle w:val="TextoNormal"/>
      </w:pPr>
      <w:r>
        <w:t xml:space="preserve">A) La Ley 62/1978 de Protección Jurisdiccional de los derechos fundamentales comprende en su ámbito de aplicación, de acuerdo con lo establecido en el art.  1.2, la libertad de expresión, reunión, y asociación; la libertad y secreto de la correspondencia, la libertad religiosa y la de residencia, la garantía de la inviolabilidad del domicilio, la protección jurídica frente a las detenciones ilegales y, en general, frente a las sanciones impuestas en </w:t>
      </w:r>
      <w:r>
        <w:lastRenderedPageBreak/>
        <w:t>materia de orden público, aunque, de acuerdo con la Disposición transitoria segunda, apartado 2º de la L.O. 2/1979, de 3 de octubre de este Tribunal el ámbito de aplicación de la Ley se extiende, a partir de dicha modificación, a todos los derechos y libertades a que se refiere el art. 53.2 C.E. en tanto no se lleven a cabo legislativamente sus previsiones como ha sucedido con las leyes que en efecto han desarrollado el contenido de este precepto.</w:t>
      </w:r>
    </w:p>
    <w:p w:rsidR="006854DA" w:rsidRDefault="006854DA" w:rsidP="006854DA">
      <w:pPr>
        <w:pStyle w:val="TextoNormal"/>
      </w:pPr>
      <w:r>
        <w:t>B) Con independencia de que se haya o no producido en este caso la lesión del derecho fundamental invocado por la recurrente, respecto del embargo de una cuenta corriente de su titularidad, que según manifiesta se ha llevado a cabo sin su previo conocimiento por causa sólo imputable a la Administración, tema éste que queda por completo al margen de este recurso, es lo cierto que atendida la circunstancia de que la Sala de lo Contencioso-Administrativo del Tribunal Superior de Justicia de Andalucía admitió en su momento la demanda por el cauce de la citada Ley 62/1978 aunque no diera lugar a la pretensión, ello es signo que prima facie, a los efectos procesales consiguientes, evidencia que se estaba ante un derecho fundamental que, en este caso, vendría a coincidir con el derecho al secreto bancario, y a la no invasión del mismo, salvo los supuestos establecidos en la Ley.</w:t>
      </w:r>
    </w:p>
    <w:p w:rsidR="006854DA" w:rsidRDefault="006854DA" w:rsidP="006854DA">
      <w:pPr>
        <w:pStyle w:val="TextoNormal"/>
      </w:pPr>
      <w:r>
        <w:t>C) El Tribunal Supremo en el Auto reseñado de 18 de septiembre de 1996 declara inadmisible el recurso de casación, de acuerdo al art. 93.2 b) de la Ley de la Jurisdicción, porque entiende, siguiendo la orientación marcada en Sentencias del T.S. de 11 de noviembre y 1 de diciembre de 1994 que la invocación de un derecho fundamental como motivo, del proceso no modifica el régimen general sobre la procedencia de los recursos con arreglo al contenido material del acto administrativo.</w:t>
      </w:r>
    </w:p>
    <w:p w:rsidR="006854DA" w:rsidRDefault="006854DA" w:rsidP="006854DA">
      <w:pPr>
        <w:pStyle w:val="TextoNormal"/>
      </w:pPr>
      <w:r>
        <w:t>D) Conforme se indicó en la STC 37/1995, "el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Pues bien, en el diseño del sistema de recursos se utilizan variadas modalidades y diversos tipos, cuya consideración desde la perspectiva constitucional no puede ser la misma. Por una parte están los ordinarios, como la apelación, que implica, con el llamado efecto devolutivo, la asunción por el Juez ad quem o superior, de la plena jurisdicción sobre el caso, en idéntica situación que el Juez de origen, a quo, no solo por cuanto respecta a la subsunción de los hechos en la norma sino también para la determinación de tales hechos a través de la valoración de la prueba, dando lugar a un novum iuditium (STC 272/1994). Por otra parte,cuando históricamente aparece la casación civil y penal, su sede se situó en el Tribunal Supremo, generalizándose después para los demás ordenes jurisdiccionales especialmente, una vez promulgada la Constitución, para la jurisdicción contencioso-administrativa por la Ley 10/1992, de 30 de abril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solo permite revisar la interpretación del Derecho, dejando intocados los hechos que dieron por ciertos los Jueces de la instancia, está clasificado entre los extraordinarios y, en consecuencia, su admisibilidad queda sometida no solo a los requisitos meramente extrínsecos - tiempo y forma - y a los presupuestos comunes exigibles para el ordinario de apelación, sino a otros intrínsecos, sustantivos, relacionados con el contenido y viabilidad de la pretensión, cuyo régimen es más severo por su propia naturaleza (STC 37/1995), pues a diferencia del contemplado en la STC 188/1994, que era de cuantía inestimable, en el presente que nos ocupa, no lo es. Lo que hace entrar en juego la summa gravaminis de los 6 millones de pese</w:t>
      </w:r>
      <w:r>
        <w:lastRenderedPageBreak/>
        <w:t>tas, requerida por el art. 93.2 b) L.J.C.A, que cierra las puertas a la interposición del recurso de casación, presupuesto de dicho recurso que este Tribunal ha declarado reiteradamente razonable, por lo que, su aplicación no conculca el derecho a la tutela judicial efectiva (art.24.1 C.E.).</w:t>
      </w:r>
    </w:p>
    <w:p w:rsidR="006854DA" w:rsidRDefault="006854DA" w:rsidP="006854DA">
      <w:pPr>
        <w:pStyle w:val="TextoNormal"/>
      </w:pPr>
    </w:p>
    <w:p w:rsidR="006854DA" w:rsidRDefault="006854DA" w:rsidP="006854DA">
      <w:pPr>
        <w:pStyle w:val="TextoNormal"/>
      </w:pPr>
      <w:r w:rsidRPr="006854DA">
        <w:rPr>
          <w:rStyle w:val="NumeroAFNegritaCaracter"/>
        </w:rPr>
        <w:t>5</w:t>
      </w:r>
      <w:r>
        <w:t>. Proyectando cuanto queda dicho al recurso objeto de esta resolución hay que decir que la decisión del Tribunal Supremo debidamente motivada no puede, ser calificada de arbitraria, ilógica o no conforme con la razón, lo cual es perfectamente compatible con la afirmación según la cual, otra u otras interpretaciones también pudieran ser conformes al orden constitucional.</w:t>
      </w:r>
    </w:p>
    <w:p w:rsidR="006854DA" w:rsidRDefault="006854DA" w:rsidP="006854DA">
      <w:pPr>
        <w:pStyle w:val="TextoNormal"/>
      </w:pPr>
      <w:r>
        <w:t>Por último, como ya se afirmó en la STC 37/1995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En definitiva,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 (STC 37/1995).</w:t>
      </w:r>
    </w:p>
    <w:p w:rsidR="006854DA" w:rsidRDefault="006854DA" w:rsidP="006854DA">
      <w:pPr>
        <w:pStyle w:val="TextoNormal"/>
      </w:pPr>
    </w:p>
    <w:p w:rsidR="006854DA" w:rsidRDefault="006854DA" w:rsidP="006854DA">
      <w:pPr>
        <w:pStyle w:val="TextoNormal"/>
      </w:pPr>
      <w:r w:rsidRPr="006854DA">
        <w:rPr>
          <w:rStyle w:val="NumeroAFNegritaCaracter"/>
        </w:rPr>
        <w:t>6</w:t>
      </w:r>
      <w:r>
        <w:t>. Por último, una vez que ha sido desestimada la pretensión principal de la demanda, baste señalar, en orden a las alegaciones que se refieren a los arts.  24.1 y 25.1 C.E., lo siguiente: a) en relación con la invocada vulneración del art. 24.1 hay que decir que no existió indefensión, porque la Administración intentó la notificación por dos veces, en el domicilio fiscal de la ahora demandante en amparo, sin que ésta hubiese comunicado a aquélla el cambio del mismo; y, b) en cuanto a la supuesta violación del art. 25.1 C.E. tampoco puede ser atendida, teniendo en cuenta que el procedimiento de apremio no tiene carácter sancionador, y no le es, por consiguiente, aplicable dicho precepto constitucional.</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Denegar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uno de julio de mil novecientos noventa y siete.</w:t>
      </w:r>
    </w:p>
    <w:p w:rsidR="006854DA" w:rsidRDefault="006854DA" w:rsidP="006854DA">
      <w:pPr>
        <w:pStyle w:val="ParrafoNormal"/>
      </w:pPr>
    </w:p>
    <w:p w:rsidR="006854DA" w:rsidRDefault="006854DA" w:rsidP="006854DA">
      <w:pPr>
        <w:pStyle w:val="TextoNormalNegritaCentrado"/>
        <w:keepNext/>
      </w:pPr>
      <w:r>
        <w:t>Voto concurrente que formula el Magistrado Sr. don Vicente Gimeno Sendra a la Sentencia dictada en el R.A. 3.884/96</w:t>
      </w:r>
    </w:p>
    <w:p w:rsidR="006854DA" w:rsidRDefault="006854DA" w:rsidP="006854DA">
      <w:pPr>
        <w:pStyle w:val="TextoNormalNegritaCentrado"/>
        <w:keepNext/>
      </w:pPr>
    </w:p>
    <w:p w:rsidR="006854DA" w:rsidRDefault="006854DA" w:rsidP="006854DA">
      <w:pPr>
        <w:pStyle w:val="TextoNormal"/>
      </w:pPr>
      <w:r>
        <w:t xml:space="preserve">Coincido con la presente Sentencia en que la desestimación de este recurso de amparo es correcto por las razones que se exponen esencialmente en su fundamento jurídico sexto: </w:t>
      </w:r>
      <w:r>
        <w:lastRenderedPageBreak/>
        <w:t>la inadmisión del recurso de casación no infringe el derecho a la tutela porque, aun cuando el particular haya utilizado, en la vía ordinaria, el recurso administrativo de protección jurisdiccional de los derechos fundamentales, su pretensión, en realidad, no era de amparo, sino ordinaria (solicitud de anulación de una liquidación tributaria de 600.000 pesetas), lo que ocasiona que incumpliera el presupuesto de la suma de gravamen de los seís millones de pesetas, contemplado en el art. 93.2b) de la L.J.C.A., como requisito previo para acceder a la casación.</w:t>
      </w:r>
    </w:p>
    <w:p w:rsidR="006854DA" w:rsidRDefault="006854DA" w:rsidP="006854DA">
      <w:pPr>
        <w:pStyle w:val="TextoNormal"/>
      </w:pPr>
      <w:r>
        <w:t>Discrepo, sin embargo, de la ratio decidendi de la presente Sentencia en la medida en que, al propio tiempo, parece legitimar (en su fundamento jurídico 4.D., in fine), pro futuro, inadmisiones de recursos de casación por incumplimiento de la summa gravaminis de lesiones de derechos fundamentales con un valor económico inferior a los 6.000.000 pesetas.</w:t>
      </w:r>
    </w:p>
    <w:p w:rsidR="006854DA" w:rsidRDefault="006854DA" w:rsidP="006854DA">
      <w:pPr>
        <w:pStyle w:val="TextoNormal"/>
      </w:pPr>
      <w:r>
        <w:t>Esta concepción "patrimonialista" de los derechos fundamentales creo que no se cohonesta con su dimensión objetiva, pues, según declara el art. 10 C.E., los derecho inviolables de la persona "son fundamento del orden político y de la paz social"</w:t>
      </w:r>
    </w:p>
    <w:p w:rsidR="006854DA" w:rsidRDefault="006854DA" w:rsidP="006854DA">
      <w:pPr>
        <w:pStyle w:val="TextoNormal"/>
      </w:pPr>
      <w:r>
        <w:t>De legitimarse, en la práctica, esta lectura restrictiva del art. 93.2b), que incluye en su inciso "cualquiera que fuera la materia", también los derechos fundamentales, es claro que la Sala de lo Administrativo del T.S. se convertiría en una Sala de amparo administrativo de los derechos fundamentales de los económicamente poderosos, confundiéndose la lesión del derecho fundamental, que en sí misma ha de gozar siempre del valor de la cuantía inestimable, con el quantum de los daños y perjuicios producidos por aquella lesión o con el valor del bien litigioso de la pretensión administrativa ordinaria. De este modo, para poder acceder a la casación, sería siempre necesario que dicha violación haya producido un daño patrimonial superior a los 6.000.000 pesetas, con lo que esta interpretación daría lugar a la distinción de dos clases de amparo ordinario: el de los económicamente débiles, sin recurso de casación, y el de los pudientes con derecho de acceso al Tribunal Supremo.</w:t>
      </w:r>
    </w:p>
    <w:p w:rsidR="006854DA" w:rsidRDefault="006854DA" w:rsidP="006854DA">
      <w:pPr>
        <w:pStyle w:val="TextoNormal"/>
      </w:pPr>
      <w:r>
        <w:t>Por esta razón, y porque, por muy sobrecargada de trabajo que se encuentra la Sala de lo Contencioso-Administrativo (con más de 25.000 recursos pendientes), no parece que esta solución contribuya decisivamente a obtener su descongestión (que tan solo puede lograrse con una buena reforma de la competencia objetiva y del sistema de recursos), no debiera sustentarse, en la práctica esta interpretación.  Si, por el contrario, así se hiciera, se ignoraría la naturaleza de los derechos fundamentales, se resentiría el principio de igualdad y, lo que me parece todavía más grave, el T.S, renunciaría, en buena parte, a emitir su tan necesaria doctrina legal también en la interpretación de las normas tuteladoras de los derechos fundamentales que, junto a la de este Tribunal, tan buenos frutos ha cosechado, no sólo en la tutela subjetiva de los derechos fundamentales de los ciudadanos, sino también en la consolidación del sistema democrático y en el mantenimiento de la paz social (art. 10 C.E.).</w:t>
      </w:r>
    </w:p>
    <w:p w:rsidR="006854DA" w:rsidRDefault="006854DA" w:rsidP="006854DA">
      <w:pPr>
        <w:pStyle w:val="TextoNormal"/>
      </w:pPr>
      <w:r>
        <w:t>Madrid, a dos de julio de mil novecientos noventa y siete.</w:t>
      </w:r>
    </w:p>
    <w:p w:rsidR="006854DA" w:rsidRDefault="006854DA" w:rsidP="006854DA">
      <w:pPr>
        <w:pStyle w:val="TextoNormal"/>
      </w:pPr>
    </w:p>
    <w:p w:rsidR="006854DA" w:rsidRDefault="006854DA" w:rsidP="006854DA">
      <w:pPr>
        <w:pStyle w:val="TextoNormalNegritaCentrado"/>
        <w:keepNext/>
      </w:pPr>
      <w:r>
        <w:t>Voto particular que formula el Magistrado don Manuel Jiménez de Parga y Cabrera a la Sentencia recaída en el recurso de amparo núm. 3.884/96.</w:t>
      </w:r>
    </w:p>
    <w:p w:rsidR="006854DA" w:rsidRDefault="006854DA" w:rsidP="006854DA">
      <w:pPr>
        <w:pStyle w:val="TextoNormalNegritaCentrado"/>
        <w:keepNext/>
      </w:pPr>
    </w:p>
    <w:p w:rsidR="006854DA" w:rsidRDefault="006854DA" w:rsidP="006854DA">
      <w:pPr>
        <w:pStyle w:val="TextoNormal"/>
      </w:pPr>
      <w:r>
        <w:t>Comparto algunas de las afirmaciones contenidas en la Sentencia, pero, lamentablemente, he de disentir de la línea argumental de ella, así como de su parte dispositiva, en la que se deniega el amparo.</w:t>
      </w:r>
    </w:p>
    <w:p w:rsidR="006854DA" w:rsidRDefault="006854DA" w:rsidP="006854DA">
      <w:pPr>
        <w:pStyle w:val="TextoNormal"/>
      </w:pPr>
      <w:r>
        <w:t xml:space="preserve">1. Estoy de acuerdo en que, como se afirma en el último párrafo del fundamento jurídico 5º, "corresponde al Tribunal Supremo la última palabra sobre la admisibilidad de los </w:t>
      </w:r>
      <w:r>
        <w:lastRenderedPageBreak/>
        <w:t>recursos de casación ante él interpuestos, a salvo lo dispuesto en materia de garantías constitucionales (art. 123 C.E.)". También me adhiero a la estimación del Tribunal Supremo que se hace en el fundamento jurídico 3º.</w:t>
      </w:r>
    </w:p>
    <w:p w:rsidR="006854DA" w:rsidRDefault="006854DA" w:rsidP="006854DA">
      <w:pPr>
        <w:pStyle w:val="TextoNormal"/>
      </w:pPr>
      <w:r>
        <w:t>Pero si se admite que "en materia de garantías constitucionales" la Carta Magna de 1978 atribuye a nuestro Tribunal una intervención decisiva, que no puede eludir, creo que la Sentencia debió ser estimatoria del amparo, ya que no enjuiciamos "una cuestión de legalidad ordinaria". Esta tesis de la legalidad ordinaria, sostenida en el fundamento jurídico 3º, me lleva a discrepar del parecer de la mayoría de la Sala.</w:t>
      </w:r>
    </w:p>
    <w:p w:rsidR="006854DA" w:rsidRDefault="006854DA" w:rsidP="006854DA">
      <w:pPr>
        <w:pStyle w:val="TextoNormal"/>
      </w:pPr>
      <w:r>
        <w:t>2. No es una cuestión de legalidad ordinaria la que se planteó en este recurso de amparo.  Conforme con lo que se estableció en el art. 9.1 de la Ley 62/1978 [aunque sea un precepto abrogado, como recuerda el Abogado del Estado, nos sirve como antecedente de las soluciones jurisprudenciales debatidas], es evidente que el legislador prevé para los derechos y libertades a los que se refiere el art. 53.2 C.E., cuando se siga su defensa a través de un procedimiento contencioso-administrativo, la posibilidad de interponer recurso (de apelación, antes; tras la reforma de 1992, recurso de casación): "Contra la Sentencia podrán interponerse, en su caso, recurso de apelación, en un solo efecto, ante el Tribunal Supremo". Cuestión distinta es el alcance y significado que jurisprudencialmente pueda atribuirse, y se atribuyó, al inciso "en su caso" del art. 9.1.</w:t>
      </w:r>
    </w:p>
    <w:p w:rsidR="006854DA" w:rsidRDefault="006854DA" w:rsidP="006854DA">
      <w:pPr>
        <w:pStyle w:val="TextoNormal"/>
      </w:pPr>
      <w:r>
        <w:t>La locución "en su caso" fue interpretada por el Tribunal Supremo en sentido variable, pero son numerosas las resoluciones (Autos o Sentencias) en las que ha inadmitido (en caso de Autos), o ha declarado indebidamente admitidos (en caso de Sentencias), recursos interpuestos en procesos sustanciados por el cauce especial de la Ley 62/1978, generalmente por tratarse de cuestiones de personal al servicio de la Administración Pública [art. 93.2a) L.J.C.A.]. En este sentido, el Tribunal Supremo mantiene que la inadmisión de estos recursos es procedente aunque en los correspondientes procesos se haya alegado la vulneración de derechos fundamentales y se haya seguido el cauce procesal de la mencionada Ley. La Expresión "en su caso", incorporada en su art. 9.1 (SSTS 11-10-1994, 18-11-1994, 12-12-1994, recaídas en apelación; STS 31-1-1996, recaída en casación: y AATS de 22 de junio de 1995, 11 de diciembre de 1995, 29 de enero de 1996, en casación), implicaría, según el Tribunal supremo, "una remisión a la Ley de la Jurisdicción Contencioso-Administrativa para la determinación de los casos, en que, según esta última, cabía el recurso de apelación [hoy de casación]" (STS 31-1-1996), recogiendo la doctrina sentada en múltiples resoluciones.</w:t>
      </w:r>
    </w:p>
    <w:p w:rsidR="006854DA" w:rsidRDefault="006854DA" w:rsidP="006854DA">
      <w:pPr>
        <w:pStyle w:val="TextoNormal"/>
      </w:pPr>
      <w:r>
        <w:t>No obstante esta interpretación, que naturalmente respetamos, cuando se trata de determinar el alcance de las garantías constitucionales que la Ley impone, como sucede en el supuesto que ahora enjuiciamos, el Tribunal Constitucional está legitimado -repetimos- para pronunciarse sobre tales garantías, por ser materia de su competencia propia, a tenor de lo dispuesto en los arts. 123 y 161 C.E. y 1 LOTC.</w:t>
      </w:r>
    </w:p>
    <w:p w:rsidR="006854DA" w:rsidRDefault="006854DA" w:rsidP="006854DA">
      <w:pPr>
        <w:pStyle w:val="TextoNormal"/>
      </w:pPr>
      <w:r>
        <w:t>Desde esta perspectiva, debemos afirmar que la referida línea interpretativa del Tribunal Supremo (acogida implícitamente por nuestra Sentencia) no es la más adecuada para la eficacia de las garantías constitucionales. Son dos las clases de razones que dan fundamento a mi posición discrepante.</w:t>
      </w:r>
    </w:p>
    <w:p w:rsidR="006854DA" w:rsidRDefault="006854DA" w:rsidP="006854DA">
      <w:pPr>
        <w:pStyle w:val="TextoNormal"/>
      </w:pPr>
      <w:r>
        <w:t>3. En primer término, el art. 6, in fine, de la Ley 62/1978 (este precepto plenamente en vigor) establece una regla de supletoriedad, a favor de la Ley de la Jurisdicción Contencioso- Administrativa, pero -conviene subrayarlo- a falta de "previsión especial" en su Sección Segunda. La supletoriedad actúa en el supuesto de laguna o de "falta de previsión especial". Antes de acudir a la Ley de la Jurisdicción, norma supletoria, es necesario inda</w:t>
      </w:r>
      <w:r>
        <w:lastRenderedPageBreak/>
        <w:t>gar si en la Sección Segunda de la Ley 62/1978 existe alguna previsión especial al respecto.</w:t>
      </w:r>
    </w:p>
    <w:p w:rsidR="006854DA" w:rsidRDefault="006854DA" w:rsidP="006854DA">
      <w:pPr>
        <w:pStyle w:val="TextoNormal"/>
      </w:pPr>
      <w:r>
        <w:t>En esta búsqueda encontramos una disposición, el art. 7.6: Sólo para el supuesto en que la cuestión de fondo verse sobre una lesión del derecho de reunión ésta se resolverá por el Tribunal de instancia "sin ulterior recurso".  No puede, por tanto, la supletoriedad de la Ley general de la Jurisdicción subvertir lo ya establecido por la propia Ley 62/1978. Es decir, no cabe hablar de supletoriedad cuando la norma específica prevé por sí misma y en el ámbito que ella regula la "previsión especial".</w:t>
      </w:r>
    </w:p>
    <w:p w:rsidR="006854DA" w:rsidRDefault="006854DA" w:rsidP="006854DA">
      <w:pPr>
        <w:pStyle w:val="TextoNormal"/>
      </w:pPr>
      <w:r>
        <w:t>Este mismo criterio, no contínuo, como se ha expuesto, es el que la Sala Tercera del Tribunal Supremo siguió en su Sentencia de 23-5-1985, en la que sostuvo que en los procesos regulados en la Ley 62/1978 no pueden aplicarse "... las normas contenidas en la Ley de la Jurisdicción, a las que remite el art. 9, párrafo 1, de la Ley de 1978, cuya remisión lo es para los casos en los que no exista una previsión especial en la Ley antes dicha de 1978, pero sin que pueda equipararse procedimiento con proceso, limitando los recursos concedidos a los interesados, privándoles de una instancia, por lo que hay que concluir que, no estableciéndose una exclusión especial del recurso de apelación, todas las Sentencias dictadas en primera instancia, con arreglo a este procedimiento de la Ley de 1978, son susceptibles de recurso de apelación y, en el caso de que éste se interponga, será admitido en un solo efecto, ante el Tribunal Supremo" (en el mismo sentido, SSTS de 2-2-1984 y 14-5-1984).</w:t>
      </w:r>
    </w:p>
    <w:p w:rsidR="006854DA" w:rsidRDefault="006854DA" w:rsidP="006854DA">
      <w:pPr>
        <w:pStyle w:val="TextoNormal"/>
      </w:pPr>
      <w:r>
        <w:t>4. En segundo término, es necesario abordar la cuestión desde una perspectiva sustantiva y, con ello, referirnos a los motivos que constitucionalmente se imponen para descartar que se puedan contemplar más excepciones que las expresamente previstas en la propia Ley 62/1978, o en la Ley 10/1992.</w:t>
      </w:r>
    </w:p>
    <w:p w:rsidR="006854DA" w:rsidRDefault="006854DA" w:rsidP="006854DA">
      <w:pPr>
        <w:pStyle w:val="TextoNormal"/>
      </w:pPr>
      <w:r>
        <w:t>No es necesario insistir que la Ley 62/1978 surge con el fin de proteger ante la jurisdicción ordinaria los derechos y libertades fundamentales. El objeto de este procedimiento no es el controlar los actos y disposiciones administrativas que puedan afectar, por ejemplo, al funcionario en su relación con la Administración (nos referimos a este supuesto por ser el más frecuente), sino la tutela de los derechos y libertades a los que se refiere el art. 53.2 C.E., a diferencia de las disposiciones previstas en la Sección 1ª del capítulo cuarto del título IV de la Ley de la Jurisdicción - procedimientos en materia de personal- que sirve a la primera finalidad.</w:t>
      </w:r>
    </w:p>
    <w:p w:rsidR="006854DA" w:rsidRDefault="006854DA" w:rsidP="006854DA">
      <w:pPr>
        <w:pStyle w:val="TextoNormal"/>
      </w:pPr>
      <w:r>
        <w:t>El hecho de que existan dos procedimientos específicos no significa que el funcionario - seguimos con el ejemplo escogido- litigue en ambos en condición de tal. En el último de los citados -el especial previsto en la Ley de la Jurisdicción-, el funcionario litiga enfrentándose a la Administración desde una posición de sujeción especial y acude al Juez como parte de una relación jurídica concreta.  En cambio, al defender sus derechos fundamentales a través del procedimiento previsto en la Ley 62/1978, esa relación se transforma por la presencia del componente subjetivo, pero también objetivo, de los derechos fundamentales y de las libertades públicas. En tal supuesto el funcionario acude al Juez, no en su condición de sujeto de derechos y obligaciones administrativas (de su ius in officio), sino en su condición de poseedor del status libertatis propio de cualquier otro ciudadano. Si ello no fuera así el ciudadano-funcionario estaría siendo discriminado frente a cualquier tercero que no ostentara dicha cualidad.</w:t>
      </w:r>
    </w:p>
    <w:p w:rsidR="006854DA" w:rsidRDefault="006854DA" w:rsidP="006854DA">
      <w:pPr>
        <w:pStyle w:val="TextoNormal"/>
      </w:pPr>
      <w:r>
        <w:t xml:space="preserve">Mutatis mutandi, este fue el sustrato que yacía en nuestra STC 188/1994 (y posteriormente, STC 145/1995) en la que, en un supuesto similar, donde se alegaba la vulneración de los arts. 14 y 16.2 C.E. en la vía prevista en la Ley 62/1978 y fue inadmitido el recurso de casación por razón de la cuantía litigiosa [art. 93.2.b) L.J.C.A.]. Allí, afirmamos: </w:t>
      </w:r>
      <w:r>
        <w:lastRenderedPageBreak/>
        <w:t>"Siendo el de la Ley 62/1978 un procedimiento específicamente ideado para la defensa judicial de los derechos fundamentales, no es razonable que, a los efectos de la apelación, se esté mecánicamente al criterio y a las exigencias establecidas para el caso de los recursos intentados en un procedimiento ordinario que, como es el caso del contencioso-administrativo, aparece informado por el principio de única instancia: será posible ese criterio cuando, como por desgracia sucede no con poca frecuencia, por la vía de la Ley 62/1978 se haya encauzado un litigio en el que manifiestamente no se planteen cuestiones relativa a supuestas lesiones de derechos fundamentales o cuando la reparación de las mismas se haya producido ya en la primera instancia y con la apelación no se pretenda otra cosa que discutir ante un Tribunal Superior cuestiones de estricta legalidad ordinaria. Pero, cuando lo planteado en el proceso sea manifiestamente un problema directamente relacionado con la tutela de los derechos fundamentales, es necesario permitir la segunda instancia y darle ocasión al Tribunal Supremo a fin de que pueda restablecer el derecho fundamental vulnerado" (...)  En definitiva, "la expresión «en su caso» del art. 9.1 de la Ley 62/1978 podría interpretarse en el sentido en el que lo ha hecho la Sentencia impugnada si la materia objeto de debate fuese manifiestamente ajena a los derechos fundamentales, pero no cuando lo que se pretenda sea un pronunciamiento sobre cuestiones en las que tales derechos aparezcan evidentamente implicados" (fundamento jurídico 4º).</w:t>
      </w:r>
    </w:p>
    <w:p w:rsidR="006854DA" w:rsidRDefault="006854DA" w:rsidP="006854DA">
      <w:pPr>
        <w:pStyle w:val="TextoNormal"/>
      </w:pPr>
      <w:r>
        <w:t>5. Tal pronunciamiento sobre el sentido y el alcance de un derecho fundamental (reconocido y protegido en el art. 24 C.E.)  es, precisamente, lo que aquí la quejosa pretende desde el primer momento. Volvemos a estar de acuerdo con la Sentencia de la mayoría "... es lo cierto que atendida la circunstancia de que la Sala de lo Contencioso- Administrativo del Tribunal Superior de Justicia de Andalucía admitió en su momento la demanda por el cauce de la citada Ley 62/1978 aunque no diera lugar a la pretensión, ello es signo que prima facie a los efectos procesales consiguientes, evidencia que se estaba ante un derecho fundamental" (fundamento jurídico 4º B). Lo que sucede es que el posterior razonamiento no tiene en cuenta esa premisa, sin extraer sus consecuencias.</w:t>
      </w:r>
    </w:p>
    <w:p w:rsidR="006854DA" w:rsidRDefault="006854DA" w:rsidP="006854DA">
      <w:pPr>
        <w:pStyle w:val="TextoNormal"/>
      </w:pPr>
      <w:r>
        <w:t>No sólo prima facie, sino con atención detenida, resulta indiscutible que lo que juzga el Tribunal Superior de Justicia de Andalucía es la posible violación de un derecho fundamental.  El fundamento jurídico 3º de la Sentencia de 31 de enero de 1995, de la Sala de lo Contencioso-Administrativo de ese Tribunal Superior, se dedica a considerar la indefensión alegada por la recurrente, invocando al efecto la doctrina del Tribunal Constitucional sobre el correspondiente derecho fundamental.</w:t>
      </w:r>
    </w:p>
    <w:p w:rsidR="006854DA" w:rsidRDefault="006854DA" w:rsidP="006854DA">
      <w:pPr>
        <w:pStyle w:val="TextoNormal"/>
      </w:pPr>
      <w:r>
        <w:t>La Sala del Tribunal Superior de Justicia de Andalucía pudo estimar que derecho fundamental alguno era cuestionado, por lo que, en consecuencia, el recurrente se habría equivocado al escoger el camino procesal de la Ley 62/1978. Tal error comportaba la inadmisión de la demanda de protección jurisdiccional de un derecho fundamental. Pero aquella Sentencia del Tribunal Superior de Justicia de Andalucía considera expresa y detenidamente el fondo del asunto. Vista la aceptación de la cuestión en torno a un derecho fundamental, el Tribunal Supremo tenía que haber seguido por el mismo cauce procesal, admitiendo el recurso de casación contra una Sentencia que había resuelto sobre el sentido y alcance de un derecho fundamental. Fue el propio Tribunal Superior el que bendijo la tramitación por la senda procesal especial.</w:t>
      </w:r>
    </w:p>
    <w:p w:rsidR="006854DA" w:rsidRDefault="006854DA" w:rsidP="006854DA">
      <w:pPr>
        <w:pStyle w:val="TextoNormal"/>
      </w:pPr>
      <w:r>
        <w:t>6. La reforma introducida por la Ley 10/1992 en materia de recursos dentro del procedimiento contencioso-administrativo, no incide en la tesis interpretativa que vengo exponiendo.</w:t>
      </w:r>
    </w:p>
    <w:p w:rsidR="006854DA" w:rsidRDefault="006854DA" w:rsidP="006854DA">
      <w:pPr>
        <w:pStyle w:val="TextoNormal"/>
      </w:pPr>
      <w:r>
        <w:t xml:space="preserve">Es cierto que el art. 93.2 b) excluye de la casación a las Sentencias "recaídas, cualquiera que fuere la materia en asuntos cuya cuantía no exceda de seís millones de pesetas".  </w:t>
      </w:r>
      <w:r>
        <w:lastRenderedPageBreak/>
        <w:t>Pero también es verdad que el siguiente apartado c), del mismo art. 93.2, menciona sólo las Sentencias "dictadas en el recurso contencioso-administrativo regulado en el art. 7.6 de la Ley 62/1978, de 26 de diciembre".</w:t>
      </w:r>
    </w:p>
    <w:p w:rsidR="006854DA" w:rsidRDefault="006854DA" w:rsidP="006854DA">
      <w:pPr>
        <w:pStyle w:val="TextoNormal"/>
      </w:pPr>
      <w:r>
        <w:t>Por tanto, se mantienen exclusivamente la excepción del derecho de reunión (art. 7.6 de la Ley 62/1978), lo cual disipa cualquier duda al respecto. Las violaciones de todos los demás derechos fundamentes (salvo el de reunión) siguen teniendo acceso al Tribunal Supremo, ahora bajo la forma de recurso de casación y antes de la Ley 10/1992 bajo la forma de apelación.</w:t>
      </w:r>
    </w:p>
    <w:p w:rsidR="006854DA" w:rsidRDefault="006854DA" w:rsidP="006854DA">
      <w:pPr>
        <w:pStyle w:val="TextoNormal"/>
      </w:pPr>
      <w:r>
        <w:t>7. Sostener, como ha hecho el Tribunal Supremo, que el art. 93.2 b), de la Ley de la Jurisdicción Contencioso-Administrativa (según la redacción de la Ley 10/1992), excluye de la casación a todos los asuntos sobre derechos fundamentales cuya cuantía no exceda de 6 millones de pesetas, sería acoger en nuestra jurisprudencia una concepción patrimonialista de los derechos fundamentales que pugna con lo que debe ser la misión de este Tribunal Constitucional. El Voto del Magistrado Gimeno Sendra lo advierte muy bien.</w:t>
      </w:r>
    </w:p>
    <w:p w:rsidR="006854DA" w:rsidRDefault="006854DA" w:rsidP="006854DA">
      <w:pPr>
        <w:pStyle w:val="TextoNormal"/>
      </w:pPr>
      <w:r>
        <w:t>8. Finalmente, si el Auto del Tribunal Supremo contra el que se recurre en amparo se limita a inadmitir el recurso de casación, tengo dudas acerca de la pertinencia del fundamento jurídico 6º de la Sentencia de la mayoría. Entrar a considerar vulneraciones posibles de derechos fundamentales por una Sentencia del Tribunal Superior de Justicia de Andalucía, que no fue enjuiciada por el Tribunal Supremo, es un salto procesal algo sorprendente.</w:t>
      </w:r>
    </w:p>
    <w:p w:rsidR="006854DA" w:rsidRDefault="006854DA" w:rsidP="006854DA">
      <w:pPr>
        <w:pStyle w:val="TextoNormal"/>
      </w:pPr>
      <w:r>
        <w:t>9. En resumen, mi discrepancia se apoya en lo siguiente:</w:t>
      </w:r>
    </w:p>
    <w:p w:rsidR="006854DA" w:rsidRDefault="006854DA" w:rsidP="006854DA">
      <w:pPr>
        <w:pStyle w:val="TextoNormal"/>
      </w:pPr>
      <w:r>
        <w:t>A) No basta con invocar un derecho fundamental para que se abra el camino procesal de la Ley 62/1978. A veces se abusa al pretender transitar por él.  Pero si la Sala de lo Contencioso-Administrativo del Tribunal Superior de Justicia admite el recurso, lo tramita y en su Sentencia (como ocurrió en este caso) considera expresa y detenidamente la violación denunciada de un derecho fundamental, el Tribunal Supremo debe continuar por la misma senda procesal, admitiendo el recurso de casación y pronunciándose sobre el fondo del asunto planteado en el mismo.</w:t>
      </w:r>
    </w:p>
    <w:p w:rsidR="006854DA" w:rsidRDefault="006854DA" w:rsidP="006854DA">
      <w:pPr>
        <w:pStyle w:val="TextoNormal"/>
      </w:pPr>
      <w:r>
        <w:t>B) Supletoriedad de la Ley de la Jurisdicción Contencioso-Administrativa respecto a las normas de la Ley 62/1978 sólo opera a falta de una previsión especial en esta última.</w:t>
      </w:r>
    </w:p>
    <w:p w:rsidR="006854DA" w:rsidRDefault="006854DA" w:rsidP="006854DA">
      <w:pPr>
        <w:pStyle w:val="TextoNormal"/>
      </w:pPr>
      <w:r>
        <w:t>C) Incluso si se estimase que la Ley de la Jurisdicción Contencioso- Administrativa (redacción de la Ley 10/1992) es aquí directamente supletoria, el art. 93.2 b) no resulta aplicable a la violación de derechos fundamentales, ya que es el apartado c), del mismo precepto, el que se refiere de modo expreso a los asuntos tramitados conforme a la Ley 62/1978, exceptuando únicamente de la casación a las conculcaciones del derecho de reunión.</w:t>
      </w:r>
    </w:p>
    <w:p w:rsidR="006854DA" w:rsidRDefault="006854DA" w:rsidP="006854DA">
      <w:pPr>
        <w:pStyle w:val="TextoNormal"/>
      </w:pPr>
      <w:r>
        <w:t>D) La valoración en pesetas de un derecho fundamental, excluyendo de la casación los que no alcancen los seís millones, es una operación que no tiene cabida en el ordenamiento constitucional español.</w:t>
      </w:r>
    </w:p>
    <w:p w:rsidR="006854DA" w:rsidRDefault="006854DA" w:rsidP="006854DA">
      <w:pPr>
        <w:pStyle w:val="TextoNormal"/>
      </w:pPr>
      <w:r>
        <w:t>Firmo este Voto Particular en el que discrepo de un parecer que, por ser de Magistrados que suman más votos y mejores opiniones, siempre crea la inquietud del desacierto.</w:t>
      </w:r>
    </w:p>
    <w:p w:rsidR="006854DA" w:rsidRDefault="006854DA" w:rsidP="006854DA">
      <w:pPr>
        <w:pStyle w:val="TextoNormal"/>
      </w:pPr>
      <w:r>
        <w:t>Madrid, a cuatro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2" w:name="SENTENCIA_1997_126"/>
      <w:r>
        <w:lastRenderedPageBreak/>
        <w:t>SENTENCIA 126/1997, de 3 de julio de 1997</w:t>
      </w:r>
    </w:p>
    <w:bookmarkEnd w:id="42"/>
    <w:p w:rsidR="006854DA" w:rsidRDefault="006854DA" w:rsidP="006854DA">
      <w:pPr>
        <w:pStyle w:val="TtuloResolucin"/>
      </w:pPr>
      <w:r>
        <w:t>Pleno</w:t>
      </w:r>
    </w:p>
    <w:p w:rsidR="006854DA" w:rsidRDefault="006854DA" w:rsidP="006854DA">
      <w:pPr>
        <w:pStyle w:val="TtuloResolucin"/>
      </w:pPr>
    </w:p>
    <w:p w:rsidR="006854DA" w:rsidRDefault="006854DA" w:rsidP="006854DA">
      <w:pPr>
        <w:pStyle w:val="TtuloBOE"/>
      </w:pPr>
      <w:r>
        <w:t>("BOE" núm. 171, de 18 de julio de 1997)</w:t>
      </w:r>
    </w:p>
    <w:p w:rsidR="006854DA" w:rsidRDefault="006854DA" w:rsidP="006854DA">
      <w:pPr>
        <w:pStyle w:val="TtuloBOE"/>
      </w:pPr>
    </w:p>
    <w:p w:rsidR="006854DA" w:rsidRDefault="006854DA" w:rsidP="006854DA">
      <w:pPr>
        <w:pStyle w:val="SntesisDescriptiva"/>
      </w:pPr>
      <w:r>
        <w:t>ECLI:ES:TC:1997:126</w:t>
      </w:r>
    </w:p>
    <w:p w:rsidR="006854DA" w:rsidRDefault="006854DA" w:rsidP="006854DA">
      <w:pPr>
        <w:pStyle w:val="SntesisDescriptiva"/>
      </w:pPr>
    </w:p>
    <w:p w:rsidR="006854DA" w:rsidRDefault="006854DA" w:rsidP="006854DA">
      <w:pPr>
        <w:pStyle w:val="SntesisDescriptiva"/>
      </w:pPr>
      <w:r>
        <w:t>Cuestión de inconstitucionalidad 661/1996. En relación con el art. 1 de la Ley de 4 de mayo de 1948, art. 5 del Decreto de 4 de junio de 1948, art. 13 de la Ley Desvinculadora de 1820, las Leyes 8 y 9 del Título XVII del Libro X de la Novísima Recopilación y la Ley 2 del Título XV de la Partida II. Votos particulares.</w:t>
      </w:r>
    </w:p>
    <w:p w:rsidR="006854DA" w:rsidRDefault="006854DA" w:rsidP="006854DA">
      <w:pPr>
        <w:pStyle w:val="SntesisDescriptiva"/>
      </w:pPr>
    </w:p>
    <w:p w:rsidR="006854DA" w:rsidRDefault="006854DA" w:rsidP="006854DA">
      <w:pPr>
        <w:pStyle w:val="SntesisAnaltica"/>
      </w:pPr>
    </w:p>
    <w:p w:rsidR="006854DA" w:rsidRDefault="006854DA" w:rsidP="006854DA">
      <w:pPr>
        <w:pStyle w:val="SntesisAnaltica"/>
      </w:pPr>
    </w:p>
    <w:p w:rsidR="006854DA" w:rsidRDefault="006854DA" w:rsidP="006854DA">
      <w:pPr>
        <w:pStyle w:val="Extracto"/>
      </w:pPr>
      <w:r>
        <w:t>1.</w:t>
      </w:r>
      <w:r>
        <w:tab/>
        <w:t>Si los arts. 163 C.E. y 35.1 LOTC condicionan el planteamiento de la cuestión de inconstitucionalidad al hecho de que el órgano jurisdiccional considere que la norma aplicable al caso "pueda ser contraria a la Constitución", su mismo tenor literal permite que el juzgador se limite a expresar una duda razonable. Y así hemos dicho tempranamente que la regulación constitucional y legal de las cuestiones "no impone a aquél (el órgano jurisdiccional) una afirmación de inconstitucionalidad y permite que el planteamiento se haga en los casos de duda, de indeterminación entre dos juicios contradictorios", siempre que se exteriorice el razonamiento que cuestiona la constitucionalidad y se proporcionen los elementos que llevan al mismo (STC 17/1981), como aquí ocurre [F.J. 3]</w:t>
      </w:r>
    </w:p>
    <w:p w:rsidR="006854DA" w:rsidRDefault="006854DA" w:rsidP="006854DA">
      <w:pPr>
        <w:pStyle w:val="Extracto"/>
      </w:pPr>
    </w:p>
    <w:p w:rsidR="006854DA" w:rsidRDefault="006854DA" w:rsidP="006854DA">
      <w:pPr>
        <w:pStyle w:val="Extracto"/>
      </w:pPr>
      <w:r>
        <w:t>2.</w:t>
      </w:r>
      <w:r>
        <w:tab/>
        <w:t>Este Tribunal ha declarado reiteradamente que ha de procederse a una interpretación no formalista y flexible de los requisitos del art. 35 LOTC, para que las cuestiones planteadas por los órganos jurisdiccionales sean resueltas mediante Sentencia y así se pueda contribuir a la depuración del ordenamiento jurídico mediante una eficaz cooperación entre aquéllos y este Tribunal (STC 54/1983) [F.J. 3]</w:t>
      </w:r>
    </w:p>
    <w:p w:rsidR="006854DA" w:rsidRDefault="006854DA" w:rsidP="006854DA">
      <w:pPr>
        <w:pStyle w:val="Extracto"/>
      </w:pPr>
    </w:p>
    <w:p w:rsidR="006854DA" w:rsidRDefault="006854DA" w:rsidP="006854DA">
      <w:pPr>
        <w:pStyle w:val="Extracto"/>
      </w:pPr>
      <w:r>
        <w:t>3.</w:t>
      </w:r>
      <w:r>
        <w:tab/>
        <w:t>Este Tribunal ha puesto reiteradamente de relieve que no cabe minimizar la importancia de la audiencia prevista en el art. 35.2 LOTC. Esta, en efecto, no sólo garantiza que las partes sean oídas ante una decisión judicial de tanta entidad como abrir un proceso constitucional, sino que pone a disposición del órgano jurisdiccional un medio que le permite conocer la opinión de los sujetos interesados con el fin de facilitar la reflexión sobre la conveniencia o no de instar la apertura de dicho proceso. Para cumplir este doble objetivo las alegaciones han de versar, de un lado, sobre la vinculación entre la norma citada por el órgano judicial como cuestionable y los supuestos de hecho que se dan en el caso sometido y, de otro, sobre el juicio de conformidad entre la norma y la Constitución [F.J. 4]</w:t>
      </w:r>
    </w:p>
    <w:p w:rsidR="006854DA" w:rsidRDefault="006854DA" w:rsidP="006854DA">
      <w:pPr>
        <w:pStyle w:val="Extracto"/>
      </w:pPr>
    </w:p>
    <w:p w:rsidR="006854DA" w:rsidRDefault="006854DA" w:rsidP="006854DA">
      <w:pPr>
        <w:pStyle w:val="Extracto"/>
      </w:pPr>
      <w:r>
        <w:t>4.</w:t>
      </w:r>
      <w:r>
        <w:tab/>
        <w:t>Según hemos dicho (SSTC 157/1990, 222/1972 y 238/1992), "la finalidad de la cuestión de inconstitucionalidad no es en modo alguno la de resolver controversias interpretativas sobre la legalidad entre órganos jurisdiccionales o dudas sobre el alcance de determinado precepto legal". En el presente caso, sin embargo, la Sala no cuestiona con carácter autónomo las resoluciones del Tribunal Su</w:t>
      </w:r>
      <w:r>
        <w:lastRenderedPageBreak/>
        <w:t>premo sino ciertos preceptos del Derecho histórico; constatación que por sí sola excluye el eventual reproche. De otro lado, tampoco se suscita aquí una controversia interpretativa sobre la legalidad ordinaria, sino la confrontación con el art. 14 C.E. de dichos preceptos. Si bien la particularidad del presente caso radica en que el Tribunal Supremo ya se ha pronunciado sobre la no conformidad de los mismos con el principio de igualdad que la Constitución reconoce. Lo que aconseja hacer ciertas consideraciones adicionales en relación con este último punto [F.J. 4]</w:t>
      </w:r>
    </w:p>
    <w:p w:rsidR="006854DA" w:rsidRDefault="006854DA" w:rsidP="006854DA">
      <w:pPr>
        <w:pStyle w:val="Extracto"/>
      </w:pPr>
    </w:p>
    <w:p w:rsidR="006854DA" w:rsidRDefault="006854DA" w:rsidP="006854DA">
      <w:pPr>
        <w:pStyle w:val="Extracto"/>
      </w:pPr>
      <w:r>
        <w:t>5.</w:t>
      </w:r>
      <w:r>
        <w:tab/>
        <w:t>La intervención de este Tribunal requiere no sólo la existencia de un problema de constitucionalidad, es decir, de interpretación de los preceptos de la Constitución, sino que tal interpretación tenga abierto el acceso al mismo dentro del ámbito de su jurisdicción en los distintos procesos constitucionales. De manera que si el ámbito de uno de ellos le impide pronunciarse, como ocurría en el caso de la STC 114/1995, respecto al proceso de amparo, ello no excluye que el mismo problema interpretativo pueda llegar ante este Tribunal por otro cauce procesal distinto; y en tal caso, siempre que tenga jurisdicción respecto a este proceso, como intérprete supremo de la Constitución (art. 1 LOTC) "le corresponderá decir la última palabra sobre la interpretación de la misma" [F.J. 5]</w:t>
      </w:r>
    </w:p>
    <w:p w:rsidR="006854DA" w:rsidRDefault="006854DA" w:rsidP="006854DA">
      <w:pPr>
        <w:pStyle w:val="Extracto"/>
      </w:pPr>
    </w:p>
    <w:p w:rsidR="006854DA" w:rsidRDefault="006854DA" w:rsidP="006854DA">
      <w:pPr>
        <w:pStyle w:val="Extracto"/>
      </w:pPr>
      <w:r>
        <w:t>6.</w:t>
      </w:r>
      <w:r>
        <w:tab/>
        <w:t>Hemos de partir de una nítida distinción entre el orden de sucesión en la Corona, regulado en el art. 57.1 C.E., y el orden regular de la transmisión post mortem de los títulos nobiliarios. Ante todo, cabe observar que si bien ha existido históricamente una clara vinculación entre el orden de suceder en la Corona y el aplicable a los títulos nobiliarios, lo cierto es que la Constitución hoy vigente no la establece; pues las referencias de los arts 56.2 y 57.2 C.E., se circunscriben a los "demás títulos" del Rey y del Príncipe heredero, que quedan fuera de nuestro enjuiciamiento. De suerte que si la conformidad con la Constitución del orden regular de sucesión en la Corona (art. 57.1 C.E.) no puede suscitar duda alguna, por haberlo establecido así el constituyente, éste no es precisamente el caso respecto a los títulos nobiliarios, pues es justamente la ausencia de un precepto constitucional que consagre el orden regular de sucesión en estas mercedes lo que permite plantear la presente cuestión de inconstitucionalidad [F.J. 7]</w:t>
      </w:r>
    </w:p>
    <w:p w:rsidR="006854DA" w:rsidRDefault="006854DA" w:rsidP="006854DA">
      <w:pPr>
        <w:pStyle w:val="Extracto"/>
      </w:pPr>
    </w:p>
    <w:p w:rsidR="006854DA" w:rsidRDefault="006854DA" w:rsidP="006854DA">
      <w:pPr>
        <w:pStyle w:val="Extracto"/>
      </w:pPr>
      <w:r>
        <w:t>7.</w:t>
      </w:r>
      <w:r>
        <w:tab/>
        <w:t>Aun cuando el precepto aquí cuestionado proceda de la legislación histórica y sea aplicable a los títulos de nobleza, cuyas raíces también se asientan en un pasado secular, sin embargo ha de recordarse que el carácter histórico de una institución no puede excluir, por sí sólo, su contraste con la Constitución. Pues si los principios y valores de ésta informan la totalidad de nuestro ordenamiento, la consecuencia es que la Norma fundamental "imposibilita el mantenimiento de instituciones jurídicas (aun con probada tradición) que resulten incompatibles con los mandatos y principios constitucionales" (STC 76/1988) [F.J. 8]</w:t>
      </w:r>
    </w:p>
    <w:p w:rsidR="006854DA" w:rsidRDefault="006854DA" w:rsidP="006854DA">
      <w:pPr>
        <w:pStyle w:val="Extracto"/>
      </w:pPr>
    </w:p>
    <w:p w:rsidR="006854DA" w:rsidRDefault="006854DA" w:rsidP="006854DA">
      <w:pPr>
        <w:pStyle w:val="Extracto"/>
      </w:pPr>
      <w:r>
        <w:t>8.</w:t>
      </w:r>
      <w:r>
        <w:tab/>
        <w:t xml:space="preserve">Si el principio de igualdad "no postula ni como fin ni como medio la paridad y sólo exige la razonabilidad de la diferencia de trato", las prohibiciones de discriminación, en cambio, imponen como fin y generalmente como medio la parificación de trato legal, de manera que sólo pueden ser utilizadas excepcionalmente por el legislador como criterio de diferenciación jurídica (STC 229/1992). Lo que </w:t>
      </w:r>
      <w:r>
        <w:lastRenderedPageBreak/>
        <w:t>implica la necesidad de usar en el juicio de legitimidad constitucional un canon mucho más estricto y que implica un mayor rigor respecto a las exigencias materiales de proporcionalidad (SSTC 75/1983 y 209/1988. Aunque la confrontación con el art. 14 C.E. de la diferencia por razón de sexo que se imputa al precepto legal aquí cuestionado no puede llevarse a cabo en abstracto sino en el concreto ámbito de la institución de los títulos de nobleza, para determinar si dicho principio es aplicable en este particular ámbito jurídico, dada la peculiar naturaleza de aquellas [F.J. 8]</w:t>
      </w:r>
    </w:p>
    <w:p w:rsidR="006854DA" w:rsidRDefault="006854DA" w:rsidP="006854DA">
      <w:pPr>
        <w:pStyle w:val="Extracto"/>
      </w:pPr>
    </w:p>
    <w:p w:rsidR="006854DA" w:rsidRDefault="006854DA" w:rsidP="006854DA">
      <w:pPr>
        <w:pStyle w:val="Extracto"/>
      </w:pPr>
      <w:r>
        <w:t>9.</w:t>
      </w:r>
      <w:r>
        <w:tab/>
        <w:t>Los títulos nobiliarios han subsistido en la sociedad burguesa y en el régimen constitucional, sin duda por su directa vinculación con la Corona, fons nobilitatis. Aunque sólo han permanecido, "como instituciones residuales de la sociedad anterior que se incrustan en la nueva y logran persistir en ella, bien es cierto que con un contenido jurídico y una función social enteramente otras y menores que las que tuvieron antes" (STC 27/1982). Ahora bien, dicho esto, nuestro enjuiciamiento ha de partir necesariamente de un elemento de la doctrina sentada por este Tribunal en relación con el art. 14 C.E., a saber, que "...al amparo del principio de igualdad no es lícito tratar de asimilar situaciones que en su origen no han sido equiparadas por las normas jurídicas que las crean" (STC 9/1995). Y de su origen histórico se desprende un dato relevante en relación con dicha doctrina: que los títulos de nobleza han sido una de esas instituciones que se han configurado según las normas del momento histórico en el que surgen, en atención a muy diversos factores, habiendo constituido, en el Antiguo Régimen, un doble factor de diferenciación jurídica entre las personas. [F.J. 11]</w:t>
      </w:r>
    </w:p>
    <w:p w:rsidR="006854DA" w:rsidRDefault="006854DA" w:rsidP="006854DA">
      <w:pPr>
        <w:pStyle w:val="Extracto"/>
      </w:pPr>
    </w:p>
    <w:p w:rsidR="006854DA" w:rsidRDefault="006854DA" w:rsidP="006854DA">
      <w:pPr>
        <w:pStyle w:val="Extracto"/>
      </w:pPr>
      <w:r>
        <w:t>10.</w:t>
      </w:r>
      <w:r>
        <w:tab/>
        <w:t>El ostentar un título nobiliario no supone en modo alguno "un status o condición estamental y privilegiada" ni tampoco conlleva hoy el ejercicio de función pública alguna. Pues "desde 1820 un título nobiliario es -y no es más que eso- una preeminencia o prerrogativa de honor", un nomen honoris. De suerte que las consecuencias jurídicas inherentes al mismo o su contenido jurídico se agotan "en el derecho a adquirirlo, a usarlo y a protegerlo frente a terceros de modo semejante a lo que sucede con el derecho al nombre" (STC 27/1982) [F.J. 12]</w:t>
      </w:r>
    </w:p>
    <w:p w:rsidR="006854DA" w:rsidRDefault="006854DA" w:rsidP="006854DA">
      <w:pPr>
        <w:pStyle w:val="Extracto"/>
      </w:pPr>
    </w:p>
    <w:p w:rsidR="006854DA" w:rsidRDefault="006854DA" w:rsidP="006854DA">
      <w:pPr>
        <w:pStyle w:val="Extracto"/>
      </w:pPr>
      <w:r>
        <w:t>11.</w:t>
      </w:r>
      <w:r>
        <w:tab/>
        <w:t>Por simbolizar el título de nobleza una institución que sólo fue relevante social y jurídicamente en el pasado, el símbolo elegido se halla desprovisto hoy de cualquier contenido jurídico- material en nuestro ordenamiento, más allá del derecho a usar un nomen honoris que viene a identificar, junto al nombre, el linaje al que pertenece quien ostenta tal prerrogativa de honor. Lo que es relevante en relación con el principio de igualdad del art. 14 C.E., puesto que si la adquisición de un título de nobleza sólo viene a constituir un "hecho diferencial" (STC 27/1982) cuyo significado no es material sino sólo simbólico, este carácter excluye, en principio, la existencia de una posible discriminación al adquirirlo, tanto por vía directa como por vía sucesoria, dado que las consecuencias jurídicas de su adquisición son las mismas en ambos casos. La adquisición por vía sucesoria de un título de nobleza sólo despliega hoy sus efectos jurídicos en el ámbito de determinadas relaciones privadas, pues su eficacia general sólo se manifiesta como complementeo del nombre identificando a quien lo ostenta con su linaje. [F.J. 12]</w:t>
      </w:r>
    </w:p>
    <w:p w:rsidR="006854DA" w:rsidRDefault="006854DA" w:rsidP="006854DA">
      <w:pPr>
        <w:pStyle w:val="Extracto"/>
      </w:pPr>
    </w:p>
    <w:p w:rsidR="006854DA" w:rsidRDefault="006854DA" w:rsidP="006854DA">
      <w:pPr>
        <w:pStyle w:val="Extracto"/>
      </w:pPr>
      <w:r>
        <w:t>12.</w:t>
      </w:r>
      <w:r>
        <w:tab/>
        <w:t>Los títulos de nobleza nos sitúan ante un ámbito de relaciones que se circunscribe a aquellas personas que forman parte del linaje del beneficiario de la merced y, por tanto, no poseen una proyección general y definitoria de un status, sino ante un simple nomen honoris que implica una referencia a la historia en cuanto símbolo y no posee así otro valor que el puramente social que en cada momento quiera otorgársele [F.J. 12]</w:t>
      </w:r>
    </w:p>
    <w:p w:rsidR="006854DA" w:rsidRDefault="006854DA" w:rsidP="006854DA">
      <w:pPr>
        <w:pStyle w:val="Extracto"/>
      </w:pPr>
    </w:p>
    <w:p w:rsidR="006854DA" w:rsidRDefault="006854DA" w:rsidP="006854DA">
      <w:pPr>
        <w:pStyle w:val="Extracto"/>
      </w:pPr>
      <w:r>
        <w:t>13.</w:t>
      </w:r>
      <w:r>
        <w:tab/>
        <w:t>La transmisión post mortem de los títulos de nobleza es de carácter vincular, y, por tanto, excepcional o extraordinaria. Lo que entraña, en esencia, la existencia de un orden de llamamientos objetivo y predeterminado que, en principio, es indefinido en cuanto a los sucesores en el uso y disfrute del título nobiliario que se transmite. Pues si éste ha constituido tradicionalmente una prerrogativa de honor vinculada a una familia o linaje -el de la persona a la que el Rey concedió la merced- ello permite perpetuar indefinidamente su uso y disfrute por los descendientes en línea directa de aquel a quien fue concedido pero entre tanto necesariamente la exclusión de unos descendientes en favor de otro. Lo que diferencia esta sucesión vincular de la ordinaria regida por el Derecho civil. [F.J. 14]</w:t>
      </w:r>
    </w:p>
    <w:p w:rsidR="006854DA" w:rsidRDefault="006854DA" w:rsidP="006854DA">
      <w:pPr>
        <w:pStyle w:val="Extracto"/>
      </w:pPr>
    </w:p>
    <w:p w:rsidR="006854DA" w:rsidRDefault="006854DA" w:rsidP="006854DA">
      <w:pPr>
        <w:pStyle w:val="Extracto"/>
      </w:pPr>
      <w:r>
        <w:t>14.</w:t>
      </w:r>
      <w:r>
        <w:tab/>
        <w:t>El título de nobleza, por ser el resultado de la voluntad graciable del Monarca, se adquiere por vía sucesoria tal y como ha sido configurado por la Real concesión o por las posteriores autorizaciones regias [F.J. 14]</w:t>
      </w:r>
    </w:p>
    <w:p w:rsidR="006854DA" w:rsidRDefault="006854DA" w:rsidP="006854DA">
      <w:pPr>
        <w:pStyle w:val="Extracto"/>
      </w:pPr>
    </w:p>
    <w:p w:rsidR="006854DA" w:rsidRDefault="006854DA" w:rsidP="006854DA">
      <w:pPr>
        <w:pStyle w:val="Extracto"/>
      </w:pPr>
      <w:r>
        <w:t>15.</w:t>
      </w:r>
      <w:r>
        <w:tab/>
        <w:t xml:space="preserve">Si los títulos de nobleza tienen hoy un carácter simbólico, como antes se ha dicho, la regla de preferencia establecida por el precepto cuestionado hoy es, indudablemente, un elemento diferencial que no tiene cabida en nuestro ordenamiento respecto a aquellas situaciones que poseen una proyección general. De manera que sólo puede entrañar, al igual que los propios títulos nobiliarios, una referencia o una llamada a la historia, desprovista hoy de todo contenido material. La diferencia por razón de sexo que la Partida 2.15.2 establece sólo posee hoy un valor meramente simbólico dado que el fundamento de la diferenciación que incorpora ya no se halla vigente en nuestro ordenamiento. Mientras que, por el contrario, los valores sociales y jurídicos contenidos en la Constitución y, por tanto, con plena vigencia en el momento actual, necesariamente han de proyectar sus efectos si estuviésemos ante una diferencia legal que tuviera un contenido material. Lo que ciertamente no ocurre en el presente caso, en atención a las razones que se han expuesto partiendo de las premisas sentadas en los fundamentos precedentes. A lo que cabe agregar, por último, otra consideración: los títulos nobiliarios se adquieren hoy por vía sucesoria tal y como son. El régimen legal de su transmisión post mortem ha constituido, a lo largo del tiempo un elemento inherente al propio título de nobleza que se adquiere por vía sucesoria. Y otro tanto cabe decir de los otorgados en el Estado liberal e incluso de los concedidos en fechas recientes, pues será lo dispuesto en la Real concesión lo que ha de determinar, en el futuro, las sucesivas transmisiones. Por lo que resultaría paradójico que el título de nobleza pudiera adquirirse por vía sucesoria no tal como es y ha sido históricamente según los criterios que han presidido las anteriores transmisiones, sino al amparo de criterios distintos. Pues ello supondría tanto como proyectar valores y principios contenidos en la Constitución y que hoy poseen un </w:t>
      </w:r>
      <w:r>
        <w:lastRenderedPageBreak/>
        <w:t>contenido material en nuestro ordenamiento sobre lo que carece de ese contenido por su carácter simbólico [F.J. 15]</w:t>
      </w:r>
    </w:p>
    <w:p w:rsidR="006854DA" w:rsidRDefault="006854DA" w:rsidP="006854DA">
      <w:pPr>
        <w:pStyle w:val="Extracto"/>
      </w:pPr>
    </w:p>
    <w:p w:rsidR="006854DA" w:rsidRDefault="006854DA" w:rsidP="006854DA">
      <w:pPr>
        <w:pStyle w:val="Extracto"/>
      </w:pPr>
      <w:r>
        <w:t>16.</w:t>
      </w:r>
      <w:r>
        <w:tab/>
        <w:t>No siendo discriminatorio y, por tanto, inconstitucional el título de nobleza tampoco puede serlo dicha preferencia, salvo incurrir en la misma contradicción lógica que respecto a aquel caso se ha señalado [F.J. 16]</w:t>
      </w:r>
    </w:p>
    <w:p w:rsidR="006854DA" w:rsidRDefault="006854DA" w:rsidP="006854DA">
      <w:pPr>
        <w:pStyle w:val="Extracto"/>
      </w:pPr>
    </w:p>
    <w:p w:rsidR="006854DA" w:rsidRDefault="006854DA" w:rsidP="006854DA">
      <w:pPr>
        <w:pStyle w:val="Extracto"/>
      </w:pPr>
      <w:r>
        <w:t>17.</w:t>
      </w:r>
      <w:r>
        <w:tab/>
        <w:t>Admitida la constitucionalidad de los títulos nobiliarios por su naturaleza meramente honorífica y la finalidad de mantener vivo el recuerdo histórico al que se debe su otorgamiento, no cabe entender que un determinado elemento de dicha institución -el régimen de su transmisión mortis causa- haya de apartarse de las determinaciones establecidas en la Real carta de concesión [F.J. 16]</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la cuestión de inconstitucionalidad núm. 661/96, planteada por la Sección Decimotercera de la Audiencia Provincial de Madrid en relación con el art. 1 de la Ley de 4 de mayo de 1948, el art. 5 del Decreto de 4 de junio de 1948, el art. 13 de la Ley Desvinculadora de 1820, las Leyes 8 y 9 del Título XVII del Libro X de la Novísima Recopilación, y la Ley 2 del Título XV de la Partida II, por supuesta vulneración del art. 14 C.E. Han intervenido en el proceso el Abogado del Estado, en la representación que ostenta, y el Fiscal General del Estado, y ha sido Ponente el Magistrado don Julio Diego González Campos, quien expresa el parecer del Tribunal.</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Con fecha 20 de febrero de 1996, tuvo entrada en el registro de este Tribunal escrito del Presidente de la Sección Decimotercera de la Audiencia Provincial de Madrid al que se adjuntaba testimonio del rollo de apelación núm. 692/94 y Auto de 5 de febrero de 1996, por el que se acordaba plantear cuestión de inconstitucionalidad en relación con el art. 1 de la Ley de 4 de Mayo de 1948, el art. 5 del Decreto de 4 de junio de 1948, el art. 13 de la Ley Desvinculadora de 1820, las Leyes 8 y 9 del Título XVII del Libro X de la Novísima </w:t>
      </w:r>
      <w:r>
        <w:lastRenderedPageBreak/>
        <w:t>Recopilación, y la Ley 2 del Título XV de la Partida II, por supuesta vulneración del art. 14 C.E.</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que dieron lugar al planteamiento de la cuestión, brevemente expuestos, son los siguientes: </w:t>
      </w:r>
    </w:p>
    <w:p w:rsidR="006854DA" w:rsidRDefault="006854DA" w:rsidP="006854DA">
      <w:pPr>
        <w:pStyle w:val="TextoNormal"/>
      </w:pPr>
      <w:r>
        <w:t xml:space="preserve">A) Doña María del Pilar de la Cierva y Osorio de Moscoso presentó en su día demanda de juicio declarativo de mayor cuantía pretendiendo se declarara su mejor derecho a ostentar los títulos de Conde de Cardona, con Grandeza de España, Marqués de Mairena y Conde de Arzarcóllar frente a su hermano, menor en edad, don Rafael. El Juzgado de Primera Instancia núm. 51 de Madrid, dictó en su día Sentencia desestimatoria de la demanda. </w:t>
      </w:r>
    </w:p>
    <w:p w:rsidR="006854DA" w:rsidRDefault="006854DA" w:rsidP="006854DA">
      <w:pPr>
        <w:pStyle w:val="TextoNormal"/>
      </w:pPr>
      <w:r>
        <w:t xml:space="preserve">B) La actora civil interpuso recurso de apelación ante la Audiencia, cuya Sección XIII acordó, por providencia de 20 de noviembre de 1995, y de conformidad con lo dispuesto en el art. 35 LOTC, requerir a las partes para que alegaran lo que estimasen pertinente en relación con la "posibilidad constitucional de pervivencia, tras la entrada en vigor de la Constitución, del régimen de sucesión de títulos nobiliarios establecido como orden regular de sucesión, dispuesto por el Derecho histórico preconstitucional, al imponer, en los casos de igualdad de línea y grado, la preferencia del varón sobre la mujer para determinar el orden de sucesión de los títulos nobiliarios, o, por el contrario, esta preferencia ha de entenderse abrogada y derogada, a tenor de la disposición derogatoria, 3 de la Constitución Española, por violación del art. 14 de la misma, en cuanto proclama el principio de igualdad de los españoles, prohibiendo cualquier discriminación por razón de sexo". </w:t>
      </w:r>
    </w:p>
    <w:p w:rsidR="006854DA" w:rsidRDefault="006854DA" w:rsidP="006854DA">
      <w:pPr>
        <w:pStyle w:val="TextoNormal"/>
      </w:pPr>
      <w:r>
        <w:t>C) Evacuadas las alegaciones de las partes -en las que la actora se opuso al planteamiento de la cuestión, el demandado la estimó necesaria, y el Fiscal se abstuvo de deducirlas por entender imprecisos los términos de la misma-, la Sección, por Auto de 8 de febrero de 1996, acordó el planteamiento de la presente cuestión de inconstitucionalidad.</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Comienza el Auto de planteamiento por identificar las normas cuestionadas, reguladoras del orden de sucesión en los títulos nobiliarios, y que son las siguientes: </w:t>
      </w:r>
    </w:p>
    <w:p w:rsidR="006854DA" w:rsidRDefault="006854DA" w:rsidP="006854DA">
      <w:pPr>
        <w:pStyle w:val="TextoNormal"/>
      </w:pPr>
      <w:r>
        <w:t xml:space="preserve">A) El art. 1 de la Ley de 4 de mayo de 1948, de acuerdo con el cual "se restablecen (...) las disposiciones vigentes hasta el 14 de abril de 1931 sobre concesión, rehabilitación y transmisión de Grandezas y Títulos del Reino, ejercitándose por el Jefe del Estado la gracia y prerrogativas a que aquéllas se refieren". </w:t>
      </w:r>
    </w:p>
    <w:p w:rsidR="006854DA" w:rsidRDefault="006854DA" w:rsidP="006854DA">
      <w:pPr>
        <w:pStyle w:val="TextoNormal"/>
      </w:pPr>
      <w:r>
        <w:t xml:space="preserve">B) El art. 5 del Decreto de 4 de junio de 1948, norma con rango de Ley por causa de la remisión que ordena el precitado art. 1 de la Ley de 1948, en el que se dispone que "el orden de suceder en todas las dignidades nobiliarias se acomodará estrictamente a lo dispuesto en el título de concesión y, en su defecto, al que tradicionalmente se ha seguido en la materia". </w:t>
      </w:r>
    </w:p>
    <w:p w:rsidR="006854DA" w:rsidRDefault="006854DA" w:rsidP="006854DA">
      <w:pPr>
        <w:pStyle w:val="TextoNormal"/>
      </w:pPr>
      <w:r>
        <w:t xml:space="preserve">C) El art. 13 de la Ley Desvinculadora de 1820, conforme al cual "los títulos, prerrogativas de honor y cualesquiera otras preeminencias de esta clase que los poseedores actuales de vinculación disfrutan como anejas a ellas subsistirán en el mismo pie y seguirán en el orden de sucesión prescrito en las concesiones, escrituras de fundación u otros documentos de procedencia". </w:t>
      </w:r>
    </w:p>
    <w:p w:rsidR="006854DA" w:rsidRDefault="006854DA" w:rsidP="006854DA">
      <w:pPr>
        <w:pStyle w:val="TextoNormal"/>
      </w:pPr>
      <w:r>
        <w:t xml:space="preserve">D) Las Leyes 8 y 9 del Título XVII de la Novísima Recopilación, en las que se establece que "lo qual visto por los del nuestro Consejo y con Nos consultado, fue acordado, que debíamos mandar y declarar, como declaramos y mandamos, que en la sucesión de los mayorazgos, vínculos, patronazgos y aniversarios que de aquí en adelante se hicieren, así </w:t>
      </w:r>
      <w:r>
        <w:lastRenderedPageBreak/>
        <w:t xml:space="preserve">por ascendientes como por transversales o extremos, se guarde lo dispuesto en las dichas Leyes de Partida y Toro". </w:t>
      </w:r>
    </w:p>
    <w:p w:rsidR="006854DA" w:rsidRDefault="006854DA" w:rsidP="006854DA">
      <w:pPr>
        <w:pStyle w:val="TextoNormal"/>
      </w:pPr>
      <w:r>
        <w:t xml:space="preserve">E) La Ley 2 del Título XV de la Partida II, que establece el orden de sucesión de la Corona y dispone "que el señorío del Reyno non lo oviesse si non el fijo mayor después de la muerte de su padre, e este varón siempre en todas las tierras del mundo, doquier que el señorío ovieron por linaje, e mayormente en España. E por escusar muchos males, que acaecieron o podrían aún ser fechos, pusieron que el Señorío del Rey heredassen siempre aquellos que viniesen por la liña derecha. E por ende establecieron que si fijo varón y non oviesse, la fija mayor heredasse el Reyno ...". </w:t>
      </w:r>
    </w:p>
    <w:p w:rsidR="006854DA" w:rsidRDefault="006854DA" w:rsidP="006854DA">
      <w:pPr>
        <w:pStyle w:val="TextoNormal"/>
      </w:pPr>
      <w:r>
        <w:t xml:space="preserve">Expone a continuación el Auto de planteamiento -tras objetar las supuestas imprecisiones alegadas por el Fiscal- las razones por las que las normas cuestionadas son aplicables al caso debatido, dependiendo de su validez el contenido del fallo que haya de acordarse. Acto seguido, el órgano proponente se extiende en consideraciones sobre el planteamiento de cuestiones de constitucionalidad respecto a normas preconstitucionales, fiel trasunto de la doctrina sentada desde la STC 4/1981. </w:t>
      </w:r>
    </w:p>
    <w:p w:rsidR="006854DA" w:rsidRDefault="006854DA" w:rsidP="006854DA">
      <w:pPr>
        <w:pStyle w:val="TextoNormal"/>
      </w:pPr>
      <w:r>
        <w:t xml:space="preserve">El Auto se centra, seguidamente, en la exposición de la duda de constitucionalidad, que tiene por único objeto la vigencia o derogación del principio de varonía. Explica la Sección que la derogación de este principio ha sido declarada por varias Sentencias de la Sala Primera del Tribunal Supremo, en línea jurisprudencial uniforme desde la Sentencia de 20 de junio de 1987. Frente a este criterio se viene oponiendo, sin embargo, parte relevante de la doctrina científica, el Consejo de Estado y varios órganos judiciales, destacándose en el Auto que la última Sentencia del Tribunal Supremo, aun formando parte de esa línea jurisprudencial, va acompañada de un voto particular discrepante. Con todo, admite la Sección que esta discrepancia no es motivo suficiente para plantear la cuestión. Sí lo sería, en cambio, la discrepancia entre la jurisprudencia del Tribunal Supremo y la de este Tribunal Constitucional, cifrada en la STC 27/1982, cuyo contenido permite poner en duda que el Derecho histórico haya sido derogado, por cuanto el carácter discriminatorio de los títulos nobiliarios está ínsito en su propia naturaleza jurídica y carece de relevancia constitucional. Por ello, supeditar un determinado aspecto jurídico de su regulación y contenido a determinados criterios preferenciales y, por tanto, discriminatorios, ha de ser también irrelevante desde el punto de vista constitucional. </w:t>
      </w:r>
    </w:p>
    <w:p w:rsidR="006854DA" w:rsidRDefault="006854DA" w:rsidP="006854DA">
      <w:pPr>
        <w:pStyle w:val="TextoNormal"/>
      </w:pPr>
      <w:r>
        <w:t xml:space="preserve">La Sección declara, seguidamente, hacer suyo el razonamiento de la Sentencia de instancia, para la cual sólo reputando no discriminatoria la institución de la nobleza, por intrascendente en el ámbito de los derechos fundamentales y libertades públicas, puede compatibilizarse su existencia con el art. 14 C.E.; siendo esto así, ninguna discriminación constitucionalmente relevante puede observarse en el hecho de que la Ley que rige su sucesión establezca un orden basado en la preferencia del varón sobre la mujer. De ello deriva la Sección dos consecuencias: de un lado, el legislador puede adoptar las pautas preferenciales que estime pertinentes para determinar el orden de los llamados a suceder; de otro, los órganos jurisdiccionales no pueden declarar abrogada y derogada la concreta preferencia de varonía sancionada por la Ley preconstitucional. </w:t>
      </w:r>
    </w:p>
    <w:p w:rsidR="006854DA" w:rsidRDefault="006854DA" w:rsidP="006854DA">
      <w:pPr>
        <w:pStyle w:val="TextoNormal"/>
      </w:pPr>
      <w:r>
        <w:t xml:space="preserve">Por similares razones, concluye el Auto, es inaplicable a los títulos de nobleza la Convención de Nueva York de 1979 sobre eliminación de todas las formas de discriminación de la mujer. Reconocido por el Tribunal Constitucional, a su juicio, que la posesión de un título nobiliario es compatible con la Constitución, la pretensión de aplicabilidad del principio de igualdad sobre esa institución parece estar en contradicción con el sentido lógico y sistemático que ha de guiar al intérprete. La naturaleza intrínseca de la institución nobiliaria es la desigualdad, sin relevancia constitucional alguna; por ello, cualquier diferencia </w:t>
      </w:r>
      <w:r>
        <w:lastRenderedPageBreak/>
        <w:t>de trato para determinar el derecho a poseer esa merced ha de carecer, asimismo, de esa relevancia. Por tanto, al quedar fuera del ámbito de las relaciones jurídicas llamadas a ser protegidas por el principio de igualdad, no puede declararse su derogación.</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14 de marzo de 1996, la Sección Tercera del Pleno de este Tribunal acordó admitir a trámite la cuestión y dar traslado de las actuaciones, conforme establece el art. 37.2 LOTC, al Congreso de los Diputados y al Senado, al Gobierno y al Fiscal General del Estado, al objeto de que en el plazo improrrogable de quince días pudieran personarse en el proceso y formular las alegaciones que estimaran convenientes; asimismo acordó publicar la incoación de la cuestión en el "Boletín Oficial del Estado", para general conocimiento.</w:t>
      </w:r>
    </w:p>
    <w:p w:rsidR="006854DA" w:rsidRDefault="006854DA" w:rsidP="006854DA">
      <w:pPr>
        <w:pStyle w:val="TextoNormal"/>
      </w:pPr>
    </w:p>
    <w:p w:rsidR="006854DA" w:rsidRDefault="006854DA" w:rsidP="006854DA">
      <w:pPr>
        <w:pStyle w:val="TextoNormal"/>
      </w:pPr>
      <w:r w:rsidRPr="006854DA">
        <w:rPr>
          <w:rStyle w:val="NumeroAFNegritaCaracter"/>
        </w:rPr>
        <w:t>5</w:t>
      </w:r>
      <w:r>
        <w:t>. En escrito presentado el 26 de marzo de 1996, el Presidente del Congreso de los Diputados comunicó que la Mesa de la Cámara había acordado no personarse ni formular alegaciones en el presente proceso.</w:t>
      </w:r>
    </w:p>
    <w:p w:rsidR="006854DA" w:rsidRDefault="006854DA" w:rsidP="006854DA">
      <w:pPr>
        <w:pStyle w:val="TextoNormal"/>
      </w:pPr>
    </w:p>
    <w:p w:rsidR="006854DA" w:rsidRDefault="006854DA" w:rsidP="006854DA">
      <w:pPr>
        <w:pStyle w:val="TextoNormal"/>
      </w:pPr>
      <w:r w:rsidRPr="006854DA">
        <w:rPr>
          <w:rStyle w:val="NumeroAFNegritaCaracter"/>
        </w:rPr>
        <w:t>6</w:t>
      </w:r>
      <w:r>
        <w:t>. Por medio de escrito que tuvo entrada en este Tribunal el 26 de marzo de 1996, el Presidente del Senado ruega del Tribunal tenga por personada a la Cámara y por ofrecida su colaboración a los efectos del art. 88.1 LOTC.</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Con fecha 2 de abril de 1996, el Abogado del Estado ante el Tribunal Constitucional presentó escrito de personación en el presente proceso, y en el que se contienen sus alegaciones, conducentes a la estimación de la cuestión. </w:t>
      </w:r>
    </w:p>
    <w:p w:rsidR="006854DA" w:rsidRDefault="006854DA" w:rsidP="006854DA">
      <w:pPr>
        <w:pStyle w:val="TextoNormal"/>
      </w:pPr>
      <w:r>
        <w:t xml:space="preserve">Tras advertir que estas alegaciones se formulan de conformidad con instrucciones recibidas de la superioridad, comienza su escrito discrepando de la selección de las normas portadoras del principio de preferencia del varón efectuada por el órgano proponente. En este sentido, advierte que el art. 1 de la Ley de 4 de mayo de 1948 es una pura regla de remisión al pasado, que en nada resulta de por sí contraria al art. 14 C.E.; idéntico carácter presentan el art. 5 del Decreto de 4 de junio de 1948 -que ni siquiera posee, a su juicio, más rango que el reglamentario, lo que le hace inidóneo como objeto de una cuestión de constitucionalidad- y el art. 13 de la Ley Desvinculadora de 1820. Tampoco, por último, recogen por sí mismas reglas materiales de sucesión en los títulos nobiliarios las Leyes 8 y 9 del Título XVI del Libro X de la Novísima Recopilación (sendas Pragmáticas de don Felipe III de 15 y 5 de abril de 1615, respectivamente), limitadas a estimar de aplicación en la sucesión regular de mayorazgos "las reglas ordinarias que se guardan en la sucesión destos mis Reynos" (Ley 8), y la expresa aplicabilidad a dichas sucesiones de la Ley 2 del Título XV, Partida II (Ley 9). </w:t>
      </w:r>
    </w:p>
    <w:p w:rsidR="006854DA" w:rsidRDefault="006854DA" w:rsidP="006854DA">
      <w:pPr>
        <w:pStyle w:val="TextoNormal"/>
      </w:pPr>
      <w:r>
        <w:t xml:space="preserve">Es pues esta última regla la única que efectivamente contiene, al menos, la base o fundamento del principio de varonía. Pero también es claro que en la Ley 2 del Título XV, Partida II sólo se contienen reglas relativas a la sucesión en el Reino, y no a los mayorazgos o a la sucesión nobiliaria. La aplicación a estas últimas sucesiones de las reglas previstas para la Corona no se encuentra, a juicio del Abogado del Estado, en norma alguna, sino que es una creación doctrinal aceptada por los Tribunales, y que reposa en la analogía, tesis esta que se argumenta con erudita extensión. </w:t>
      </w:r>
    </w:p>
    <w:p w:rsidR="006854DA" w:rsidRDefault="006854DA" w:rsidP="006854DA">
      <w:pPr>
        <w:pStyle w:val="TextoNormal"/>
      </w:pPr>
      <w:r>
        <w:t xml:space="preserve">Continúa el Abogado del Estado sus alegaciones aceptando el rango cuando menos legal de las cuestionadas reglas de las Partidas y la Novísima, pero afirma seguidamente que no es nada evidente el que un juicio sobre la validez de estas normas pueda resolver el </w:t>
      </w:r>
      <w:r>
        <w:lastRenderedPageBreak/>
        <w:t xml:space="preserve">problema aquí planteado, que es el de si la regla de preferencia del varón en las sucesiones nobiliarias regulares contradice o no el art. 14 C.E. La regla de Ley 2 del Título XV, Partida II es en sí misma una norma de sucesión de la Corona, pero, en cuanto a esto mismo, hoy sólo posee valor como antecedente histórico, pues esa sucesión está hoy regulada por el art. 57 C.E. Se produce así la paradoja, hija de la historia, de que, en cuanto a su objeto directo, la mencionada regla es hoy norma no vigente, conservando cierto valor, sin embargo, en cuanto norma en la que se ha venido secularmente asentando el orden sucesorio regular en las dignidades nobiliarias. Por ello, a juicio del Abogado del Estado, la cuestión posee un objeto adecuado, pues no resulta imposible examinar la constitucionalidad del "resto de vigencia" que conserva la mencionada regla de las Partidas, y ello pese a que desde 1987 existen numerosas Sentencias de la Sala Primera del Tribunal Supremo que han venido a declarar inaplicable a la sucesión nobiliaria la regla de las Partidas, Sentencias estas que coexisten con otras varias en las que se sigue la opinión justamente contraria, y que es la tesis tradicional en nuestro Derecho. Esto basta, a juicio del Abogado del Estado, para concluir que la Sección cuestionante no ha cometido ninguna arbitrariedad al considerar aplicable la Ley 2 del Título XV, Partida II a las sucesiones nobiliarias regulares, sino que más bien se asienta en una sólida doctrina secular de la que únicamente se apartan unas pocas Sentencias dictadas en la última década. </w:t>
      </w:r>
    </w:p>
    <w:p w:rsidR="006854DA" w:rsidRDefault="006854DA" w:rsidP="006854DA">
      <w:pPr>
        <w:pStyle w:val="TextoNormal"/>
      </w:pPr>
      <w:r>
        <w:t xml:space="preserve">Pasando luego al examen de la duda planteada, el Abogado del Estado resalta el acierto del planteamiento de la cuestión, que a su juicio tiene su centro en la posible contradicción existente entre la doctrina sentada en la STC 27/1982, y la de la Sala Primera del Tribunal Supremo en unas pocas Sentencias dictadas entre 1987 y 1995, que parten de la premisa de entender constitucionalmente relevantes las sucesiones en las mercedes nobiliarias, y que afirman por tanto la aplicabilidad del art. 14 C.E. como medida de validez de tales sucesiones. A su juicio, esta duda sobre si ha de ser seguido el camino trazado en la STC 27/1982, o el de las referidas Sentencias del Tribunal Supremo, es una duda de constitucionalidad con entidad suficiente para fundamentar el planteamiento de la cuestión, pues si el art. 14 C.E. ha de aplicarse a las sucesiones nobiliarias, entonces será inconstitucional el criterio de preferencia en razón del sexo (y acaso no sólo ese criterio de preferencia, añade el Abogado del Estado). </w:t>
      </w:r>
    </w:p>
    <w:p w:rsidR="006854DA" w:rsidRDefault="006854DA" w:rsidP="006854DA">
      <w:pPr>
        <w:pStyle w:val="TextoNormal"/>
      </w:pPr>
      <w:r>
        <w:t xml:space="preserve">En cuanto al fondo de la cuestión planteada, siguiendo las instrucciones superiores recibidas se defiende en las alegaciones que la preferencia tradicional - en igualdad de línea y grado, o incluso sólo de grado- que favorece a los varones en la sucesión de una merced nobiliaria es contraria al art. 14 C.E. "de acuerdo con la jurisprudencia de la Sala Primera del Tribunal Supremo que se viene produciendo reiteradamente en la materia". De ahí que comience su examen del fondo de la cuestión con la expresa advertencia de que su línea argumental se basa en la aplicabilidad a tales sucesiones del art. 14 C.E., al menos en cuanto a la regla de masculinidad, no estando en cuestión en el presente proceso otras reglas sucesorias tradicionales en la materia ("legitimidad" de la filiación, anterioridad del nacimiento), ni la compatibilidad con diversos principios y preceptos constitucionales de la perpetua transmisibilidad mortis causa de dignidades y preeminencias de creación estatal y que siguen siendo título de preeminencia o de dignidad -además de otorgar notorias ventajas sociales- a casi doscientos años de haber terminado el Antiguo Régimen. </w:t>
      </w:r>
    </w:p>
    <w:p w:rsidR="006854DA" w:rsidRDefault="006854DA" w:rsidP="006854DA">
      <w:pPr>
        <w:pStyle w:val="TextoNormal"/>
      </w:pPr>
      <w:r>
        <w:t>Así centrado el fondo de la cuestión, e insistiendo en dar por supuesta la aplicabilidad del art. 14 a las sucesiones nobiliarias, la manifiesta naturaleza de orden público constitucional de que goza el principio y derecho de igualdad consagrado en el art. 14 C.E. determinará su aplicabilidad a cualesquiera sucesiones nobiliarias abiertas con posterioridad a la Constitución, independientemente de la fecha en que se creara la merced. La regla cues</w:t>
      </w:r>
      <w:r>
        <w:lastRenderedPageBreak/>
        <w:t xml:space="preserve">tionada instaura, a juicio del Abogado del Estado, una discriminación característica y evidentemente odiosa, ya que atribuye mejor o peor trato jurídico sobre la base de un dato biológico que, por el momento, es inmodificable -al menos genéticamente- y sobre el que la libertad humana no puede actuar. Una ventaja jurídica resulta así atribuida no en virtud de una regla racional compatible con el sistema de valores constitucionales, sino en virtud del más ciego azar biológico, siendo radicalmente irracionales e incompatibles con la Constitución las tradicionales ideas del mayor valor del varón frente a la mujer. Toda la antropología nobiliarista tradicional -que pretende justificar la preferencia de varones y primogénitos sobre la base de interpretaciones bíblicas o sobre mitos biológicos de una supuesta "mejor sangre"- es palmariamente inconciliable con el art. 14 C.E., como lo es, en definitiva, la existencia de reglas con contenido material discriminatorio en el ciego sentido biológico ya analizado. </w:t>
      </w:r>
    </w:p>
    <w:p w:rsidR="006854DA" w:rsidRDefault="006854DA" w:rsidP="006854DA">
      <w:pPr>
        <w:pStyle w:val="TextoNormal"/>
      </w:pPr>
      <w:r>
        <w:t>Por todo ello, concluye el Abogado del Estado suplicando se dicte Sentencia estimatoria de la cuestión, declarando inconstitucional y nula la tradicional regla de la preferencia del varón sobre la mujer, a igualdad de línea y grado o incluso sólo de grado, regla contenida en la Ley 2 del Título XV de la Partida II, en cuanto esta Ley de Partida conserve vigencia y sea aplicable a las sucesiones por causa de muerte en las mercedes nobiliarias.</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El 11 de abril de 1996, tuvieron acceso al Registro de este Tribunal las alegaciones del Fiscal General del Estado, en las que se sostiene la desestimación de la cuestión por falta de requisitos procesales y ser notoriamente infundado su planteamiento. </w:t>
      </w:r>
    </w:p>
    <w:p w:rsidR="006854DA" w:rsidRDefault="006854DA" w:rsidP="006854DA">
      <w:pPr>
        <w:pStyle w:val="TextoNormal"/>
      </w:pPr>
      <w:r>
        <w:t xml:space="preserve">Después de sintetizar los antecedentes de hecho de la cuestión, comienzan las alegaciones en cuanto al fondo del Fiscal General afirmando que el haber superado la cuestión el trámite de admisión, no implica la imposibilidad de que una eventual ausencia de presupuestos procesales pueda ser apreciada por el Tribunal en la misma Sentencia (STC 186/1990), lo que conduciría a un pronunciamiento de desestimación y contribuiría, a su juicio, a la formación de un cuerpo doctrinal y a un correcto funcionamiento de la cooperación entre la jurisdicción ordinaria y el Tribunal Constitucional en la depuración del ordenamiento, que debe conducir a que la cuestión de inconstitucionalidad no rebase los límites objetivos y subjetivos a que está sujeta en su planteamiento. </w:t>
      </w:r>
    </w:p>
    <w:p w:rsidR="006854DA" w:rsidRDefault="006854DA" w:rsidP="006854DA">
      <w:pPr>
        <w:pStyle w:val="TextoNormal"/>
      </w:pPr>
      <w:r>
        <w:t xml:space="preserve">El Fiscal General afirma que una primera observación sobre los requisitos exigidos por el art. 35 LOTC conduce a la conclusión de su concurrencia en el caso; esto no obstante, sigue afirmando, una lectura cuidadosa de dicho precepto, unido a la posibilidad de inadmisión de una cuestión por ser notoriamente infundada (art. 37.1 LOTC), puede conducir a la desestimación de la cuestión en este trámite. El art. 35.1 exige como un prius al planteamiento de una cuestión que el Juez o Tribunal considere que la norma a enjuiciar "... pueda ser contraria a la Constitución", extremo este que conduce a no plantear cuestiones de inconstitucionalidad allí donde el Juez o Tribunal estimen que la norma a aplicar no es contraria a la Constitución. </w:t>
      </w:r>
    </w:p>
    <w:p w:rsidR="006854DA" w:rsidRDefault="006854DA" w:rsidP="006854DA">
      <w:pPr>
        <w:pStyle w:val="TextoNormal"/>
      </w:pPr>
      <w:r>
        <w:t xml:space="preserve">Con cita de la STC 17/1981, y de los AATC 296/1992 y 312/1992, se sostiene que el cauce de la cuestión de inconstitucionalidad no es hábil para solucionar una eventual "perplejidad interpretativa", obteniendo del Tribunal Constitucional cuál haya de ser la interpretación correcta de una norma legal. Asimismo, tampoco sería procedente el planteamiento de una cuestión si según la apreciación subjetiva del juzgador no fuera necesario hacerlo, no procediendo, por tanto, en casos en los que "sería conveniente dados los efectos generales de una Sentencia del Tribunal". El Fiscal General recuerda, por último, la improcedencia, declarada por este Tribunal, del planteamiento de una cuestión como fórmula para soslayar una discrepancia interpretativa con un Tribunal superior (ATC </w:t>
      </w:r>
      <w:r>
        <w:lastRenderedPageBreak/>
        <w:t xml:space="preserve">312/1992), así como que la conexión entre la falta del requisito de la duda de inconstitucionalidad, materialmente entendida, y la inadmisibilidad o desestimación de la cuestión, operan a través de la atribución al planteamiento de la cualidad de "notoriamente infundado", consecuencia procesal prevista en el art. 37.1 LOTC [STC 222/1992, fundamento jurídico 2º b)]. </w:t>
      </w:r>
    </w:p>
    <w:p w:rsidR="006854DA" w:rsidRDefault="006854DA" w:rsidP="006854DA">
      <w:pPr>
        <w:pStyle w:val="TextoNormal"/>
      </w:pPr>
      <w:r>
        <w:t xml:space="preserve">La aplicación de estas premisas al caso planteado, y la lectura del Auto de planteamiento de la cuestión, lleva a la conclusión de que el órgano cuestionante sólo duda en una mínima parte de la constitucionalidad de las normas cuestionadas, dado que su razonamiento se dirige más bien a explicar que no existe oposición entre las reglas que rigen la sucesión de los títulos nobiliarios y el art. 14 C.E.; consecuentemente, la Sección debió simplemente resolver el pleito conforme a su criterio -como realizara el Juzgado de Primera Instancia, cuyos razonamientos la Audiencia hizo expresamente suyos-, y no proceder al planteamiento de la presente cuestión, cuya naturaleza jurídica y finalidad, como ya se ha afirmado, no es compatible con el caso concreto que nos ocupa. El art. 163 C.E. y el art. 35.1 LOTC, insiste el Fiscal General, sólo permiten el planteamiento de la cuestión respecto a una norma "que puede ser contraria a la Constitución", pero carece de sentido que se haga lo propio cuando el Juez o Tribunal considere que la norma no es contraria a la Constitución, como en este caso sucede. </w:t>
      </w:r>
    </w:p>
    <w:p w:rsidR="006854DA" w:rsidRDefault="006854DA" w:rsidP="006854DA">
      <w:pPr>
        <w:pStyle w:val="TextoNormal"/>
      </w:pPr>
      <w:r>
        <w:t>Entiende finalmente el Fiscal General, que la temática planteada ofrece perfiles propios cuando se trata de normas preconstitucionales, en donde la Constitución permite, a través de sus Disposiciones derogatorias y caso de un juicio negativo de constitucionalidad, su derogación por el Juez o Tribunal sentenciador, o bien su aplicación, como juicio positivo de constitucionalidad, como función inherente a la potestad jurisdiccional. Tal es, a su juicio, el presente caso, en el que no se observa oposición entre Constitución y norma, por lo que debió dictarse Sentencia abriendo la vía casacional a la parte perjudicada por el fallo. La impresión que se obtiene de la lectura del Auto, y su clara desconexión con el acuerdo tomado, es la de que se pretende del Tribunal Constitucional obtener una respuesta a una consulta sobre la constitucionalidad de determinadas normas sin un substrato de duda en cuanto a su oposición a la Constitución. De acuerdo con la jurisprudencia constitucional antes citada, esta incongruencia nacida de la desvinculación entre la argumentación del Auto y el acuerdo de plantear la cuestión, conduce rectamente a la desestimación de la cuestión por ser notoriamente infundada (STC 222/1992).</w:t>
      </w:r>
    </w:p>
    <w:p w:rsidR="006854DA" w:rsidRDefault="006854DA" w:rsidP="006854DA">
      <w:pPr>
        <w:pStyle w:val="TextoNormal"/>
      </w:pPr>
    </w:p>
    <w:p w:rsidR="006854DA" w:rsidRDefault="006854DA" w:rsidP="006854DA">
      <w:pPr>
        <w:pStyle w:val="TextoNormal"/>
      </w:pPr>
      <w:r w:rsidRPr="006854DA">
        <w:rPr>
          <w:rStyle w:val="NumeroAFNegritaCaracter"/>
        </w:rPr>
        <w:t>9</w:t>
      </w:r>
      <w:r>
        <w:t>. Por providencia de 1 de julio de 1997, se acordó señalar para deliberación y votación de la presente Sentencia el siguiente día 3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Sección Decimotercera de la Audiencia Provincial de Madrid ha planteado cuestión de inconstitucionalidad por estimar que la decisión en el proceso que conoce en grado de apelación "depende de la validez y, por tanto, de la vigencia de las normas con rango de Ley que integran el régimen sucesorio de los títulos nobiliarios, dispuesto por el Derecho histórico preconstitucional vigente -art. 1 de la Ley de 4 de mayo de 1948, art. 5 del Decreto de 4 de junio de 1948, art. 13 de la Ley desvinculadora de 27 de septiembre, 11 de octubre de 1820, Leyes 8 y 9 del Título XVII del Libro X de la Novísima Recopilación y Ley 2 del Título XV de la Partida II-, por posible infracción del art. 14 C.E.". Pues "al disponer la preferencia del varón sobre la mujer, en igualdad de línea y grado, para osten</w:t>
      </w:r>
      <w:r>
        <w:lastRenderedPageBreak/>
        <w:t>tar mejor derecho a poseer las dignidades nobiliarias en el orden regular de sucesión", dicha normativa "puede infringir o no el principio de no discriminación por razón de sexo, que proclama el art. 14 C.E.". De suerte que si la legislación histórica antes mencionada es ajustada a la Constitución ello supondrá, a juicio de la Audiencia Provincial "el rechazo del recurso de apelación y confirmación de la Sentencia apelada, mientras que su inconstitucionalidad sobrevenida determinará la revocación de la misma y, previa estimación total de la demanda, el reconocimiento del mejor derecho de la actora a poseer los títulos nobiliarios" (fundamento jurídico 4º del Auto de planteamiento).</w:t>
      </w:r>
    </w:p>
    <w:p w:rsidR="006854DA" w:rsidRDefault="006854DA" w:rsidP="006854DA">
      <w:pPr>
        <w:pStyle w:val="TextoNormal"/>
      </w:pPr>
    </w:p>
    <w:p w:rsidR="006854DA" w:rsidRDefault="006854DA" w:rsidP="006854DA">
      <w:pPr>
        <w:pStyle w:val="TextoNormal"/>
      </w:pPr>
      <w:r w:rsidRPr="006854DA">
        <w:rPr>
          <w:rStyle w:val="NumeroAFNegritaCaracter"/>
        </w:rPr>
        <w:t>2</w:t>
      </w:r>
      <w:r>
        <w:t>. Así expuesto el objeto de la presente cuestión, ha de indicarse que, si bien para el Abogado del Estado existe una duda de inconstitucionalidad que "presta base más que suficiente al planteamiento", el Fiscal General del Estado, por el contrario, ha solicitado su desestimación en este trámite, "por falta de requisitos procesales y ser notoriamente infundado su planteamiento".  Lo que requiere que esta objeción sea examinada con carácter previo, ya que si fuera apreciada ello excluiría lógicamente cualquier consideración ulterior, por faltar los presupuestos procesales que la Ley Orgánica del Tribunal Constitucional exige para el conocimiento de la cuestión por este Tribunal (SSTC 186/1990 y 6/1991, entre otras). Pues la evidente razón de ser de estos presupuestos radica, precisamente, "en la necesidad de asegurar que aquéllas (las cuestiones de inconstitucionalidad) sirven estrictamente a su finalidad, y el control de admisibilidad que este Tribunal ha de ejercer es el medio indispensable para verificar la existencia de esos requisitos", como hemos declarado desde la STC 17/1981, fundamento jurídico 1º.</w:t>
      </w:r>
    </w:p>
    <w:p w:rsidR="006854DA" w:rsidRDefault="006854DA" w:rsidP="006854DA">
      <w:pPr>
        <w:pStyle w:val="TextoNormal"/>
      </w:pPr>
      <w:r>
        <w:t>Esta preservación de la finalidad esencial de las cuestiones de inconstitucionalidad es la que parece guiar la objeción del Fiscal General del Estado, pues tras citar la anterior decisión y otras posteriores [STC 222/1992, fundamento jurídico 2º b) y AATC 296/1992 y 312/1992] ha sostenido que el art. 35.1 en relación con el art. 37.1 LOTC permiten inadmitir una cuestión por ser notoriamente infundada cuando el órgano jurisdiccional, como a su juicio aquí ocurre, dirige su razonamiento a explicar que no existe oposición entre los preceptos históricos que regulan la sucesión regular en los títulos nobiliarios y el art. 14 C.E. De lo que a su entender resulta una clara desconexión entre la naturaleza y fines perseguidos mediante el planteamiento de la cuestión y el concreto caso que nos ocupa, ya que si el Tribunal a quo consideró que las normas cuestionadas no son contrarias a la Constitución debió limitarse a aplicarlas, como hizo la Juez de instancia.  Mientras que de la lectura del Auto de planteamiento se desprende la impresión de que la Sala pretende "obtener de este Tribunal una respuesta a una consulta sobre la constitucionalidad de unas normas, sin un sustrato de duda en cuanto a su oposición con la Constitución".</w:t>
      </w:r>
    </w:p>
    <w:p w:rsidR="006854DA" w:rsidRDefault="006854DA" w:rsidP="006854DA">
      <w:pPr>
        <w:pStyle w:val="TextoNormal"/>
      </w:pPr>
      <w:r>
        <w:t>Más concretamente, se ha alegado que si bien el Auto de planteamiento, como sostén para deferir la cuestión a este Tribunal "desliza la palabra duda sobre la constitucionalidad del derecho histórico", lo cierto es que "toda la batería argumental" va orientada a desconectar la legislación aplicable del derecho a la igualdad, y ello, a su entender, se desprende de cuatro datos presentes en dicha resolución judicial indicados en el punto III.2 de su escrito. Por lo que su conclusión es, como antes se ha dicho, que la Sala pretende obtener de este Tribunal una respuesta a "una consulta sobre la constitucionalidad de unas normas sin un sustrato de duda en cuanto a su oposición a la Constitución".  Reprochando al Auto de planteamiento de la presente cuestión que contenga una motivación "sólo orientada a sostener la constitucionalidad de una de las interpretaciones posibles". Supuesto en el que hemos dicho que la cuestión planteada no sería admisible, ya que supondría utilizarla con un carácter consultivo, para despejar las dudas no sobre la constitucionalidad de un pre</w:t>
      </w:r>
      <w:r>
        <w:lastRenderedPageBreak/>
        <w:t>cepto legal, sino sobre cuál fuera, entre las varias posibles, su interpretación y aplicación más acomodada a la Constitución [STC 222/1992, fundamento jurídico 2º b), con cita de la STC 157/1990, fundamento jurídico 2º].</w:t>
      </w:r>
    </w:p>
    <w:p w:rsidR="006854DA" w:rsidRDefault="006854DA" w:rsidP="006854DA">
      <w:pPr>
        <w:pStyle w:val="TextoNormal"/>
      </w:pPr>
    </w:p>
    <w:p w:rsidR="006854DA" w:rsidRDefault="006854DA" w:rsidP="006854DA">
      <w:pPr>
        <w:pStyle w:val="TextoNormal"/>
      </w:pPr>
      <w:r w:rsidRPr="006854DA">
        <w:rPr>
          <w:rStyle w:val="NumeroAFNegritaCaracter"/>
        </w:rPr>
        <w:t>3</w:t>
      </w:r>
      <w:r>
        <w:t>. La anterior doctrina, sin embargo, no es en modo alguno aplicable al presente caso, dado que el órgano jurisdiccional no pretende aclarar una duda de interpretación sin relevancia constitucional (STC 157/1990). En primer lugar, al ser normas preconstitucionales las que estima aplicables, la Sala, con apoyo en la STC 4/1981, ha hecho en el fundamento jurídico 5º del Auto de planteamiento una distinción entre el supuesto en que un órgano jurisdiccional tenga certeza de que la norma cuestionada es contraria a la Constitución, en cuyo caso deberá inaplicarla, y aquél en que existe una duda, en el que puede someter a este Tribunal el problema de interpretación constitucional. Y si la primera vía ha sido la seguida por la Juez en la Sentencia de instancia, la Sala, en cambio, manifiesta que ha optado por la segunda, al estar confrontada, de un lado, con la respuesta negativa al problema de constitucionalidad que aquella resolución judicial ofrece y, de otro lado, la contenida en la doctrina de la Sala Primera del Tribunal Supremo, de carácter positivo. De suerte que la duda sobre el problema de constitucionalidad se ha planteado en atención a los dos términos o soluciones contradictorias con los que se enfrenta para decidir sobre la apelación y confirmar o revocar la Sentencia de instancia. Lo que se evidencia claramente en la conclusión del fundamento jurídico 4º del Auto de planteamiento de la cuestión, que antes se ha transcrito, y se reitera en el inicio de su fundamento jurídico 6º, al afirmar que "la duda de constitucionalidad objeto de la cuestión se circunscribe a determinar la vigencia o derogación, por inconstitucionalidad sobrevenida, del principio de masculinidad o varonía, establecido por la legislación histórica como criterio preferente para el llamamiento en la sucesión regular de títulos nobiliarios, según sea o no de aplicación a esta institución el principio de no discriminación, proclamado en el art. 14 C.E.".</w:t>
      </w:r>
    </w:p>
    <w:p w:rsidR="006854DA" w:rsidRDefault="006854DA" w:rsidP="006854DA">
      <w:pPr>
        <w:pStyle w:val="TextoNormal"/>
      </w:pPr>
      <w:r>
        <w:t>El razonamiento del Auto que promueve la presente cuestión, cierto es, no está dirigido enteramente a justificar la inconstitucionalidad de la mencionada regla de la legislación histórica sobre sucesión regular en los títulos nobiliarios. Pero no cabe reprocharle, sin embargo, que en lugar de una certeza haya planteado una duda sobre la constitucionalidad de dicha legislación preconstitucional a partir de dos términos o soluciones contradictorias y que haya razonado la duda aportando distintos elementos en sus fundamentos jurídicos 6º y 7º. Pues si los arts. 163 C.E. y 35.1 LOTC condicionan el planteamiento de la cuestión de inconstitucionalidad al hecho de que el órgano jurisdiccional considere que la norma aplicable al caso "pueda ser contraria a la Constitución", su mismo tenor literal permite que el juzgador se limite a expresar una duda razonable. Y así hemos dicho tempranamente que la regulación constitucional y legal de las cuestiones "no impone a aquél (el órgano jurisdiccional) una afirmación de inconstitucionalidad y permite que el planteamiento se haga en los casos de duda, de indeterminación entre dos juicios contradictorios", siempre que se exteriorice el razonamiento que cuestiona la constitucionalidad y se proporcionen los elementos que llevan al mismo (STC 17/1981, fundamento jurídico 1º), como aquí ocurre.</w:t>
      </w:r>
    </w:p>
    <w:p w:rsidR="006854DA" w:rsidRDefault="006854DA" w:rsidP="006854DA">
      <w:pPr>
        <w:pStyle w:val="TextoNormal"/>
      </w:pPr>
      <w:r>
        <w:t xml:space="preserve">En segundo término, tampoco cabe estimar que la motivación del Auto de planteamiento esté exclusivamente orientada a sostener la constitucionalidad de uno de los dos términos o soluciones contradictorias con los que manifiesta la duda. Pues frente a lo alegado por el Fiscal General del Estado cabe observar, de un lado, que todos los datos indicados en apoyo de esta objeción se contienen únicamente en los fundamentos jurídicos 6º y 7º de dicho Auto, y, por tanto, se prescinde enteramente de los razonamientos en los anteriores. </w:t>
      </w:r>
      <w:r>
        <w:lastRenderedPageBreak/>
        <w:t>De otro, que la Sala se ha limitado a aportar, en correspondencia con su planteamiento inicial, los elementos contradictorios que vienen a configurar una duda y no una certeza de inconstitucionalidad, como antes se ha dicho, haciendo referencia a la doctrina sentada por la Sala Primera del Tribunal Supremo, a las discrepancias con ésta de una parte de la doctrina científica y del Consejo de Estado, a la que se califica de "diferente concepción" sobre los títulos nobiliarios que tienen aquel órgano jurisdiccional y este Tribunal; citando, por último, una parte del razonamiento de la Sentencia de instancia. Y si bien es cierto que, tras exponer esos datos, la Sala hace ciertas afirmaciones favorables a la constitucionalidad de las normas cuestionadas, ha de recordarse que cuando menos son irrelevantes para promover una cuestión de inconstitucionalidad "cualesquiera indicaciones o sugerencias sobre la interpretación conforme a la Constitución del precepto legal cuestionado" y, si se han hecho, ello no es razón bastante para decretar su inadmisibilidad [STC 222/1992, fundamento jurídico 2º b)]. Pues este Tribunal ha declarado reiteradamente que ha de procederse a una interpretación no formalista y flexible de los requisitos del art. 35 LOTC, para que las cuestiones planteadas por los órganos jurisdiccionales sean resueltas mediante Sentencia y así se pueda contribuir a la depuración del ordenamiento jurídico mediante una eficaz cooperación entre aquéllos y este Tribunal (STC 54/1983 y, entre otras, SSTC 76/1990, 142/1990 y 301/1993). Por lo que ha de rechazarse, en definitiva, la objeción formulada por el Fiscal General del Estado.</w:t>
      </w:r>
    </w:p>
    <w:p w:rsidR="006854DA" w:rsidRDefault="006854DA" w:rsidP="006854DA">
      <w:pPr>
        <w:pStyle w:val="TextoNormal"/>
      </w:pPr>
    </w:p>
    <w:p w:rsidR="006854DA" w:rsidRDefault="006854DA" w:rsidP="006854DA">
      <w:pPr>
        <w:pStyle w:val="TextoNormal"/>
      </w:pPr>
      <w:r w:rsidRPr="006854DA">
        <w:rPr>
          <w:rStyle w:val="NumeroAFNegritaCaracter"/>
        </w:rPr>
        <w:t>4</w:t>
      </w:r>
      <w:r>
        <w:t>. No obstante, antes de entrar en el examen de la duda de inconstitucionalidad aún es preciso considerar dos extremos, presentes en el Auto de planteamiento, que son susceptibles de condicionar la admisibilidad de la presente cuestión.</w:t>
      </w:r>
    </w:p>
    <w:p w:rsidR="006854DA" w:rsidRDefault="006854DA" w:rsidP="006854DA">
      <w:pPr>
        <w:pStyle w:val="TextoNormal"/>
      </w:pPr>
      <w:r>
        <w:t>A) En primer lugar, del fundamento jurídico 3º en relación con los antecedentes 5º y 6º de dicha resolución judicial se desprende con claridad que la providencia de la Sala de 20 de noviembre de 1995, por la que se abrió el trámite de audiencia previsto en el art. 35.2 LOTC, no individualizó las normas con rango de ley aplicables al caso, aunque luego lo haya hecho en el fundamento jurídico 2º del Auto de planteamiento de la cuestión. Habiéndose limitado la Sala a indicar a las partes en el proceso a quo y al Ministerio Fiscal que alegasen lo pertinente en orden a plantear cuestión de inconstitucionalidad sobre la posibilidad constitucional de pervivencia, tras la entrada en vigor de la Constitución, "del régimen de sucesión de títulos nobiliarios establecido como orden regular de sucesión, dispuesto por el Derecho histórico preconstitucional vigente, al imponer, en los casos de igualdad de línea o grado, la preferencia del varón sobre la mujer... o, por el contrario, si esta preferencia ha de entenderse abrogada y derogada, a tenor de la Disposición derogatoria tercera de la Constitución Española, por violación del art. 14 de la misma...". Omisión que fue denunciada por el Ministerio Fiscal en aquel trámite, al alegar que la Sala sólo había hecho "una referencia vaga" al régimen de sucesión de los títulos nobiliarios en el orden regular "dispuesto por el derecho histórico preconstitucional vigente".</w:t>
      </w:r>
    </w:p>
    <w:p w:rsidR="006854DA" w:rsidRDefault="006854DA" w:rsidP="006854DA">
      <w:pPr>
        <w:pStyle w:val="TextoNormal"/>
      </w:pPr>
      <w:r>
        <w:t>Admitida tal omisión, ha de recordarse que este Tribunal ha puesto reiteradamente de relieve que no cabe minimizar la importancia de la audiencia prevista en el art. 35.2 LOTC. Esta, en efecto, no sólo garantiza que las partes sean oídas ante una decisión judicial de tanta entidad como abrir un proceso constitucional, sino que pone a disposición del órgano jurisdiccional un medio que le permite conocer la opinión de los sujetos interesados con el fin de facilitar la reflexión sobre la conveniencia o no de instar la apertura de dicho proceso. Pues para cumplir este doble objetivo las alegaciones han de versar, de un lado, sobre la vinculación entre la norma citada por el órgano judicial como cuestionable y los supuestos de hecho que se dan en el caso sometido y, de otro, sobre el juicio de con</w:t>
      </w:r>
      <w:r>
        <w:lastRenderedPageBreak/>
        <w:t>formidad entre la norma y la Constitución (STC 166/1986, fundamento jurídico 4º). Por lo que hemos declarado, en segundo término, que una referencia a un grupo de normas "por entero indeterminada, no puede sustituir a la concreta individualización ante las partes y el Ministerio Fiscal de los preceptos cuestionados", al ser doctrina reiterada la que excluye que en esta resolución puedan citarse, como objeto de la cuestión, disposiciones legales cuya eventual inconstitucionalidad no fue sometida a la previa consideración de las partes y del Ministerio Fiscal [STC 114/1994, fundamento jurídico 2º c), con cita de las SSTC 25/1985 y 83/1993].</w:t>
      </w:r>
    </w:p>
    <w:p w:rsidR="006854DA" w:rsidRDefault="006854DA" w:rsidP="006854DA">
      <w:pPr>
        <w:pStyle w:val="TextoNormal"/>
      </w:pPr>
      <w:r>
        <w:t>Ello implica, dicho en otros términos, que el órgano judicial "no puede cuestionar otros preceptos legales distintos de aquéllos que sometió a la consideración de las partes" [STC 84/1993, fundamento jurídico 1º b), con referencia a las SSTC 21/1985 y 153/1986], dado que la finalidad de esta exigencia es la de garantizar que en el Auto que plantea la cuestión no se introduzcan elementos nuevos que los sujetos interesados en el proceso no han podido previamente conocer ni, por ello, apreciar o impugnar su relevancia para el planteamiento de la cuestión, privándose así al órgano judicial de la opinión de aquéllos y no facilitándose su reflexión sobre los mismos. Lo que es susceptible de desvirtuar el trámite de audiencia que garantiza el art.  35.2 LOTC.</w:t>
      </w:r>
    </w:p>
    <w:p w:rsidR="006854DA" w:rsidRDefault="006854DA" w:rsidP="006854DA">
      <w:pPr>
        <w:pStyle w:val="TextoNormal"/>
      </w:pPr>
      <w:r>
        <w:t>Sin embargo, no es esto lo que acontece en el presente caso, pues basta observar que si bien la providencia de la Sala hizo referencia, genéricamente, al régimen de la sucesión regular en los títulos nobiliarios establecido por el Derecho histórico, sí concretó que lo cuestionado de dicha normativa era "imponer, en los casos de igualdad de línea o grado, la preferencia del varón sobre la mujer"; dato que en aquel trámite fue soslayado por el Ministerio Fiscal. Y esa concreción se ha trasladado luego, con similares términos, al fundamento jurídico 4º del Auto de planteamiento, donde lo que se cuestiona es "la constitucionalidad o no de la legislación histórica, al disponer la preferencia del varón sobre la mujer, en igualdad de línea y grado...", tras haber identificado en el fundamento jurídico 2º los preceptos que a su entender configuran esa legislación. La posible indeterminación sólo es, pues, relativa, ya que las partes han podido conocer el planteamiento de constitucionalidad realizado por la Sala y, atendidas las circunstancias del caso, situarlo en sus exactos términos y oponerse o no al mismo (STC 41/1990, fundamento jurídico 3º). De lo que resulta, en definitiva, que esta resolución judicial no ha cuestionado la constitucionalidad de ningún precepto legal distinto del previamente sometido a la consideración de las partes y del Ministerio Fiscal.</w:t>
      </w:r>
    </w:p>
    <w:p w:rsidR="006854DA" w:rsidRDefault="006854DA" w:rsidP="006854DA">
      <w:pPr>
        <w:pStyle w:val="TextoNormal"/>
      </w:pPr>
      <w:r>
        <w:t>B) En segundo término, la Sala ha promovido la presente cuestión de inconstitucionalidad en un proceso civil en el cual ya ha recaído Sentencia en primera instancia. Con la particularidad de haber desestimado esta resolución judicial la pretensión de la parte actora con una fundamentación jurídica sobre la regla de masculinidad o varonía en la sucesión regular de los títulos nobiliarios de nuestra legislación histórica, tras contrastarla con el art. 14 C.E., que se aparta de la doctrina sentada por la Sala Primera del Tribunal Supremo a partir de las Sentencias de 28 de abril y 21 de diciembre de 1989 y 22 de marzo de 1991 (pues como ha precisado la de la misma Sala de 4 de abril de 1995, fundamento jurídico 4º, si el conjunto de reflexiones formuladas en aquellas decisiones pueden constituir la ratio decidendi del caso, las manifestaciones hechas en las Sentencias de 7 de julio de 1986, 20 de junio y 27 de julio de 1987 "vinieron a representar, más bien, obiter dicta").</w:t>
      </w:r>
    </w:p>
    <w:p w:rsidR="006854DA" w:rsidRDefault="006854DA" w:rsidP="006854DA">
      <w:pPr>
        <w:pStyle w:val="TextoNormal"/>
      </w:pPr>
      <w:r>
        <w:t xml:space="preserve">Dato que enlaza con una observación del Fiscal General del Estado, formulada en el contexto de la objeción que antes se ha rechazado: que la Sala ha promovido la presente cuestión cuando, por ser preconstitucionales las normas que estima aplicables al caso, hubiera debido dictar Sentencia si no dudaba de la constitucionalidad de dicha regla de la </w:t>
      </w:r>
      <w:r>
        <w:lastRenderedPageBreak/>
        <w:t>legislación histórica, abriendo así a la parte vencida en el fallo el recurso de casación. Por lo que cabría entender que la Sala, al no hacerlo así, pretende cuestionar ante este Tribunal la doctrina previamente sentada por el órgano jurisdiccional superior en similares supuestos, desvirtuando el sentido y la finalidad del proceso constitucional. Sin embargo, tal objeción no sería aplicable al presente caso.</w:t>
      </w:r>
    </w:p>
    <w:p w:rsidR="006854DA" w:rsidRDefault="006854DA" w:rsidP="006854DA">
      <w:pPr>
        <w:pStyle w:val="TextoNormal"/>
      </w:pPr>
      <w:r>
        <w:t>En cuanto a su presupuesto, ha de recordarse que este Tribunal ha declarado con reiteración que el carácter preconstitucional de la norma legal cuestionada, por sí mismo, no impone en modo alguno que la Sala debiera haberse abstenido de plantear la cuestión de inconstitucionalidad, ya que el órgano jurisdiccional puede examinar y resolver la eventual contradicción con el ordenamiento constitucional posterior de una norma anterior a la Constitución, pero también puede optar por deferir la cuestión a esta jurisdicción constitucional (SSTC 17/1981, 83/1984, 155/1987 y 105/1988, entre otras). Por lo que no cabe reprocharle que haya elegido la segunda y no la primera de estas vías, al margen de que las razones de su elección han sido expuestas detenidamente en el fundamento jurídico 5º del Auto de planteamiento.</w:t>
      </w:r>
    </w:p>
    <w:p w:rsidR="006854DA" w:rsidRDefault="006854DA" w:rsidP="006854DA">
      <w:pPr>
        <w:pStyle w:val="TextoNormal"/>
      </w:pPr>
      <w:r>
        <w:t>De otra parte, el reproche sólo estaría justificado si la presente cuestión de inconstitucionalidad fuera similar por su contenido a la examinada en la STC 114/1994, fundamento jurídico 2º b), pues allí se planteó no sólo respecto a un precepto legal sino además frente a una resolución dictada por otro órgano jurisdiccional jerárquicamente superior, por estimarse que al no ser ésta susceptible de ulterior recurso se erigía "materialmente en la norma básica para resolver el proceso". Y entonces hemos declarado que ello vendría a extender indebidamente el ámbito de este cauce de control de la constitucionalidad dado que "su finalidad no es en modo alguno la de resolver controversias interpretativas sobre la legalidad entre órganos jurisdiccionales o dudas sobre el alcance de determinado precepto legal (SSTC 157/1990, 222/1992 y 238/1992)". En el presente caso, sin embargo, la Sala no cuestiona con carácter autónomo las resoluciones del Tribunal Supremo sino ciertos preceptos del Derecho histórico; constatación que por sí sola excluye el eventual reproche. De otro lado, tampoco se suscita aquí una controversia interpretativa sobre la legalidad ordinaria, sino la confrontación con el art.  14 C.E. de dichos preceptos.  Si bien la particularidad del presente caso radica en que el Tribunal Supremo ya se ha pronunciado sobre la no conformidad de los mismos con el principio de igualdad que la Constitución reconoce. Lo que aconseja hacer ciertas consideraciones adicionales en relación con este último punto.</w:t>
      </w:r>
    </w:p>
    <w:p w:rsidR="006854DA" w:rsidRDefault="006854DA" w:rsidP="006854DA">
      <w:pPr>
        <w:pStyle w:val="TextoNormal"/>
      </w:pPr>
    </w:p>
    <w:p w:rsidR="006854DA" w:rsidRDefault="006854DA" w:rsidP="006854DA">
      <w:pPr>
        <w:pStyle w:val="TextoNormal"/>
      </w:pPr>
      <w:r w:rsidRPr="006854DA">
        <w:rPr>
          <w:rStyle w:val="NumeroAFNegritaCaracter"/>
        </w:rPr>
        <w:t>5</w:t>
      </w:r>
      <w:r>
        <w:t>. La particularidad que se acaba de indicar ha de ser apreciada en el marco de las relaciones que nuestra Norma fundamental ha establecido en materia de garantías constitucionales entre los órganos jurisdiccionales y este Tribunal.  A cuyo fin constituye un dato esencial la precisión de la naturaleza y finalidad y, por consiguiente, del ámbito de nuestra jurisdicción en los distintos procesos constitucionales establecidos en los arts. 161 y 163 C.E.  (STC 114/1995, fundamento jurídico 2º).</w:t>
      </w:r>
    </w:p>
    <w:p w:rsidR="006854DA" w:rsidRDefault="006854DA" w:rsidP="006854DA">
      <w:pPr>
        <w:pStyle w:val="TextoNormal"/>
      </w:pPr>
      <w:r>
        <w:t xml:space="preserve">Así, en el ámbito de la jurisdicción de amparo la decisión que se acaba de citar desestimó un recurso por "falta de jurisdicción o competencia" de este Tribunal (art. 4.2 LOTC), tras reiterar en su fundamento jurídico 2º que este proceso constitucional "no es una vía procesal adecuada para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52/1992, fundamento jurídico 1º y </w:t>
      </w:r>
      <w:r>
        <w:lastRenderedPageBreak/>
        <w:t>167/1986, fundamento jurídico 4º)". Llegando a la conclusión de que el recurso de amparo, tal y como lo configuran la Constitución y nuestra Ley Orgánica, no permite, en contra de lo que en aquel caso entendía el demandante, "revisar lo que se expone como una 'aplicación indebida' del art.  14 C.E. por parte del Tribunal Supremo al confirmar éste las resoluciones de los órganos inferiores a partir del reconocimiento de la presencia de un supuesto de discriminación por razón de sexo".</w:t>
      </w:r>
    </w:p>
    <w:p w:rsidR="006854DA" w:rsidRDefault="006854DA" w:rsidP="006854DA">
      <w:pPr>
        <w:pStyle w:val="TextoNormal"/>
      </w:pPr>
      <w:r>
        <w:t>Es, pues, el correcto entendimiento del ámbito de la jurisdicción de amparo lo que llevó a este Tribunal a inadmitir la demanda sin entrar en el examen de aquellos argumentos en los que se pretendía fundar, con invocación del art. 14 C.E., la posibilidad constitucional de pervivencia, tras la entrada en vigor de la Constitución, del régimen de sucesión de los títulos nobiliarios en relación con el mismo extremo que ahora plantea la Audiencia de Madrid, esto es, la regla de masculinidad o varonía, en igualdad de línea y grado. Por lo que hemos dejado imprejuzgada esta cuestión y excluido asimismo una respuesta a este mismo planteamiento cuando se presentaba apoyado en nuestra propia doctrina, singularmente la contenida en las SSTC 27/1982 y 155/1987, según se consigna en el fundamento jurídico 3º de la mencionada STC 114/1995.</w:t>
      </w:r>
    </w:p>
    <w:p w:rsidR="006854DA" w:rsidRDefault="006854DA" w:rsidP="006854DA">
      <w:pPr>
        <w:pStyle w:val="TextoNormal"/>
      </w:pPr>
      <w:r>
        <w:t>Sin embargo, ello no puede sorprender, dado el carácter subsidiario del recurso de amparo y las relaciones entre la jurisdicción ordinaria y la jurisdicción constitucional. Pues como hemos dicho en esta última decisión, normalmente será posible que la primera corrija la vulneración de un derecho o libertad a los que el art. 53.2 C.E. se refiere, sin que se haga preciso llegar hasta este Tribunal.  Y en otros concretos casos, la segunda no podrá pronunciarse "por carecer de cauce para hacerlo, por lo que, en ellos, la última decisión sobre la interpretación de los preceptos constitucionales implicados la asume la jurisdicción ordinaria y, en su caso, el Tribunal Supremo, 'superior en todos los órdenes salvo lo dispuesto en materia de garantías constitucionales' (art. 123.1 C.E.)". De manera que en tales supuestos es posible preguntarse, en los términos de la citada STC 114/1995, "qué es lo que este Tribunal hubiera hecho o dicho".</w:t>
      </w:r>
    </w:p>
    <w:p w:rsidR="006854DA" w:rsidRDefault="006854DA" w:rsidP="006854DA">
      <w:pPr>
        <w:pStyle w:val="TextoNormal"/>
      </w:pPr>
      <w:r>
        <w:t>La intervención de este Tribunal, por tanto, requiere no sólo la existencia de un problema de constitucionalidad, es decir, de interpretación de los preceptos de la Constitución, sino que tal interpretación tenga abierto el acceso al mismo dentro del ámbito de su jurisdicción en los distintos procesos constitucionales. De manera que si el ámbito de uno de ellos le impide pronunciarse, como ocurría en el caso de la STC 114/1995 respecto al proceso de amparo, ello no excluye que el mismo problema interpretativo pueda llegar ante este Tribunal por otro cauce procesal distinto; y en tal caso, siempre que tenga jurisdicción respecto a este proceso, como intérprete supremo de la Constitución (art. 1 LOTC) "le corresponderá decir la última palabra sobre la interpretación de la misma" (Ibid., fundamento jurídico 2º). Situación que es precisamente la que aquí concurre, ya que la mencionada STC 114/1995 dejó imprejuzgado el mismo problema de interpretación en relación con el art. 14 C.E. que ahora suscita la Audiencia Provincial de Madrid, como antes se ha dicho. De suerte que al haberse suscitado una duda de inconstitucionalidad por el mencionado órgano jurisdiccional hemos de pronunciarnos en este proceso constitucional sobre dicha cuestión si no fuere notoriamente infundada (art.  37.1 C.E.)  y cumple con la triple exigencia de referirse a preceptos de rango legal, aplicables al caso y de cuya validez depende el fallo (art. 35.1 LOTC).</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Los preceptos individualizados en el Auto de planteamiento como aplicables al caso ponen de relieve otra particularidad del problema de constitucionalidad que ha suscitado la Sala. Cabe observar, en efecto, que si todos son anteriores a nuestra Constitución, uno de </w:t>
      </w:r>
      <w:r>
        <w:lastRenderedPageBreak/>
        <w:t>ellos (el art. 13 del Decreto de las Cortes de 27 de septiembre de 1820, "publicado en las mismas como Ley de 11 de octubre del mismo año", según se expresa en el art. 1 del Real Decreto de 30 de agosto de 1836, por el que se restableció su vigencia) pertenece al período de tránsito del Antiguo Régimen al régimen constitucional en España. Y otros, los de la Novísima Recopilación, Libro X, Título XVII, Leyes 8 y 9 (en adelante, Novísima Recopilación 10.17.8 y 9) y el del Código de las Siete Partidas, la Partida II, Título XV, Ley 2 (en adelante, Partida 2.15.2) son legislación histórica de la Monarquía española de la Edad Moderna (pues la Ley 8 de la Novísima contiene la Pragmática del Rey Felipe III dada en Madrid el 15 de abril de 1615 y la Ley 9 la Pragmática del mismo Rey también dada en Madrid el 5 de abril de ese año) y de la Baja Edad Media. Por lo que, en atención a los preceptos cuestionados, el dato histórico aparece como uno de los factores relevantes para nuestro enjuiciamiento, aunque también suscite, en contrapartida, algunos problemas.</w:t>
      </w:r>
    </w:p>
    <w:p w:rsidR="006854DA" w:rsidRDefault="006854DA" w:rsidP="006854DA">
      <w:pPr>
        <w:pStyle w:val="TextoNormal"/>
      </w:pPr>
      <w:r>
        <w:t>A) Los intervinientes en este proceso no han objetado que los preceptos cuestionados, pese a su carácter de Derecho histórico, tengan rango legal, aunque el Abogado del Estado excepciona de esta calificación el art. 5 del Decreto de 4 de junio de 1948.  Alegación que ha de compartirse, pues, si bien el art. 1 de la Ley de 4 de junio de 1948 extiende la eficacia derogatoria de disposiciones anteriores no sólo a lo en ella establecido sino a los "Decretos que la complementen" -y el aquí considerado lo es, como claramente pone de relieve el art. 1 de dicho Decreto-, en realidad no por ello adquiere rango legal, pues sólo viene a desarrollar, por vía reglamentaria, lo dispuesto en aquella Ley. Por lo que ha de ser excluido de nuestro enjuiciamiento.</w:t>
      </w:r>
    </w:p>
    <w:p w:rsidR="006854DA" w:rsidRDefault="006854DA" w:rsidP="006854DA">
      <w:pPr>
        <w:pStyle w:val="TextoNormal"/>
      </w:pPr>
      <w:r>
        <w:t>La vigencia del Código de las Siete Partidas y, en concreto, la Partida 2.15.2, podría suscitar, en cambio, mayores problemas dado que a partir de la tercera redacción, entre 1295 y 1312, se modificó tanto su contenido como su finalidad originaria de constituir una ley general para el Reino; por lo que el "Libro de las leyes" dejó de ser aplicado incluso en el Tribunal de la Corte, en beneficio del Fuero Real. Pero la duda se despeja, de un lado, por haber adquirido expresa vigencia los "libros de Partidas" en virtud de la Ley 1, Título XXVIII, del Ordenamiento de leyes dado por el Rey Alfonso XI en las Cortes de Alcalá de 1348, en el orden de prelación de fuentes allí establecido y que se mantiene inalterado hasta el siglo XIX. De otro, por haber sido considerada como Derecho en vigor a lo largo de este siglo por la jurisprudencia del Tribunal Supremo. Y en cuanto a su vigencia actual basta observar que en el período de tránsito del Antiguo Régimen al Estado liberal la Ley de 11 de octubre de 1820 se remitió al Derecho histórico al declarar en su art. 13 que "los títulos, prerrogativas de honor y cualesquiera otras preeminencias de esta clase" que los poseedores actuales de los mayorazgos y otras vinculaciones suprimidas por el art. 1 "disfrutan como anejas a ellas, subsistirán en el mismo pie y seguirán el orden de sucesión prescrito en las concesiones, escrituras de fundación y otros documentos de procedencia"; y la vigencia de esta disposición fue restablecida, como se ha dicho, por Decreto de las Cortes de 30 de agosto de 1836. Más tarde, tras el Decreto de 25 de mayo de 1873 por el que el Gobierno de la República acordó no conceder en lo sucesivo títulos de nobleza, el art. 1 del Decreto de 25 de junio de 1874 lo dejó sin efecto, afirmando que "se declara subsistente en su fuerza y vigor la legislación vigente a la publicación de aquel Decreto". Y otro tanto ocurre, por último, con posterioridad a la Constitución de 1931 dado que el art. 1 de la mencionada Ley de 4 de mayo de 1948 prescribe que "se restablecen... las disposiciones vigentes hasta el 14 de abril de 1931 sobre concesión, rehabilitación y transmisión de Grandezas y Títulos del Reino...".</w:t>
      </w:r>
    </w:p>
    <w:p w:rsidR="006854DA" w:rsidRDefault="006854DA" w:rsidP="006854DA">
      <w:pPr>
        <w:pStyle w:val="TextoNormal"/>
      </w:pPr>
      <w:r>
        <w:t xml:space="preserve">B) Tampoco se ha objetado la aplicación al caso de dichos preceptos, si bien ha de señalarse que el Abogado del Estado, tras un detenido examen histórico, ha estimado que la </w:t>
      </w:r>
      <w:r>
        <w:lastRenderedPageBreak/>
        <w:t>regla de masculinidad o varonía en el orden regular de sucesión de los títulos nobiliarios se deriva, en concreto, de la Partida 2.15.2 y que su aplicación está justificada no sólo por la directa relación entre la sucesión en la Corona y el orden regular de la transmisión post mortem de estas mercedes en el Antiguo Régimen, como evidencia la doctrina más autorizada, sino también a tenor de una reiterada jurisprudencia del Tribunal Supremo anterior a 1987, aunque este entendimiento se haya modificado en algunas decisiones posteriores.</w:t>
      </w:r>
    </w:p>
    <w:p w:rsidR="006854DA" w:rsidRDefault="006854DA" w:rsidP="006854DA">
      <w:pPr>
        <w:pStyle w:val="TextoNormal"/>
      </w:pPr>
      <w:r>
        <w:t>En relación con este extremo, ha de recordarse que sólo cuando de manera evidente la norma cuestionada sea, según principios básicos, inaplicable al caso, cabrá declarar inadmisible por esta razón la cuestión de inconstitucionalidad planteada (SSTC 17/1981 y 341/1993). Y al respecto basta señalar que en la Partida 2.15.2 se recogen, en efecto, los principios de primogenitura, masculinidad y representación de los que deriva la regla de preferencia del varón, en igualdad de línea y grado, que se cuestiona en este proceso; pues si inicialmente dispone que "el señorío del Reino non lo oviesse sinon el fijo mayor después de la muerte de su padre", se agrega seguidamente que</w:t>
      </w:r>
    </w:p>
    <w:p w:rsidR="006854DA" w:rsidRDefault="006854DA" w:rsidP="006854DA">
      <w:pPr>
        <w:pStyle w:val="TextoNormal"/>
      </w:pPr>
      <w:r>
        <w:t>"...el señorío del Reino heredassen siempre aquellos que viniessen por la liña derecha. E por ende establecieron, que si fijo varón y non oviesse, la fija mayor heredasse el Reino. E aun mandaron, que si el fijo mayor muriesse ante que heredasse, si dexasse fijo o fija que oviesse de su muger legítima, que aquel o aquella lo oviesse, e non otro ninguno".</w:t>
      </w:r>
    </w:p>
    <w:p w:rsidR="006854DA" w:rsidRDefault="006854DA" w:rsidP="006854DA">
      <w:pPr>
        <w:pStyle w:val="TextoNormal"/>
      </w:pPr>
      <w:r>
        <w:t>Conclusión que se corrobora en la jurisprudencia de la Sala Primera del Tribunal Supremo, al configurar el orden regular de la transmisión post mortem de los títulos nobiliarios "con arreglo a los principios clásicos de primogenitura, masculinidad y representación, conjugados con los siguientes criterios preferenciales: en primer lugar, el grupo parental formado por los descendientes prefiere y excluye al de los ascendientes y el de estos a los colaterales; en segundo lugar, la línea anterior prefiere y excluye a las posteriores; en tercer lugar, el más próximo en grado prefiere y excluye al más remoto, siempre que ambos pertenezcan a la misma línea (y salvando siempre el derecho de representación); en cuarto lugar, en igualdad de línea y grado, el varón prefiere y excluye a la mujer; en quinto lugar, en igualdad de línea, grado y sexo, el de más edad prefiere y excluye al menor. Ni la proximidad de grado, ni la preferencia de sexo, ni la mayor edad, operan más que cuando se trata de parientes consanguíneos de una misma línea, ya que si pertenecen a líneas distintas, la anterior prefiere y excluye a cada una de las posteriores" (Sentencia del Tribunal Supremo de 20 de junio de 1987, con cita de la de 8 de abril de 1972).</w:t>
      </w:r>
    </w:p>
    <w:p w:rsidR="006854DA" w:rsidRDefault="006854DA" w:rsidP="006854DA">
      <w:pPr>
        <w:pStyle w:val="TextoNormal"/>
      </w:pPr>
      <w:r>
        <w:t>C) Sentado esto, los preceptos con rango legal hoy vigentes y aplicables al caso son, pues, el art. 1 de la Ley de 4 de mayo de 1948 y el art. 13 de la Ley de 11 de octubre de 1820 en cuanto declaran aplicable el Derecho histórico y, en particular, la Partida 2.15.2, de la que deriva por lo dispuesto en el inciso "que si fijo varon y non oviesse, la fija mayor heredasse el Reyno", la regla de preferencia cuya constitucionalidad se ha cuestionado por la Audiencia Provincial de Madrid. Aunque el examen posterior habrá de centrarse en el últimamente citado dado que la eventual inconstitucionalidad de los dos primeros sólo se produciría, en su caso, per relationem, al remitirse éstos al precepto de la legislación histórica.</w:t>
      </w:r>
    </w:p>
    <w:p w:rsidR="006854DA" w:rsidRDefault="006854DA" w:rsidP="006854DA">
      <w:pPr>
        <w:pStyle w:val="TextoNormal"/>
      </w:pPr>
    </w:p>
    <w:p w:rsidR="006854DA" w:rsidRDefault="006854DA" w:rsidP="006854DA">
      <w:pPr>
        <w:pStyle w:val="TextoNormal"/>
      </w:pPr>
      <w:r w:rsidRPr="006854DA">
        <w:rPr>
          <w:rStyle w:val="NumeroAFNegritaCaracter"/>
        </w:rPr>
        <w:t>7</w:t>
      </w:r>
      <w:r>
        <w:t>. Entrando ya en el fondo de la cuestión planteada, dos precisiones son necesarias, con carácter previo, para acotar adecuadamente el ámbito de nuestro enjuiciamiento.</w:t>
      </w:r>
    </w:p>
    <w:p w:rsidR="006854DA" w:rsidRDefault="006854DA" w:rsidP="006854DA">
      <w:pPr>
        <w:pStyle w:val="TextoNormal"/>
      </w:pPr>
      <w:r>
        <w:t>A) El Auto de planteamiento de la presente cuestión ha hecho una genérica referencia al "régimen sucesorio de los títulos nobiliarios", aunque es evidente que, al margen de los títulos de nobleza extranjeros, otros dos grupos específicos han de quedar excluidos de nuestro examen. De un lado, por su expreso reconocimiento en la Constitución, los "de</w:t>
      </w:r>
      <w:r>
        <w:lastRenderedPageBreak/>
        <w:t>más títulos" a los que aluden los arts. 56.2 y 57.2 C.E., en relación, respectivamente, con el Rey y el Príncipe heredero de la Corona. De otro, los "títulos de nobleza pertenecientes a la Casa Real", respecto a los que el art. 6 del Real Decreto 1.368/1987, de 6 de noviembre, determina que su uso solamente podrá ser autorizado por el Titular de la Corona a los miembros de la Familia Real, con carácter graciable, personal y vitalicio; y así se ha dispuesto, por ejemplo, en el Real Decreto 323/1995, de 3 de marzo. De manera que nuestro examen ha de proyectarse sobre los restantes títulos de nobleza, tanto si fueron otorgados antes de 1812 o con posterioridad a esta fecha.</w:t>
      </w:r>
    </w:p>
    <w:p w:rsidR="006854DA" w:rsidRDefault="006854DA" w:rsidP="006854DA">
      <w:pPr>
        <w:pStyle w:val="TextoNormal"/>
      </w:pPr>
      <w:r>
        <w:t>B) En segundo término, hemos de partir de una nítida distinción entre el orden de sucesión en la Corona, regulado en el art. 57.1 C.E., y el orden regular de la transmisión post mortem de los títulos nobiliarios. Ante todo, cabe observar que si bien ha existido históricamente una clara vinculación entre el orden de suceder en la Corona y el aplicable a los títulos nobiliarios, lo cierto es que la Constitución hoy vigente no la establece; pues las referencias de los arts 56.2 y 57.2 C.E., como antes se ha dicho, se circunscriben a los "demás títulos" del Rey y del Príncipe heredero, que quedan fuera de nuestro enjuiciamiento. De suerte que si la conformidad con la Constitución del orden regular de sucesión en la Corona (art. 57.1 C.E.)  no puede suscitar duda alguna, por haberlo establecido así el constituyente, éste no es precisamente el caso respecto a los títulos nobiliarios, pues es justamente la ausencia de un precepto constitucional que consagre el orden regular de sucesión en estas mercedes lo que permite plantear la presente cuestión de inconstitucionalidad.</w:t>
      </w:r>
    </w:p>
    <w:p w:rsidR="006854DA" w:rsidRDefault="006854DA" w:rsidP="006854DA">
      <w:pPr>
        <w:pStyle w:val="TextoNormal"/>
      </w:pPr>
      <w:r>
        <w:t>De otra parte, la distinción se corrobora desde una perspectiva formal, pues si bien la Partida 2.15.2 se aplicó inicialmente tanto para el orden regular de la sucesión en la Corona como en los títulos de nobleza, se produce una primera disociación entre las normas aplicables a una y otra sucesión tras el Auto acordado de 10 de mayo de 1713, por el que Felipe V establece un "nuevo reglamento para la sucesión de esta Monarquía" basado en la agnación rigurosa y, por tanto, con preferencia "de todos mis descendientes varones por la línea recta de varonía a las hembras y sus descendientes" (Novísima Recopilación, 3.1.5). Y la escisión se confirma en el debate abierto por dicha disposición, ya que frente a la pretensión de modificar con base en la mencionada disposición de 1713 lo decidido en la Pragmática de 1615 sobre la sucesión de las hijas en los mayorazgos, la doctrina sostendrá con firmeza que en el mayorazgo constituido sin ley o condición del fundador, esto es, el regular, la sucesión queda sujeta a lo dispuesto en la Partida 2.15.2, como afirman Jordán de Asso y Miguel de Manuel en 1792 y reitera Juan Sala en 1820 en relación con el Auto acordado de 1713 al afirmar que esta disposición "...sólo dice respecto a la sucesión de la Monarquía, sin que sirva de exemplo a los mayorazgos regulares, que siempre se gobiernan por lo establecido en la referida Ley 2, Título XV, Partida II". Por último, la disociación entre las normas que rigen la sucesión en la Corona y en los títulos nobiliarios se consolida tras la petición de las Cortes de Madrid de 1789 de que se derogase el Auto acordado de 1713 volviendo a la entera vigencia de la Partida 2.15.2, aceptada por Carlos IV. Pues entre la primera fecha y la publicación de la Pragmática Sanción de 29 de marzo de 1830, por la que finalmente se hizo pública aquella decisión, ya se había promulgado la Constitución de Cádiz, en cuyos artículos 174 a 178 se contiene el orden de sucesión a la Corona. De suerte que el proceso de disociación iniciado en 1713 culmina en 1812 y, por tanto, desde esta fecha la Partida 2.15.2 deja de ser aplicable a la sucesión en la Corona al ser sustituida por los preceptos constitucionales, si bien continuará rigiendo la sucesión regular en los títulos nobiliarios.</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8</w:t>
      </w:r>
      <w:r>
        <w:t>. Al pasar a confrontar los preceptos cuestionados con el art. 14 C.E.  conviene indicar que el Auto por el que la Audiencia Provincial de Madrid promueve la presente cuestión ha suscitado la duda de inconstitucionalidad "por infracción del art. 14 C.E.", aunque la concreta luego al justificar su planteamiento en una posible "discriminación por razón de sexo". Si bien sentado ésto es preciso hacer seguidamente algunas consideraciones en relación con el canon que ha de guiar nuestro enjuiciamiento.</w:t>
      </w:r>
    </w:p>
    <w:p w:rsidR="006854DA" w:rsidRDefault="006854DA" w:rsidP="006854DA">
      <w:pPr>
        <w:pStyle w:val="TextoNormal"/>
      </w:pPr>
      <w:r>
        <w:t>En primer lugar, aun cuando el precepto aquí cuestionado proceda de la legislación histórica y sea aplicable a los títulos de nobleza, cuyas raíces también se asientan en un pasado secular, sin embargo ha de recordarse que el carácter histórico de una institución no puede excluir, por sí sólo, su contraste con la Constitución. Pues si los principios y valores de ésta informan la totalidad de nuestro ordenamiento, la consecuencia es que la Norma fundamental "imposibilita el mantenimiento de instituciones jurídicas (aun con probada tradición) que resulten incompatibles con los mandatos y principios constitucionales" (STC 76/1988, fundamento jurídico 3º). Y caso de ser procedente el contraste con la Norma fundamental, del planteamiento antes indicado se desprendería con claridad que no nos encontramos ante la cláusula general de igualdad del art. 14 C.E. sino ante uno de los concretos motivos de discriminación que dicho precepto prohíbe (SSTC 128/1987 y 166/1988), el configurado por razón de sexo. Pues éste, en sí mismo, no puede ser motivo de trato desigual (SSTC 75/1983, 128/1987, 207/1987 y 166/1988, entre otras muchas).</w:t>
      </w:r>
    </w:p>
    <w:p w:rsidR="006854DA" w:rsidRDefault="006854DA" w:rsidP="006854DA">
      <w:pPr>
        <w:pStyle w:val="TextoNormal"/>
      </w:pPr>
      <w:r>
        <w:t>De este modo, si el principio de igualdad "no postula ni como fin ni como medio la paridad y sólo exige la razonabilidad de la diferencia de trato", las prohibiciones de discriminación, en cambio, imponen como fin y generalmente como medio la parificación de trato legal, de manera que sólo pueden ser utilizadas excepcionalmente por el legislador como criterio de diferenciación jurídica (STC 229/1992, fundamento jurídico 4º). Lo que implica la necesidad de usar en el juicio de legitimidad constitucional un canon mucho más estricto y que implica un mayor rigor respecto a las exigencias materiales de proporcionalidad (SSTC 75/1983, fundamento jurídico 4º, 209/1988, fundamento jurídico 6º).</w:t>
      </w:r>
    </w:p>
    <w:p w:rsidR="006854DA" w:rsidRDefault="006854DA" w:rsidP="006854DA">
      <w:pPr>
        <w:pStyle w:val="TextoNormal"/>
      </w:pPr>
      <w:r>
        <w:t>No obstante, cabe observar, en segundo término, que la confrontación con el art. 14 C.E. de la diferencia por razón de sexo que se imputa al precepto legal aquí cuestionado no puede llevarse a cabo en abstracto sino en el concreto ámbito de la institución de los títulos de nobleza, para determinar si dicho principio es aplicable en este particular ámbito jurídico, dada la peculiar naturaleza de aquellos. Y este enjuiciamiento, sin duda, posee un carácter previo, pues sólo si la respuesta a esta cuestión fuera positiva podría pasarse a examinar si la mencionada diferencia por razón del sexo es excepcionalmente legítima en atención a la institución aquí considerada. Por lo que es preciso examinar, en primer lugar, el origen histórico de estas mercedes de la Corona; en segundo término, su contenido y significado actual; y, por último, el régimen general de la adquisición por vía sucesoria, ya que sólo tras este examen de la institución podrá apreciarse si falta o no el presupuesto mismo para que pueda operar el principio de igualdad, como ha señalado el Abogado del Estado.</w:t>
      </w:r>
    </w:p>
    <w:p w:rsidR="006854DA" w:rsidRDefault="006854DA" w:rsidP="006854DA">
      <w:pPr>
        <w:pStyle w:val="TextoNormal"/>
      </w:pPr>
    </w:p>
    <w:p w:rsidR="006854DA" w:rsidRDefault="006854DA" w:rsidP="006854DA">
      <w:pPr>
        <w:pStyle w:val="TextoNormal"/>
      </w:pPr>
      <w:r w:rsidRPr="006854DA">
        <w:rPr>
          <w:rStyle w:val="NumeroAFNegritaCaracter"/>
        </w:rPr>
        <w:t>9</w:t>
      </w:r>
      <w:r>
        <w:t>. El primer aspecto que ha de tenerse en cuenta a los fines de la eventual aplicación del principio constitucional de igualdad en el ámbito de la institución nobiliaria es, de un lado, el origen y significado histórico de los títulos de nobleza; de otro, su subsistencia en el ordenamiento del Estado liberal, pese a que en éste ya comience a operar dicho principio.</w:t>
      </w:r>
    </w:p>
    <w:p w:rsidR="006854DA" w:rsidRDefault="006854DA" w:rsidP="006854DA">
      <w:pPr>
        <w:pStyle w:val="TextoNormal"/>
      </w:pPr>
      <w:r>
        <w:t>En efecto, con independencia de cuales sean los orígenes remotos tanto de la nobleza como de los títulos nobiliarios, basta remitirse a la sociedad estamental del Antiguo régi</w:t>
      </w:r>
      <w:r>
        <w:lastRenderedPageBreak/>
        <w:t>men para recordar, como ya hemos dicho en una decisión de indudable relevancia para el presente caso por abordar una cuestión similar a la aquí examinada, la STC 27/1982, fundamento jurídico 2º, que en dicha sociedad "no regía el principio de igualdad ante la ley, sino cabalmente el contrario, ya que las personas tenían más o menos derechos según pertenecieran o no a alguno de los estamentos privilegiados". Esto es, los del clero y la nobleza, cuyos componentes se diferenciaban legalmente de quienes pertenecían al "estado llano" por el conjunto de privilegios -honras, franquicias, exenciones y beneficios de distinta índole- de que gozaban aquellos. Pero ha de tenerse presente, además, que en aquel período histórico existía una jerarquización en el estamento social que aquí interesa, el de la nobleza, con una clara diferenciación en las posiciones jurídicas de sus distintos componentes. Pues quienes ostentaban títulos nobiliarios se hallaban en una posición superior respecto a los simples hidalgos, caballeros de distinta índole y señores de vasallos, dado que aquellos, por pertenecer a la alta nobleza, no sólo participaban de diversos modos en el gobierno de la Monarquía sino que también disfrutaban de mayor poder, económico y jurídico, como titulares del régimen señorial y de los mayorazgos que desde el siglo XIII se constituyen en Castilla. Y aun respecto de la nobleza titulada cabe apreciar otra diferenciación al existir dentro de ella otro grupo más reducido en número, el de los títulos con dignidad de Grandes de España, con particular tratamiento consagrado por Carlos V en 1520, en el que se produce en el siglo XVII una jerarquización ulterior, al distinguirse entre grandezas de primera, segunda y tercera clase, luego abandonada en el siglo XIX.</w:t>
      </w:r>
    </w:p>
    <w:p w:rsidR="006854DA" w:rsidRDefault="006854DA" w:rsidP="006854DA">
      <w:pPr>
        <w:pStyle w:val="TextoNormal"/>
      </w:pPr>
      <w:r>
        <w:t>Esta jerarquización y la consiguiente diferenciación dentro de la nobleza se mantuvo durante siglos, si bien se modifica, por distintas razones, la extensión de los distintos grupos que integran este estamento, preeminente en aquel período histórico.  Pues si a finales del siglo XV la alta nobleza era un grupo reducido -ya que sólo existían unos cien títulos nobiliarios en Castilla, unos treinta en Cataluña, veinte en Aragón y menos de diez en Navarra-, la concesión de títulos nobiliarios se incrementó considerablemente en los siglos XVII y XVIII, al tiempo que se trató de limitar, por motivos fiscales, la pertenencia al grupo más amplio de la nobleza, el de los simples hidalgos. Y continuando la línea seguida por los dos últimos Monarcas de la casa de Austria, sólo Felipe V otorgó más de doscientos títulos de nobleza y similar prodigalidad se registra bajo Carlos III y Carlos IV. Lo que supuso que al final del siglo XVIII la nobleza como estamento viniera a ser identificada socialmente con la nobleza titulada.</w:t>
      </w:r>
    </w:p>
    <w:p w:rsidR="006854DA" w:rsidRDefault="006854DA" w:rsidP="006854DA">
      <w:pPr>
        <w:pStyle w:val="TextoNormal"/>
      </w:pPr>
    </w:p>
    <w:p w:rsidR="006854DA" w:rsidRDefault="006854DA" w:rsidP="006854DA">
      <w:pPr>
        <w:pStyle w:val="TextoNormal"/>
      </w:pPr>
      <w:r w:rsidRPr="006854DA">
        <w:rPr>
          <w:rStyle w:val="NumeroAFNegritaCaracter"/>
        </w:rPr>
        <w:t>10</w:t>
      </w:r>
      <w:r>
        <w:t>. El régimen constitucional iniciado en 1812 conservó la Monarquía, si bien el principio de la soberanía nacional y la división de poderes que informan el texto de Cádiz, unidos en la finalidad de suprimir el anterior poder absoluto del Rey, harán que la institución histórica adquiera una nueva forma, la Monarquía constitucional. Y en lo que respecta a la nobleza, la igualdad de derechos "proclamada en la primera parte de la Constitución ", como expresa su Discurso Preliminar, entrañó un profundo cambio en la posición política, jurídica y social que este estamento había ostentado en el Antiguo Régimen.  Aunque las sucesivas quiebras del régimen constitucional entre 1814 y 1820 así como entre 1823 y 1833 impidieron -salvo en el breve paréntesis del Trienio- no sólo que fuera efectiva la Monarquía constitucional configurada en el texto de 1812 sino que tampoco se llevase a cabo la completa abolición de los privilegios de la nobleza que se inició con el Decreto de Cortes de 6 de agosto de 1811 al incorporar a la nación los señoríos jurisdiccionales. Pero dicho esto, ciertos datos relativos a este período inicial son significativos a los fines de nuestro examen.</w:t>
      </w:r>
    </w:p>
    <w:p w:rsidR="006854DA" w:rsidRDefault="006854DA" w:rsidP="006854DA">
      <w:pPr>
        <w:pStyle w:val="TextoNormal"/>
      </w:pPr>
      <w:r>
        <w:lastRenderedPageBreak/>
        <w:t>A) En primer lugar, que pese a los principios que informan el nuevo Estado liberal, tanto las Cortes de las que surge la Constitución de 1812 como el texto de ésta consideraron que los títulos nobiliarios eran una realidad subsistente, sin cuestionar su existencia. Lo que quizás sea explicable teniendo en cuenta que, en este momento histórico, la igualdad se proyecta sobre los derechos y deberes civiles y políticos de los ciudadanos pero no excluye una distinción ulterior en cuanto al "rango y honor" de las personas, como expresará más tarde el art. 62 de la Carta francesa de 1830. Idea que se aprecia claramente en las Cortes de Cádiz al discutirse el Decreto de 17 de agosto de 1811 por el que se suprimían las pruebas de nobleza para el ingreso en las academias militares al afirmar Argüelles, haciendo referencia a la nobleza en Inglaterra, que sus "privilegios y exenciones honran a los individuos sin humillar a los ciudadanos" por no entrañar una desigualdad en los derechos civiles y en las libertades políticas de todos.</w:t>
      </w:r>
    </w:p>
    <w:p w:rsidR="006854DA" w:rsidRDefault="006854DA" w:rsidP="006854DA">
      <w:pPr>
        <w:pStyle w:val="TextoNormal"/>
      </w:pPr>
      <w:r>
        <w:t>De este modo, no puede sorprender que las propias Cortes de Cádiz, ya concluida la redacción de la Constitución, concedieran un título de nobleza con Grandeza de España (Decreto de 30 de enero de 1812). Y la subsistencia de la institución se aprecia también en el propio Texto constitucional, puesto que al establecer la composición del Consejo de Estado el art. 232 dispuso que este órgano habría de incluir, entre otros miembros, "cuatro Grandes de España, y no más, adornados de las virtudes, talento y conocimientos necesarios". Lo que guarda relación con otra circunstancia posterior: que restablecida la Constitución de Cádiz en el Trienio 1820-1823, la antes mencionada Ley de 11 de octubre de 1820, pese a suprimir las antiguas vinculaciones de bienes y rentas, dejara subsistentes "los títulos, prerrogativas de honor y cualesquiera otras preeminencias que los poseedores actuales de vinculaciones disfrutan como anejas a ellas...". A lo que se une, por último, la concesión de distintos títulos de nobleza durante el citado Trienio, en los que si bien se consigna que el Rey que los otorga es Monarca constitucional, la forma de la Real concesión aún sigue unida al pasado.</w:t>
      </w:r>
    </w:p>
    <w:p w:rsidR="006854DA" w:rsidRDefault="006854DA" w:rsidP="006854DA">
      <w:pPr>
        <w:pStyle w:val="TextoNormal"/>
      </w:pPr>
      <w:r>
        <w:t>B) En segundo término, si bien al conservar la Monarquía como institución tradicional el constituyente de 1812 pudo haber establecido expresamente entre las facultades del Rey la concesión de títulos de nobleza y dejado la entera ordenación de esta materia a la voluntad regia, como es el caso del texto francés antes citado de 1830, sin embargo no lo hizo así. Lo que está unido sin duda a otro dato: que en la Monarquía constitucional configurada por la Constitución de Cádiz, al igual que en las posteriores del siglo XIX, el Rey ostenta la potestad ejecutiva, como se desprende en aquella de la cláusula general del art. 170. Con la consecuencia, en todo caso, de haberse atribuido al Rey la facultad de otorgar "honores y distinciones de todas clases, con arreglo a las leyes" (art. 171, apartado 7º). Precepto que, con ligeras variantes, es incorporado a los Textos constitucionales posteriores (Constitución de 1837, art. 47, apartado 9º, inciso 2º; Constitución de 1845, art. 45, apartado 9º; Constitución de 1869, art. 73, apartado 3º; Constitución de 1876, art. 55, apartado 8º), de donde pasa al inciso final del art. 62, apartado f), de la Constitución hoy vigente.</w:t>
      </w:r>
    </w:p>
    <w:p w:rsidR="006854DA" w:rsidRDefault="006854DA" w:rsidP="006854DA">
      <w:pPr>
        <w:pStyle w:val="TextoNormal"/>
      </w:pPr>
      <w:r>
        <w:t xml:space="preserve">C) De este modo, desde la Constitución de 1812 hasta la actualmente vigente se ha entendido, sin discusión, que la concesión de títulos de nobleza constituía uno de esos "honores" a los que hoy se refiere el mencionado art. 62 f) C.E.  pese a que, en general, los Reales Decretos sólo expresen como fundamento de la concesión la voluntad del Monarca. Lo que en los inicios del Estado liberal enlazaba fácilmente con las facultades del Rey en el Antiguo Régimen, y ello aún se refleja en el lenguaje, ya que en la jurisprudencia sobre títulos nobiliarios se continúa aludiendo a la existencia de una "prerrogativa regia".  Cuando es indudable que, por imperativo del citado precepto de la Constitución, el Rey ha de </w:t>
      </w:r>
      <w:r>
        <w:lastRenderedPageBreak/>
        <w:t>ejercer su facultad de conceder un título de nobleza "con arreglo a las leyes"; y dicho acto, además, queda sujeto a refrendo ministerial (art. 64.1 C.E.), cuyo "sentido original y aún hoy esencial" es el "traslaticio de responsabilidad inherente al mismo" (STC 5/19987, fundamento jurídico 2º).</w:t>
      </w:r>
    </w:p>
    <w:p w:rsidR="006854DA" w:rsidRDefault="006854DA" w:rsidP="006854DA">
      <w:pPr>
        <w:pStyle w:val="TextoNormal"/>
      </w:pPr>
      <w:r>
        <w:t>De otra parte, en relación con lo anterior ha de tenerse presente que el orden de suceder en los títulos nobiliarios, según constante doctrina de la Sala Primera del Tribunal Supremo, se determina, en primer lugar, por lo establecido "en la Real concesión" (art. 4 del Real Decreto de 27 de mayo de 1912), que constituye la "ley reguladora" o la "ley fundamental" de cada merced; y sólo en defecto de lo establecido en la Real concesión ha de operar, subsidiariamente el orden regular legalmente previsto. De suerte que en lo que aquí importa el acto graciable del Rey otorgando el título de nobleza puede establecer su carácter vitalicio o permanente, así como un particular orden de llamamientos para su transmisión mortis causa e incluso establecer condiciones especiales para la adquisición de la merced por vía sucesoria.</w:t>
      </w:r>
    </w:p>
    <w:p w:rsidR="006854DA" w:rsidRDefault="006854DA" w:rsidP="006854DA">
      <w:pPr>
        <w:pStyle w:val="TextoNormal"/>
      </w:pPr>
    </w:p>
    <w:p w:rsidR="006854DA" w:rsidRDefault="006854DA" w:rsidP="006854DA">
      <w:pPr>
        <w:pStyle w:val="TextoNormal"/>
      </w:pPr>
      <w:r w:rsidRPr="006854DA">
        <w:rPr>
          <w:rStyle w:val="NumeroAFNegritaCaracter"/>
        </w:rPr>
        <w:t>11</w:t>
      </w:r>
      <w:r>
        <w:t>. En suma, los títulos nobiliarios han subsistido en la sociedad burguesa y en el régimen constitucional, sin duda por su directa vinculación con la Corona, fons nobilitatis. Aunque sólo han permanecido, "como instituciones residuales de la sociedad anterior que se incrustan en la nueva y logran persistir en ella, bien es cierto que con un contenido jurídico y una función social enteramente otras y menores que las que tuvieron antes" (STC 27/1982, fundamento jurídico 2º).</w:t>
      </w:r>
    </w:p>
    <w:p w:rsidR="006854DA" w:rsidRDefault="006854DA" w:rsidP="006854DA">
      <w:pPr>
        <w:pStyle w:val="TextoNormal"/>
      </w:pPr>
      <w:r>
        <w:t>Ahora bien, dicho esto, nuestro enjuiciamiento ha de partir necesariamente de un elemento de la doctrina sentada por este Tribunal en relación con el art.  14 C.E., a saber, que "...al amparo del principio de igualdad no es lícito tratar de asimilar situaciones que en su origen no han sido equiparadas por las normas jurídicas que las crean" (STC 9/1995, fundamento jurídico 3º, con cita de las SSTC 68/1989, 77/1990, 48/1992, 293/1993, 82/1994, 236/1994 y 237/1994). Y de su origen histórico se desprende un dato relevante en relación con dicha doctrina: que los títulos de nobleza han sido una de esas instituciones que se han configurado según las normas del momento histórico en el que surgen, en atención a muy diversos factores. Entre ellos, el haber constituido en el Antiguo Régimen un doble factor de diferenciación jurídica entre las personas, al ser no sólo una institución privativa del estamento entonces preeminente, la nobleza, que era el "elemento fundamental y definitorio en la sociedad feudal" (STC 27/1982), sino también por identificar al grupo superior de este estamento, la nobleza titulada, frente a los simples hidalgos y caballeros.</w:t>
      </w:r>
    </w:p>
    <w:p w:rsidR="006854DA" w:rsidRDefault="006854DA" w:rsidP="006854DA">
      <w:pPr>
        <w:pStyle w:val="TextoNormal"/>
      </w:pPr>
    </w:p>
    <w:p w:rsidR="006854DA" w:rsidRDefault="006854DA" w:rsidP="006854DA">
      <w:pPr>
        <w:pStyle w:val="TextoNormal"/>
      </w:pPr>
      <w:r w:rsidRPr="006854DA">
        <w:rPr>
          <w:rStyle w:val="NumeroAFNegritaCaracter"/>
        </w:rPr>
        <w:t>12</w:t>
      </w:r>
      <w:r>
        <w:t>. Pasando ahora al examen del contenido y significado actual de los títulos de nobleza, una constatación inicial es procedente: que tanto en el Estado liberal como en el Estado social y democrático de Derecho que configura nuestra Constitución (art.  1.1 C.E.), basado en la igual dignidad de todas las personas (art. 10.1 C.E.), el ostentar un título nobiliario no supone en modo alguno "un status o condición estamental y privilegiada" ni tampoco conlleva hoy el ejercicio de función pública alguna. Pues "desde 1820 un título nobiliario es -y no es más que eso- una preeminencia o prerrogativa de honor", un nomen honoris. De suerte que las consecuencias jurídicas inherentes al mismo o su contenido jurídico se agotan "en el derecho a adquirirlo, a usarlo y a protegerlo frente a terceros de modo semejante a lo que sucede con el derecho al nombre" (STC 27/1982, fundamento jurídico 2º). De lo que también se desprenden varias consecuencias relevantes a los fines de la eventual aplicación del art. 14 C.E., como se verá seguidamente.</w:t>
      </w:r>
    </w:p>
    <w:p w:rsidR="006854DA" w:rsidRDefault="006854DA" w:rsidP="006854DA">
      <w:pPr>
        <w:pStyle w:val="TextoNormal"/>
      </w:pPr>
      <w:r>
        <w:lastRenderedPageBreak/>
        <w:t>A) En primer lugar, el título de nobleza estuvo vinculado históricamente con la Corona en cuanto símbolo del Reino. En la actualidad, si los títulos de nobleza han subsistido desde 1812 hasta ahora, cabe entender justificadamente que esa subsistencia se deriva de su carácter simbólico, en la medida en que expresan hoy una referencia a una situación histórica, ya inexistente. De suerte que el significado simbólico de los títulos nobiliarios radica en una llamada a la historia, por hacer referencia a una realidad que nos remite a otros tiempos y ha desaparecido en su significado originario desde los inicios del Estado liberal (STC 27/1982).</w:t>
      </w:r>
    </w:p>
    <w:p w:rsidR="006854DA" w:rsidRDefault="006854DA" w:rsidP="006854DA">
      <w:pPr>
        <w:pStyle w:val="TextoNormal"/>
      </w:pPr>
      <w:r>
        <w:t>Si se quiere, dicho en otros términos: que por simbolizar el título de nobleza una institución que sólo fue relevante social y jurídicamente en el pasado, el símbolo elegido se halla desprovisto hoy de cualquier contenido jurídico-material en nuestro ordenamiento, más allá del derecho a usar un nomen honoris que viene a identificar, junto al nombre, el linaje al que pertenece quien ostenta tal prerrogativa de honor. Lo que no es relevante en relación con el principio de igualdad del art. 14 C.E., puesto que si la adquisición de un título de nobleza sólo viene a constituir un "hecho diferencial" (STC 27/1982) cuyo significado no es material sino sólo simbólico, este carácter excluye, en principio, la existencia de una posible discriminación al adquirirlo, tanto por vía directa como por vía sucesoria, dado que las consecuencias jurídicas de su adquisición son las mismas en ambos casos.</w:t>
      </w:r>
    </w:p>
    <w:p w:rsidR="006854DA" w:rsidRDefault="006854DA" w:rsidP="006854DA">
      <w:pPr>
        <w:pStyle w:val="TextoNormal"/>
      </w:pPr>
      <w:r>
        <w:t>B) En segundo término, si en el Antiguo Régimen el título de nobleza era un "privilegio" personal y transmisible a los herederos del beneficiario de la merced, este carácter singular y excepcional aun subsiste hoy, pese a que el acto graciable de concesión constituya el ejercicio "con arreglo a las leyes" de una facultad del Rey constitucionalmente reconocida [art. 62 f) C.E.].</w:t>
      </w:r>
    </w:p>
    <w:p w:rsidR="006854DA" w:rsidRDefault="006854DA" w:rsidP="006854DA">
      <w:pPr>
        <w:pStyle w:val="TextoNormal"/>
      </w:pPr>
      <w:r>
        <w:t>Carácter singular de los títulos de nobleza que es predicable tanto si estos se adquieren por concesión o por vía sucesoria. En el primer caso, es claro que la singularidad y excepcionalidad de la situación del beneficiario de la merced justifican suficientemente la diferenciación que el acto del Monarca produce, apreciada en relación con su finalidad, que no es otra que la de distinguir y honrar a una determinada persona por sus méritos o servicios relevantes. Idea que ya aparece en la Real Orden de 25 de marzo de 1775 (Novísima, 6.1.21), al contraponer los "méritos y servicios propios" a la "nobleza y alianzas" del pretendiente de la merced o de sus antepasados.</w:t>
      </w:r>
    </w:p>
    <w:p w:rsidR="006854DA" w:rsidRDefault="006854DA" w:rsidP="006854DA">
      <w:pPr>
        <w:pStyle w:val="TextoNormal"/>
      </w:pPr>
      <w:r>
        <w:t>En los casos de transmisión mortis causa ha de tenerse presente, de un lado, que las consecuencias jurídicas o el contenido inherente al título de nobleza son las mismas que en el caso de adquisición directa (STC 27/1982, fundamento jurídico 2º), en atención a su carácter simbólico en la actualidad y a lo limitado de su contenido jurídico, que se agota en el derecho a adquirirlo y usarlo. De otro, que las sucesivas adquisiciones por vía sucesoria, en atención al carácter simbólico del título de nobleza, constituyen otras tantas llamadas al momento histórico de su concesión y, al mismo tiempo, a la singularidad de quien recibió la merced de la Corona. Máxime si se entiende que el derecho a suceder en el título nobiliario no se deriva de la anterior posesión del mismo por otra persona, el ascendiente u otro pariente próximo, sino que "se recibe del fundador por pertenecer al linaje", como declaró la Sentencia de la Sala Primera del Tribunal Supremo de 7 de julio de 1986 con cita de otras decisiones anteriores (Sentencias de 19 de abril de 1961, 26 de junio de 1963, 21 de mayo de 1964 y 7 de diciembre de 1995).</w:t>
      </w:r>
    </w:p>
    <w:p w:rsidR="006854DA" w:rsidRDefault="006854DA" w:rsidP="006854DA">
      <w:pPr>
        <w:pStyle w:val="TextoNormal"/>
      </w:pPr>
      <w:r>
        <w:t xml:space="preserve">C) Por último, la adquisición por vía sucesoria de un título de nobleza sólo despliega hoy sus efectos jurídicos en el ámbito de determinadas relaciones privadas. De un lado, por cuanto su eficacia general sólo se manifiesta como complemento del nombre, dado que el uso del título de nobleza, como nomen honoris, sólo viene a identificar, como antes </w:t>
      </w:r>
      <w:r>
        <w:lastRenderedPageBreak/>
        <w:t>se ha dicho, a la persona que lo ostenta en relación con su "casa" o linaje. Un dato que se aprecia en las Reales concesiones desde 1837, al expresar que la voluntad de la Reina es "que ahora y de aquí en adelante os podáis llamar e intitular" de acuerdo con el título de nobleza que se otorga. Lo que se corrobora aún hoy a tenor del párrafo 3º del art.  135 en relación con el art. 130 del Reglamento del Registro Civil, al permitir mediante un asiento, marginal a la inscripción de nacimiento, que se expresen "los títulos nobiliarios o dignidades cuya posesión legal conste o se justifique debidamente en el acto".</w:t>
      </w:r>
    </w:p>
    <w:p w:rsidR="006854DA" w:rsidRDefault="006854DA" w:rsidP="006854DA">
      <w:pPr>
        <w:pStyle w:val="TextoNormal"/>
      </w:pPr>
      <w:r>
        <w:t>De otro lado, a la misma conclusión se llega respecto a otros aspectos de la institución, que nos sitúan ante relaciones circunscritas a un grupo de personas, los integrantes del linaje del beneficiario del título de nobleza.  Pues cabe observar, en efecto, que la adquisición por vía sucesoria de la merced puede requerir que una persona formule ante los órganos jurisdiccionales una pretensión de su "mejor derecho" a usarlo, frente a otros particulares asimismo vinculados genealógicamente con el beneficiario de la merced. Al igual que ocurre en la cesión de un título nobiliario, pues si de un lado presupone la existencia de un acto inter vivos y de carácter gratuito del actual poseedor del título, formalizado en documento público, en favor de otro particular, de otro se condiciona a que no cause perjuicio de aquellos que estarían llamados a suceder en la merced con preferencia al cesionario, salvo que la aprueben expresamente (art. 12 del Real Decreto de 27 de mayo de 1912). Lo que limita el acto de cesión al circunscribirlo al ámbito de las personas pertenecientes a un determinado linaje.  Y otro tanto cabe decir, al margen de su alcance en cuanto a una eventual modificación del orden de llamamientos, del acto de distribución de títulos nobiliarios. Por lo que hemos declarado en la STC 68/1985, fundamento jurídico 3º, en relación con una autorización de designación de sucesor, que aun siendo dicha autorización un acto de naturaleza discrecional o graciable, ello "es sin duda compatible con el planteamiento entre partes privadas y ante la jurisdicción civil ordinaria de un eventual proceso respecto al mejor derecho a suceder en el título nobiliario, proceso en el que la cuestión a discutir ya no sería el acto del Jefe del Estado..., sino la prevalencia o no de ese título respecto al del sucesor con arreglo al orden sucesorio originario" según la Real concesión.</w:t>
      </w:r>
    </w:p>
    <w:p w:rsidR="006854DA" w:rsidRDefault="006854DA" w:rsidP="006854DA">
      <w:pPr>
        <w:pStyle w:val="TextoNormal"/>
      </w:pPr>
      <w:r>
        <w:t>Por consiguiente, los títulos de nobleza nos sitúan ante un ámbito de relaciones que se circunscribe a aquellas personas que forman parte del linaje del beneficiario de la merced y, por tanto, no poseen una proyección general y definitoria de un status, sino ante un simple nomen honoris que implica una referencia a la historia en cuanto símbolo y no posee así otro valor que el puramente social que en cada momento quiera otorgársele.</w:t>
      </w:r>
    </w:p>
    <w:p w:rsidR="006854DA" w:rsidRDefault="006854DA" w:rsidP="006854DA">
      <w:pPr>
        <w:pStyle w:val="TextoNormal"/>
      </w:pPr>
    </w:p>
    <w:p w:rsidR="006854DA" w:rsidRDefault="006854DA" w:rsidP="006854DA">
      <w:pPr>
        <w:pStyle w:val="TextoNormal"/>
      </w:pPr>
      <w:r w:rsidRPr="006854DA">
        <w:rPr>
          <w:rStyle w:val="NumeroAFNegritaCaracter"/>
        </w:rPr>
        <w:t>13</w:t>
      </w:r>
      <w:r>
        <w:t>. El siguiente paso en nuestro examen nos sitúa ante el régimen legal aplicable a la transmisión post mortem de los títulos de nobleza. Un régimen, como se verá seguidamente, que es excepcional en atención a su origen histórico, al objeto de la transmisión y a su finalidad; y ello determina que sus previsiones constituyan un elemento inherente a la propia institución nobiliaria.</w:t>
      </w:r>
    </w:p>
    <w:p w:rsidR="006854DA" w:rsidRDefault="006854DA" w:rsidP="006854DA">
      <w:pPr>
        <w:pStyle w:val="TextoNormal"/>
      </w:pPr>
      <w:r>
        <w:t>A) En cuanto a lo primero, interesa destacar, muy sumariamente, que tanto de la Partida 2.15.2, como de otros dos textos alfonsinos (el Espéculo 2.16, que la antecede en el tiempo y la declaración regia antes las Cortes de Toledo de 1255) se desprende con claridad una finalidad común al establecer un orden regular para la sucesión en la Corona de Castilla basado en los principios de primogenitura, masculinidad y representación: la de preservar la unidad del Reino al fallecimiento del Monarca reinante ya que, como expresa el primero de los citados, "todo reino partido sería estragado". Idea que también se contiene en relación con la sucesión en los distintos Reinos de la Corona de Aragón en un texto coetáneo, el testamento del Rey Jaime I de 1272; texto igualmente inspirado en el princi</w:t>
      </w:r>
      <w:r>
        <w:lastRenderedPageBreak/>
        <w:t>pio de primogenitura pero que se diferencia de los textos alfonsinos por la rigurosa agnación que establece, aunque este criterio se modificará en el testamento del Rey Fernando el Católico de 1516 al disponer, como en aquellos, que se prefiera el heredero "masculino al femenino".</w:t>
      </w:r>
    </w:p>
    <w:p w:rsidR="006854DA" w:rsidRDefault="006854DA" w:rsidP="006854DA">
      <w:pPr>
        <w:pStyle w:val="TextoNormal"/>
      </w:pPr>
      <w:r>
        <w:t>Ahora bien, es igualmente significativo que en todos los textos antes mencionados se haga referencia no al Derecho común sino a una costumbre particular, aplicable según la partida 2.15.2 "doquier el señorío ovieron por linaje, e mayormente en España".  Lo que ha de ponerse en relación con la Partida 2.1.11, que se refiere a los "Príncipes, Duques, Condes, Marqueses, Iuges, Vizcondes..." como "los otros Señores de que hablamos de suso, que han honra de señorío por heredamiento". Y el texto del Espéculo 2.16 aún es más preciso al afirmar que tal costumbre se aplica no sólo a la sucesión de los Reyes sino también a la de los "otros altos omes, señores de grandes tierras o de villas o de castiellos o de otros lugares, ó el señorío quisieron que fuese uno".  De suerte que, en definitiva, la costumbre que determina el orden regular de la sucesión según los textos alfonsinos se circunscribe a las dignitates, el Monarca y los nobles; al igual que la finalidad de mantener la unidad del Reino se extiende a la preservación de la unidad de los señoríos y títulos nobiliarios. Asimilación que no puede sorprender dado que en este período histórico la nobleza, por su superior poder político y económico, era el primero de los "estados" que, con el Rey, integraban el Reino.</w:t>
      </w:r>
    </w:p>
    <w:p w:rsidR="006854DA" w:rsidRDefault="006854DA" w:rsidP="006854DA">
      <w:pPr>
        <w:pStyle w:val="TextoNormal"/>
      </w:pPr>
      <w:r>
        <w:t>B) Estas conclusiones se corroboran, en segundo término, si se examina el origen del principio central del orden regular de la sucesión en las dignitates, el de primogenitura. Pues de los dos restantes, el de representación estaba al servicio de la misma finalidad de mantener el objeto de la sucesión en el linaje por línea directa, "si el fijo mayor muriesse ante que heredasse" (Partida 2.15.2); y el de masculinidad sólo es una proyección en esta materia de las ideas sobre la condición de la mujer imperantes en la Edad Media, expresadas en lo jurídico con claridad en otro precepto alfonsino (Partida 4.13.2).</w:t>
      </w:r>
    </w:p>
    <w:p w:rsidR="006854DA" w:rsidRDefault="006854DA" w:rsidP="006854DA">
      <w:pPr>
        <w:pStyle w:val="TextoNormal"/>
      </w:pPr>
      <w:r>
        <w:t>En la Baja Edad Media, en efecto, la adopción del principio de primogenitura se justificó por los canonistas con base en una costumbre feudal y, por tanto, excepcional del Derecho común, cuyo fundamento doctrinal se halla en un texto reiterado por la doctrina en los siglos posteriores: el comentario del Abad Panormitano, donde se alude a una costumbre sobre la indivisión de la herencia quae viget inter nobiles y, por tanto, de la que estaban excluidos laboratores y mercatores. Aunque al ser considerado un privilegium odiosum -por entrañar la absoluta privación de bienes de la herencia a los hijos menores, salvo el sustento suficiente a los varones y una dote congrua a las hembras, como compensación para evitar el reproche moral-, la consecuencia fue que tal privilegio era de interpretación restrictiva y, de este modo, que quien lo invocaba en juicio debía probarlo cumplidamente. Pero por ser esta solución contraria a los intereses de la nobleza, no puede extrañar que se produjera una evolución posterior para modificar este extremo.</w:t>
      </w:r>
    </w:p>
    <w:p w:rsidR="006854DA" w:rsidRDefault="006854DA" w:rsidP="006854DA">
      <w:pPr>
        <w:pStyle w:val="TextoNormal"/>
      </w:pPr>
      <w:r>
        <w:t>Esta evolución se produce, efectivamente, tras consolidarse en el Reino de Castilla desde la segunda mitad del siglo XIII la institución de los mayorazgos.  Y es significativo que la doctrina más autorizada de los siglos XVI y XVII, a la que el Abogado del Estado ha hecho amplia referencia en sus alegaciones, no sólo extiende el privilegio de primogenitura a la sucesión en estas vinculaciones de bienes y rentas feudales sino que, además, invierte su carácter. Pues apoyándose ahora en el Derecho común y, en concreto, en la institución de los fideicomisos ordenados in favore descendentium o intuitu familiae, se consideró que no constituían un privilegio odioso sino favorable (maioratus et primogenitura sunt favorabiles, non odiosae). Solución que se justifica, además, por razón de utilidad pública (in quorum conservatione favor publicus versatur); lo que potenciaba la consolida</w:t>
      </w:r>
      <w:r>
        <w:lastRenderedPageBreak/>
        <w:t>ción como unidad de un conjunto de bienes y rentas in favore familiae. Esto es, en favor del linaje patrilineal del fundador del mayorazgo. Construcción que también era aplicable, y lo fue sin dificultad por la doctrina, a los títulos nobiliarios, por ser objeto igualmente de una transmisión mortis causa establecida in favore descendentium y estar también frecuentemente vinculados a un mayorazgo.</w:t>
      </w:r>
    </w:p>
    <w:p w:rsidR="006854DA" w:rsidRDefault="006854DA" w:rsidP="006854DA">
      <w:pPr>
        <w:pStyle w:val="TextoNormal"/>
      </w:pPr>
    </w:p>
    <w:p w:rsidR="006854DA" w:rsidRDefault="006854DA" w:rsidP="006854DA">
      <w:pPr>
        <w:pStyle w:val="TextoNormal"/>
      </w:pPr>
      <w:r w:rsidRPr="006854DA">
        <w:rPr>
          <w:rStyle w:val="NumeroAFNegritaCaracter"/>
        </w:rPr>
        <w:t>14</w:t>
      </w:r>
      <w:r>
        <w:t>. Al subsistir los títulos de nobleza en el régimen constitucional pese a la abolición de los mayorazgos, también permaneció el carácter excepcional y, por tanto, diferencial, del régimen de su transmisión post mortem, por ser un elemento inherente a la institución nobiliaria. Lo que puede apreciarse, aun expuestos muy sumariamente, en algunos extremos significativos del régimen legal hoy vigente.</w:t>
      </w:r>
    </w:p>
    <w:p w:rsidR="006854DA" w:rsidRDefault="006854DA" w:rsidP="006854DA">
      <w:pPr>
        <w:pStyle w:val="TextoNormal"/>
      </w:pPr>
      <w:r>
        <w:t>A) En primer término, desde la perspectiva del Derecho civil, dado que los títulos nobiliarios no constituyen, en sentido estricto, un bien integrante de la herencia del de cuius (arts. 657, 659 y 661 del Código Civil), aun cuando el derecho de uso y disfrute sea transmisible post mortem a los descendientes de quien lo ostenta si la merced tiene carácter perpetuo. Lo que determina una consecuencia relevante en esta sede constitucional: que no son aplicables a este singular bien incorporal las normas con proyección general que regulan la sucesión ordinaria por causa de muerte del Título III del Libro III del Código Civil, o, en su caso, las contenidas en los Derechos civiles, forales o especiales, vigentes en algunas Comunidades Autónomas; aunque las primeras tengan carácter supletorio para el cómputo de los grados, como ha declarado la jurisprudencia del Tribunal Supremo. De suerte que, al fallecimiento de quien ostenta un título de nobleza, pese a integrarse el conjunto de sus bienes y derechos en la herencia del causante y quedar regida así por las normas de Derecho civil, el título de nobleza, en cambio, se transmite post mortem sólo dentro del linaje o familia del beneficiario, según lo dispuesto en la Real concesión o, en su defecto, por lo establecido en el precepto legal específico que determina el orden regular de la sucesión, la Partida 2.15.2.</w:t>
      </w:r>
    </w:p>
    <w:p w:rsidR="006854DA" w:rsidRDefault="006854DA" w:rsidP="006854DA">
      <w:pPr>
        <w:pStyle w:val="TextoNormal"/>
      </w:pPr>
      <w:r>
        <w:t>B) En segundo lugar, la transmisión post mortem de los títulos de nobleza es de carácter vincular, y, por tanto, excepcional o extraordinaria. Lo que entraña, en esencia, la existencia de un orden de llamamientos objetivo y predeterminado que, en principio, es indefinido en cuanto a los sucesores en el uso y disfrute del título nobiliario que se transmite. Pues si éste ha constituido tradicionalmente una prerrogativa de honor vinculada a una familia o linaje -el de la persona a la que el Rey concedió la merced- ello permite perpetuar indefinidamente su uso y disfrute por los descendientes en línea directa de aquel a quien fue concedido.</w:t>
      </w:r>
    </w:p>
    <w:p w:rsidR="006854DA" w:rsidRDefault="006854DA" w:rsidP="006854DA">
      <w:pPr>
        <w:pStyle w:val="TextoNormal"/>
      </w:pPr>
      <w:r>
        <w:t xml:space="preserve">Este carácter vincular se expresa en las Cartas reales de concesión con fórmulas como "perpetuamente" o "para vos y vuestros sucesores", por entenderse que éstos, al ostentar el título nobiliario, seguían honrando tanto la memoria de aquel como el propio linaje, la nobilitas et familiarum dignitas.  Finalidad que claramente se expresa en la Real Cédula de Carlos IV de 29 de abril de 1804, en la que se indica que el objeto de la concesión de un título nobiliario es "premiar los méritos y servicios del agraciado y de sus ascendientes, perpetuando en su familia el lustre y honor anejo a estas mercedes". Y cabe señalar que la vinculación a una familia o linaje se potenció en el pasado al estar unido el título nobiliario a un mayorazgo, como fue frecuente en Castilla a partir de la segunda mitad del siglo XIV. Pero en todo caso se manifiesta con claridad, al final del Antiguo Régimen, en lo dispuesto por la mencionada Real Cédula de 29 de abril de 1804, en la que Carlos IV estableció que aun cuando las mercedes de Títulos de Castilla fueran concedidas "sin agregación a vínculos y mayorazgos, o sin afección a jurisdicción, señorío y vasallaje de algún </w:t>
      </w:r>
      <w:r>
        <w:lastRenderedPageBreak/>
        <w:t>Pueblo", las que se concedieran en lo sucesivo, salvo disposición expresa en contrario, tendrían el carácter de vinculadas. Y ello se refuerza al prescribirse también que, por lo antes dispuesto, no "se entiendan libres las ya concedidas" (Novísima, 6.1.25).</w:t>
      </w:r>
    </w:p>
    <w:p w:rsidR="006854DA" w:rsidRDefault="006854DA" w:rsidP="006854DA">
      <w:pPr>
        <w:pStyle w:val="TextoNormal"/>
      </w:pPr>
      <w:r>
        <w:t>Por consiguiente, si en el caso de los mayorazgos la vinculación de ciertos bienes y rentas a un linaje o familia persiguió el reducir a una unidad el conjunto de aquellos, para su transmisión a los sucesores del fundador de la vinculación, quienes debían conservarlos, otro tanto ocurre con el título nobiliario, bien inmaterial constitutivo de un nomen honoris, que es igualmente una unidad y, como tal, indivisible entre los descendientes de quien recibió la merced del Rey.  Pero ello implica, cuando concurren varios descendientes de igual línea y grado, la necesaria exclusión de unos en favor de otro, el llamado según el orden de suceder aplicable al concreto título de nobleza de que se trate. Consecuencia que separa profundamente esta sucesión vincular de la ordinaria regida por el Derecho civil, puesto que no está presente en su régimen legal una igual posición jurídica de los llamados a la sucesión por la muerte del anterior poseedor del título de nobleza, sino una situación ya diferenciada previamente por un orden de suceder predeterminado.</w:t>
      </w:r>
    </w:p>
    <w:p w:rsidR="006854DA" w:rsidRDefault="006854DA" w:rsidP="006854DA">
      <w:pPr>
        <w:pStyle w:val="TextoNormal"/>
      </w:pPr>
      <w:r>
        <w:t>C) Finalmente, el carácter vincular de la sucesión y, por tanto, la finalidad de que el título de nobleza se perpetúe en el linaje de quien recibió la merced mediante un orden preestablecido, se refuerza con ciertas limitaciones que también son privativas del Derecho nobiliario. Pues tanto la persona a la que el Rey otorga esta prerrogativa de honor como aquellos a las que luego pasa por vía sucesoria tienen ciertamente el derecho de uso y disfrute de la misma; pero no son, en sentido propio, dueños sino poseedores del título de nobleza ya que carecen del ius disponiendi tanto en las relaciones inter vivos como mortis causa.  Y, consiguientemente, no están facultados para enajenar el título nobiliario a un tercero, ni tampoco para cederlo o alterar el orden de sucesión sin que exista una previa autorización de la Corona. Conclusión que ha sido reiteradamente sentada por la jurisprudencia del Tribunal Supremo, desde el pasado siglo hasta la Sentencia de 25 de octubre de 1996, en la que se afirma, con apoyo en la citada Real Cédula de Carlos IV de 29 de abril de 1804, que el orden de sucesión en los títulos nobiliarios "es inalterable", salvo que medie expresa autorización del Rey.  Carácter que no es irrelevante desde una perspectiva constitucional, pues evidencia que el título de nobleza, por ser el resultado de la voluntad graciable del Monarca, se adquiere por vía sucesoria tal y como ha sido configurado por la Real concesión o por las posteriores autorizaciones regias.</w:t>
      </w:r>
    </w:p>
    <w:p w:rsidR="006854DA" w:rsidRDefault="006854DA" w:rsidP="006854DA">
      <w:pPr>
        <w:pStyle w:val="TextoNormal"/>
      </w:pPr>
    </w:p>
    <w:p w:rsidR="006854DA" w:rsidRDefault="006854DA" w:rsidP="006854DA">
      <w:pPr>
        <w:pStyle w:val="TextoNormal"/>
      </w:pPr>
      <w:r w:rsidRPr="006854DA">
        <w:rPr>
          <w:rStyle w:val="NumeroAFNegritaCaracter"/>
        </w:rPr>
        <w:t>15</w:t>
      </w:r>
      <w:r>
        <w:t>. A partir de estas premisas podemos ya entrar a examinar la diferenciación por razón de sexo que se deriva del precepto cuestionado por la Audiencia Provincial de Madrid, la Partida 2.15.2.</w:t>
      </w:r>
    </w:p>
    <w:p w:rsidR="006854DA" w:rsidRDefault="006854DA" w:rsidP="006854DA">
      <w:pPr>
        <w:pStyle w:val="TextoNormal"/>
      </w:pPr>
      <w:r>
        <w:t>Pues bien, si los títulos de nobleza tienen hoy un carácter simbólico, como antes se ha dicho, la regla de preferencia establecida por el precepto cuestionado hoy es, indudablemente, un elemento diferencial que no tiene cabida en nuestro ordenamiento respecto a aquellas situaciones que poseen una proyección general. De manera que sólo puede entrañar, al igual que los propios títulos nobiliarios, una referencia o una llamada a la historia, desprovista hoy de todo contenido material.</w:t>
      </w:r>
    </w:p>
    <w:p w:rsidR="006854DA" w:rsidRDefault="006854DA" w:rsidP="006854DA">
      <w:pPr>
        <w:pStyle w:val="TextoNormal"/>
      </w:pPr>
      <w:r>
        <w:t xml:space="preserve">Dicho de otro modo: la diferencia por razón de sexo que el mencionado precepto establece sólo posee hoy un valor meramente simbólico dado que el fundamento de la diferenciación que incorpora ya no se halla vigente en nuestro ordenamiento. Mientras que, por el contrario, los valores sociales y jurídicos contenidos en la Constitución y, por tanto, con plena vigencia en el momento actual, necesariamente han de proyectar sus efectos si estuviésemos ante una diferencia legal que tuviera un contenido material. Lo que ciertamente </w:t>
      </w:r>
      <w:r>
        <w:lastRenderedPageBreak/>
        <w:t>no ocurre en el presente caso, en atención a las razones que se han expuesto partiendo de las premisas sentadas en los fundamentos precedentes.</w:t>
      </w:r>
    </w:p>
    <w:p w:rsidR="006854DA" w:rsidRDefault="006854DA" w:rsidP="006854DA">
      <w:pPr>
        <w:pStyle w:val="TextoNormal"/>
      </w:pPr>
      <w:r>
        <w:t>A lo que cabe agregar, por último otra consideración: los títulos nobiliarios se adquieren hoy por vía sucesoria tal y como son. Esto es, en el caso de la mayoría de los existentes, los otorgados en el Antiguo Régimen, tal y como han sido configurados en el pasado histórico al que precisamente hacen hoy referencia. Y resulta significativo comprobar, además, que las sucesivas adquisiciones de aquellos se han verificado según un mismo orden de suceder, bien el establecido en la Real concesión o en su defecto en la Partida 2.15.2.  De suerte que el régimen legal de su transmisión post mortem ha constituido, a lo largo del tiempo un elemento inherente al propio título de nobleza que se adquiere por vía sucesoria. Y otro tanto cabe decir de los otorgados en el Estado liberal e incluso de los concedidos en fechas recientes, pues será lo dispuesto en la Real concesión lo que ha de determinar, en el futuro, las sucesivas transmisiones. Por lo que resultaría paradójico que el título de nobleza pudiera adquirirse por vía sucesoria no tal como es y ha sido históricamente según los criterios que han presidido las anteriores transmisiones, sino al amparo de criterios distintos. Pues ello supondría tanto como proyectar valores y principios contenidos en la Constitución y que hoy poseen un contenido material en nuestro ordenamiento sobre lo que carece de ese contenido por su carácter simbólico.</w:t>
      </w:r>
    </w:p>
    <w:p w:rsidR="006854DA" w:rsidRDefault="006854DA" w:rsidP="006854DA">
      <w:pPr>
        <w:pStyle w:val="TextoNormal"/>
      </w:pPr>
    </w:p>
    <w:p w:rsidR="006854DA" w:rsidRDefault="006854DA" w:rsidP="006854DA">
      <w:pPr>
        <w:pStyle w:val="TextoNormal"/>
      </w:pPr>
      <w:r w:rsidRPr="006854DA">
        <w:rPr>
          <w:rStyle w:val="NumeroAFNegritaCaracter"/>
        </w:rPr>
        <w:t>16</w:t>
      </w:r>
      <w:r>
        <w:t>. Las consideraciones anteriores necesariamente conducen a una respuesta negativa a la cuestión de inconstitucionalidad planteada por la Audiencia Provincial de Madrid. Y al mismo resultado se llega, finalmente, partiendo de la doctrina expuesta en la STC 27/1982, que conviene traer aquí.</w:t>
      </w:r>
    </w:p>
    <w:p w:rsidR="006854DA" w:rsidRDefault="006854DA" w:rsidP="006854DA">
      <w:pPr>
        <w:pStyle w:val="TextoNormal"/>
      </w:pPr>
      <w:r>
        <w:t>En aquel caso se trataba de una particular condición impuesta en el orden de suceder de un título nobiliario unido a un mayorazgo, a saber: que "la persona que ubiere de suceder en el espresado vínculo aia de casar con persona notoriamente noble".  Condición respecto a la que declaramos que ni hoy puede afectar en modo alguno a la dignidad de las personas, ni tiene sentido en nuestro tiempo y bajo la Constitución de 1978 afirmar, como se hace en dicha condición, que quien no casa con persona notoriamente noble es o está "mal casado", siendo como son igualmente dignas todas las personas (art. 10 C.E.).  Y tras esta consideración hemos declarado, no obstante, que "...de ahí no se puede inferir que a la hora de condicionar la adquisición por vía hereditaria de un título nobiliario haya de considerarse como discriminatorio e inconstitucional el hecho de casar con noble, pues en fin de cuentas son de la misma índole el hecho condicionante y el condicionado y tan anacrónico y residual es aquel como éste, pero no siendo inconstitucional el título nobiliario no puede serlo supeditar su adquisición por vía sucesoria al hecho de casar con noble" (STC 27/1982, fundamento jurídico 3º).</w:t>
      </w:r>
    </w:p>
    <w:p w:rsidR="006854DA" w:rsidRDefault="006854DA" w:rsidP="006854DA">
      <w:pPr>
        <w:pStyle w:val="TextoNormal"/>
      </w:pPr>
      <w:r>
        <w:t>Confrontados ahora con la regla o criterio de preferencia del varón sobre la mujer, en igualdad de línea y grado, en la sucesión regular en los títulos nobiliarios, contenida en la Partida 2.15.2, la misma ratio decidendi ha de guiar nuestra conclusión desestimatoria de la presente cuestión de inconstitucionalidad. Pues no siendo discriminatorio y, por tanto, inconstitucional el título de nobleza tampoco puede serlo dicha preferencia, salvo incurrir en la misma contradicción lógica que respecto a aquel caso se ha señalado.</w:t>
      </w:r>
    </w:p>
    <w:p w:rsidR="006854DA" w:rsidRDefault="006854DA" w:rsidP="006854DA">
      <w:pPr>
        <w:pStyle w:val="TextoNormal"/>
      </w:pPr>
      <w:r>
        <w:t xml:space="preserve">Si se quiere, dicho en otros términos: admitida la constitucionalidad de los títulos nobiliarios por su naturaleza meramente honorífica y la finalidad de mantener vivo el recuerdo histórico al que se debe su otorgamiento, no cabe entender que un determinado elemento de dicha institución -el régimen de su transmisión mortis causa- haya de apartarse de las determinaciones establecidas en la Real carta de concesión. La voluntad regia que ésta </w:t>
      </w:r>
      <w:r>
        <w:lastRenderedPageBreak/>
        <w:t>expresa no puede alterarse sin desvirtuar el origen y la naturaleza histórica de la institución, pues como ya dijimos en la mencionada STC 27/1982 "resultaría la insalvable contradicción lógica de ser la nobleza causa discriminatoria y por ende inconstitucional a la hora de valorar la condición para adquirir el título, pero no a la hora de valorar la existencia misma y la constitucionalidad del título nobiliario en cuestión".</w:t>
      </w:r>
    </w:p>
    <w:p w:rsidR="006854DA" w:rsidRDefault="006854DA" w:rsidP="006854DA">
      <w:pPr>
        <w:pStyle w:val="TextoNormal"/>
      </w:pPr>
    </w:p>
    <w:p w:rsidR="006854DA" w:rsidRDefault="006854DA" w:rsidP="006854DA">
      <w:pPr>
        <w:pStyle w:val="TextoNormal"/>
      </w:pPr>
      <w:r w:rsidRPr="006854DA">
        <w:rPr>
          <w:rStyle w:val="NumeroAFNegritaCaracter"/>
        </w:rPr>
        <w:t>17</w:t>
      </w:r>
      <w:r>
        <w:t>. Todo lo expuesto lleva a estimar, en definitiva, que la legislación histórica aplicable a la sucesión regular en los títulos nobiliarios y, en particular, la Partida 2.15.2, de la que deriva la regla o criterio de la preferencia del varón sobre la mujer en igualdad de línea y grado, aplicable en virtud de lo dispuesto en el art.  13 de la Ley de 11 de octubre de 1820 y el art. 1 de la Ley de 4 de mayo de 1948, no es contraria al art. 14 C.E. Por lo que procede, en consecuencia, desestimar la cuestión de inconstitucionalidad promovida por la Sección Decimotercera de la Audiencia Provincial de Madrid en el rollo 692/94, formado en el recurso de apelación contra la Sentencia dictada por el Juzgado de Primera Instancia núm. 51 de Madrid en los autos 566/92.</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1º. Declarar que el art. 1 de la Ley de 4 de mayo de 1948 y el art. 13 de la Ley de 11 de octubre de 1820, en cuanto declaran aplicable el Derecho histórico y en particular, la Partida 2.15.2, precepto del que deriva la regla de preferencia del varón sobre la mujer en igualdad de línea y grado, en el orden regular de las transmisiones mortis causa de títulos nobiliarios, no son contrarios al art. 14 C.E.  y, en consecuencia,</w:t>
      </w:r>
    </w:p>
    <w:p w:rsidR="006854DA" w:rsidRDefault="006854DA" w:rsidP="006854DA">
      <w:pPr>
        <w:pStyle w:val="TextoNormal"/>
      </w:pPr>
      <w:r>
        <w:t>2º. Desestimar la presente cuestión de inconstitucionalidad.</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tres de julio de mil novecientos noventa y siete.</w:t>
      </w:r>
    </w:p>
    <w:p w:rsidR="006854DA" w:rsidRDefault="006854DA" w:rsidP="006854DA">
      <w:pPr>
        <w:pStyle w:val="ParrafoNormal"/>
      </w:pPr>
    </w:p>
    <w:p w:rsidR="006854DA" w:rsidRDefault="006854DA" w:rsidP="006854DA">
      <w:pPr>
        <w:pStyle w:val="TextoNormalNegritaCentrado"/>
        <w:keepNext/>
      </w:pPr>
      <w:r>
        <w:t>Voto particular que formulan los Magistrados don Carles Viver Pi-Sunyer y don Tomás S. Vives Antón a la sentencia dictada en la cuestión de inconstitucionalidad núm. 661/96.</w:t>
      </w:r>
    </w:p>
    <w:p w:rsidR="006854DA" w:rsidRDefault="006854DA" w:rsidP="006854DA">
      <w:pPr>
        <w:pStyle w:val="TextoNormalNegritaCentrado"/>
        <w:keepNext/>
      </w:pPr>
    </w:p>
    <w:p w:rsidR="006854DA" w:rsidRDefault="006854DA" w:rsidP="006854DA">
      <w:pPr>
        <w:pStyle w:val="TextoNormal"/>
      </w:pPr>
      <w:r>
        <w:t xml:space="preserve">Nuestra respetuosa discrepancia con la Sentencia se refiere, en primer lugar, a los razonamientos que fundamentan la admisibilidad de la cuestión planteada.  No compartimos sin reservas las consideraciones que llevan a afirmar que aquí estamos ante una duda de constitucionalidad cuyo objeto sean las normas que luego se enjuician, ni nos parece concluyente la tesis de que unas remisiones legales imprecisas otorgan rango de ley a una regla anterior a la existencia misma de un sistema formal de fuentes (y que, conforme a sus propios criterios materiales de validez cabría estimar obsoleta). Con todo, centraremos la expresión de nuestra disidencia en el problema de fondo que suscita la Sentencia y, más concretamente, en la ratio decidendi que fundamenta el fallo, según la cual la preferencia </w:t>
      </w:r>
      <w:r>
        <w:lastRenderedPageBreak/>
        <w:t>del varón sobre la mujer en el orden regular de sucesión en los títulos nobiliarios es conforme a la Constitución, porque el art.  14 de la Ley suprema no le es aplicable.</w:t>
      </w:r>
    </w:p>
    <w:p w:rsidR="006854DA" w:rsidRDefault="006854DA" w:rsidP="006854DA">
      <w:pPr>
        <w:pStyle w:val="TextoNormal"/>
      </w:pPr>
      <w:r>
        <w:t>Nuestra opinión, en este punto, es justamente la contraria. Sostenemos que el orden regular de sucesión en los títulos nobiliarios no solamente se halla sometido a la Constitución y, más exactamente, a las exigencias del derecho a la igualdad de su art.  14, sino que, al establecer una preferencia del varón sobre la mujer en el orden sucesorio aludido, consagra una discriminación por razón de sexo que vulnera frontalmente una de las prohibiciones a las que de forma expresa y específica alude el Texto constitucional, otorgando así un relieve acorde con el profundo rechazo que hoy produce este tipo de desigualdad en las sociedades de nuestro entorno cultural.</w:t>
      </w:r>
    </w:p>
    <w:p w:rsidR="006854DA" w:rsidRDefault="006854DA" w:rsidP="006854DA">
      <w:pPr>
        <w:pStyle w:val="TextoNormal"/>
      </w:pPr>
      <w:r>
        <w:t>Para sustentar nuestra opinión, presuponemos, en primer término, que el orden regular de suceder en los títulos nobiliarios es una norma, esto es, que opera en defecto de cualquier otra especificación de la voluntad del concedente; pero, sin que su aplicación precise apelar a ninguna clase de voluntad tácita o presunta. En caso contrario, es decir, si cupiera afirmar que es sólo la voluntad del que otorga el título la que determina el orden sucesorio, la norma presunta se disolvería en la serie de actos de otorgamiento; pero, entonces, la cuestión de inconstitucionalidad no versaría, como exige el art.  35.1 de la LOTC, sobre una norma auténtica, sino sólo sobre una aparente.</w:t>
      </w:r>
    </w:p>
    <w:p w:rsidR="006854DA" w:rsidRDefault="006854DA" w:rsidP="006854DA">
      <w:pPr>
        <w:pStyle w:val="TextoNormal"/>
      </w:pPr>
      <w:r>
        <w:t>En segundo lugar, presuponemos también que estamos enjuiciando una norma jurídica, esto es, un fragmento del ordenamiento estatal y no una simple regla de comportamiento establecida por determinados grupos sociales en virtud de sus peculiares convenciones, pues de no aceptarse esa presuposición, cualquier tipo de enjuiciamiento del problema planteado por parte de este Tribunal carecería de sentido.</w:t>
      </w:r>
    </w:p>
    <w:p w:rsidR="006854DA" w:rsidRDefault="006854DA" w:rsidP="006854DA">
      <w:pPr>
        <w:pStyle w:val="TextoNormal"/>
      </w:pPr>
      <w:r>
        <w:t>No estamos por tanto ante un fenómeno que se produzca al margen del Derecho, ni ante una manifestación asociativa de carácter meramente privado.  Los actos de concesión, rehabilitación, transmisión mortis causa de los títulos nobiliarios -con su carácter vincular-, e incluso las cesiones y la distribución inter liberos -aunque aquí con matizaciones-, no son fruto de relaciones inter privatos, sino ejercicio de facultades públicas del monarca, como se reconoce en la Sentencia. En este ejercicio intervienen diversos órganos estatales -desde el Consejo de Estado hasta los órganos del poder judicial, pasando por el refrendo y asunción de responsabilidades del Ministro de Justicia-y todo este proceso está regido por normas cuyo contenido no se limita a reconocer un ámbito de autonomía de la voluntad o privada, sino que establecen auténticas reglas de ius cogens, plenamente integradas, y esto es aquí lo más relevante, en el ordenamiento jurídico vigente en la actualidad en España. Insistimos, si no se tratase de una verdadera norma jurídica vigente este Tribunal no hubiera podido admitirla como objeto de una cuestión de inconstitucionalidad.</w:t>
      </w:r>
    </w:p>
    <w:p w:rsidR="006854DA" w:rsidRDefault="006854DA" w:rsidP="006854DA">
      <w:pPr>
        <w:pStyle w:val="TextoNormal"/>
      </w:pPr>
      <w:r>
        <w:t>En la medida en que el fallo de la Sentencia no es de inadmisión hemos de entender que la mayoría del Pleno comparte ambas presuposiciones.</w:t>
      </w:r>
    </w:p>
    <w:p w:rsidR="006854DA" w:rsidRDefault="006854DA" w:rsidP="006854DA">
      <w:pPr>
        <w:pStyle w:val="TextoNormal"/>
      </w:pPr>
      <w:r>
        <w:t xml:space="preserve">Pues bien, sentado cuanto antecede, cabe recordar que una norma jurídica estatal no puede establecer una preferencia sucesoria del varón sobre la mujer en materia de título nobiliarios, pues aunque tal preferencia no tuviese más contenido jurídico que ese, aún tendría, por lo menos, justamente ese. Y con ello queremos decir que obligaría a los poderes públicos intervinientes -sean gubernativos o judiciales- a preterir a la mujer en el ámbito de una relación jurídica que, aunque es lo cierto que ha perdido gran parte de su significación histórica (puesto que en la actualidad ni entraña ejercicio de funciones públicas, ni otorga un status civitatis especial -consecuencias ambas radicalmente incompatibles con nuestro actual ordenamiento constitucional), no lo es menos que ni estos efectos jurídicos y sociales son totalmente irrelevantes, ni tienen por qué serlo en un futuro, ni, sobre todo </w:t>
      </w:r>
      <w:r>
        <w:lastRenderedPageBreak/>
        <w:t>que, aunque lo fueran, dejaría de ser trato discriminatorio la prevalencia del varón establecida legalmente.</w:t>
      </w:r>
    </w:p>
    <w:p w:rsidR="006854DA" w:rsidRDefault="006854DA" w:rsidP="006854DA">
      <w:pPr>
        <w:pStyle w:val="TextoNormal"/>
      </w:pPr>
      <w:r>
        <w:t>En efecto, según la Sentencia de la que disentimos, los títulos nobiliarios son hoy un simple nomen honoris cuya trascendencia es escasamente significativa, ya que desde la perspectiva jurídico-pública, cumplen una función meramente simbólica y, desde la privada, tienen el valor que la sociedad decida otorgarles; por ello, se dice, la discriminación de la mujer se produce en una relación jurídica prácticamente irrelevante. Este planteamiento requiere, a nuestro entender, alguna matización. En primer lugar, los efectos jurídicos y sociales no son ni inexistentes ni irrelevantes; aunque jurídicamente sólo se redujeran en hipótesis a los derechos relacionados con la adquisición y defensa del nomen honoris, ya tendrían sólo por ello suficiente relieve como muestra, entre otras circunstancias, la importante litigiosidad judicial que suscitan. Por otra parte, aunque es cierto que en la actualidad su relieve es limitado, debe admitirse que el valor de los derechos fundamentales no se mide por el número de sus posibles titulares ni por el mayor o menor alcance de sus consecuencias jurídicas y prácticas. Los datos cuantitativos no pueden convertirse en canon para determinar la vulneración o no de una prohibición expresa de discriminación como la relativa al sexo.</w:t>
      </w:r>
    </w:p>
    <w:p w:rsidR="006854DA" w:rsidRDefault="006854DA" w:rsidP="006854DA">
      <w:pPr>
        <w:pStyle w:val="TextoNormal"/>
      </w:pPr>
      <w:r>
        <w:t>En suma, aunque creemos que nada excluye que los títulos nobiliarios, bajo ciertas condiciones a las que luego nos referiremos, puedan desempeñar una función relevante en el marco de la Monarquía parlamentaria establecida por la Constitución de 1978, es cierto que, como la Sentencia da por sentado, también pueden jugar un papel menor, insignificante o meramente simbólico. Pero, el que se dé una u otra de las situaciones a que acabamos de referirnos podrá incidir en la mayor o menor entidad de la discriminación enjuiciada, no en su existencia.</w:t>
      </w:r>
    </w:p>
    <w:p w:rsidR="006854DA" w:rsidRDefault="006854DA" w:rsidP="006854DA">
      <w:pPr>
        <w:pStyle w:val="TextoNormal"/>
      </w:pPr>
      <w:r>
        <w:t>Esta constatación, puesta en contraste con la prohibición explícita de discriminación por razón de sexo del art. 14 C.E., debería a nuestro entender, haber llevado derechamente a la declaración de inconstitucionalidad de la regla de preferencia del varón.  Esta conclusión se refuerza si se tiene en cuenta que el fundamento de esa preterición de la mujer, heredada de otros tiempos, no puede desconectarse de la idea que la motivó: la incapacidad de la mujer para transmitir el linaje en condiciones de igualdad con el hombre y, en definitiva, la inferioridad de la mujer en todos los órdenes, incluido el social. Ambas proposiciones afectan directamente al núcleo más duro de la prohibición constitucional de establecer diferencias entre los sexos.</w:t>
      </w:r>
    </w:p>
    <w:p w:rsidR="006854DA" w:rsidRDefault="006854DA" w:rsidP="006854DA">
      <w:pPr>
        <w:pStyle w:val="TextoNormal"/>
      </w:pPr>
      <w:r>
        <w:t>La única vía mediante la que pudiera llegarse a la conclusión, que la Sentencia obtiene, de que al orden regular de sucesión en los títulos nobiliarios no le resulta aplicable el art. 14 de la C.E. y, por lo tanto, no le alcanzan las prohibiciones de discriminación que en él se contienen, es la seguida en la STC 27/1982, por la que, a mayor abundamiento, también se transita en ésta.</w:t>
      </w:r>
    </w:p>
    <w:p w:rsidR="006854DA" w:rsidRDefault="006854DA" w:rsidP="006854DA">
      <w:pPr>
        <w:pStyle w:val="TextoNormal"/>
      </w:pPr>
      <w:r>
        <w:t>Esa vía tiene una doble formulación. Su argumentación más simple puede resumirse así: si la Constitución acepta la pervivencia de una institución histórica debe admitirla tal como es sin exigir ninguna modificación o adaptación a las exigencias derivadas de la misma, en este caso, a las del derecho a la igualdad.  La segunda, algo más matizada, sostiene que dado que la Constitución reconoce los títulos nobiliarios y la desigualdad es consustancial a ellos, al reconocerlos está, al mismo tiempo, por implicación, excluyendo respecto de ellos las exigencias derivadas del principio de igualdad.</w:t>
      </w:r>
    </w:p>
    <w:p w:rsidR="006854DA" w:rsidRDefault="006854DA" w:rsidP="006854DA">
      <w:pPr>
        <w:pStyle w:val="TextoNormal"/>
      </w:pPr>
      <w:r>
        <w:t xml:space="preserve">El primero de estos razonamientos no requiere, creemos, mucho esfuerzo argumental para demostrar su endeblez tanto lógica como jurídica. Una simple observación de lo sucedido al entrar en vigor la Constitución de 1978 muestra con toda claridad que una buena </w:t>
      </w:r>
      <w:r>
        <w:lastRenderedPageBreak/>
        <w:t>parte de las instituciones existentes en aquella fecha pervivieron con posterioridad a la misma pero no se consideraron inmunes a la Constitución, sino que tuvieron que adaptarse al nuevo orden constitucional - desde la familia y el matrimonio, en el ámbito más privado, hasta, por ejemplo, los derechos históricos a los que se refiere la Disposición adicional primera de la Constitución-. Como es obvio, las Constituciones nuevas ni hacen tabla rasa con todo el ordenamiento previo, ni tienen unos efectos exclusivamente pro futuro reservados a las instituciones surjidas a partir de la entrada en vigor del nuevo Texto constitucional.</w:t>
      </w:r>
    </w:p>
    <w:p w:rsidR="006854DA" w:rsidRDefault="006854DA" w:rsidP="006854DA">
      <w:pPr>
        <w:pStyle w:val="TextoNormal"/>
      </w:pPr>
      <w:r>
        <w:t>El segundo argumento resultaría, en principio, inobjetable si se diesen dos requisitos que no concurren en este caso: que la propia Constitución excluyese de forma explícita, en todo o en parte, la aplicación del art. 14 a los títulos nobiliarios o, en segundo lugar, que la preferencia del varón fuese efectivamente consustancial a esos títulos, puesto que en este caso cabría tratar de defender una discutible exclusión tácita de esta exigencia constitucional de igualdad.</w:t>
      </w:r>
    </w:p>
    <w:p w:rsidR="006854DA" w:rsidRDefault="006854DA" w:rsidP="006854DA">
      <w:pPr>
        <w:pStyle w:val="TextoNormal"/>
      </w:pPr>
      <w:r>
        <w:t>En efecto, si la Constitución explícitamente proclamase esta exclusión, como hace en su art. 57 respecto de la sucesión en la Corona, ninguna duda de constitucionalidad podría existir a partir de una sencilla interpretación sistemática de la Constitución y de la indiscutible aplicación del principio de especialidad. No cabe poner en tela de juicio que el propio Texto constitucional puede establecer excepciones explícitas a los principios y derechos proclamados de forma general, sin que ello entrañe ningún "esquizofrénico" problema de constitucionalidad.  Pero, como es conocido, ninguna inmunidad de Constitución se consagra explícitamente en la de 1978 respecto de los títulos nobiliarios.</w:t>
      </w:r>
    </w:p>
    <w:p w:rsidR="006854DA" w:rsidRDefault="006854DA" w:rsidP="006854DA">
      <w:pPr>
        <w:pStyle w:val="TextoNormal"/>
      </w:pPr>
      <w:r>
        <w:t>Tampoco puede correr mejor suerte el segundo argumento. La premisa de la que parte ni es cierta ni es lógicamente distinta de la conclusión que pretende alcanzarse, puesto que la desigualdad que caracteriza a los títulos nobiliarios no es sustancial, sino meramente histórica. Los títulos nobiliarios que, hasta la Constitución, se han configurado de modo incompatible con las exigencias del principio de igualdad pueden, a partir de ella, configurarse de acuerdo a dichas exigencias, como altas distinciones con las que premiar méritos excepcionales e incluso, en su caso, perpetuar la memoria de esos méritos mediante una transmisión sucesoria que no contenga discriminaciones prohibidas.</w:t>
      </w:r>
    </w:p>
    <w:p w:rsidR="006854DA" w:rsidRDefault="006854DA" w:rsidP="006854DA">
      <w:pPr>
        <w:pStyle w:val="TextoNormal"/>
      </w:pPr>
      <w:r>
        <w:t>El hecho de que sea posible una configuración de los títulos que, a la vez, evoque la memoria del pasado y respete las exigencias del principio de igualdad pone de manifiesto que el razonamiento en virtud del que se pretende excluirlos de la aplicación del art. 14 no es sino un sofisma.</w:t>
      </w:r>
    </w:p>
    <w:p w:rsidR="006854DA" w:rsidRDefault="006854DA" w:rsidP="006854DA">
      <w:pPr>
        <w:pStyle w:val="TextoNormal"/>
      </w:pPr>
      <w:r>
        <w:t>Al atribuir a la naturaleza de los títulos nobiliarios la desigualdad que pertenece sólo a su historia y concebir así la historia -contrariando su sentido íntimo e, incluso, el uso que la Sentencia hace de ella cuando describe la evolución de los títulos- como una especie de naturaleza petrificada que excluye el cambio, predetermina que la igualdad no les es aplicable, dando por sentado en la premisa lo que a partir de ella se intenta concluir e incurriendo así en una evidente petición de principio.</w:t>
      </w:r>
    </w:p>
    <w:p w:rsidR="006854DA" w:rsidRDefault="006854DA" w:rsidP="006854DA">
      <w:pPr>
        <w:pStyle w:val="TextoNormal"/>
      </w:pPr>
      <w:r>
        <w:t>Por todo lo expuesto creemos que la Sentencia debía haber declarado que la regla que establece la preferencia del varón sobre la mujer en el orden regular de sucesión en los títulos nobiliarios vulnera la prohibición constitucional de que en el ordenamiento jurídico hoy vigente pervivan discriminaciones tan odiosas en la actualidad como es la desigualdad por razón de sexo.</w:t>
      </w:r>
    </w:p>
    <w:p w:rsidR="006854DA" w:rsidRDefault="006854DA" w:rsidP="006854DA">
      <w:pPr>
        <w:pStyle w:val="TextoNormal"/>
      </w:pPr>
      <w:r>
        <w:t>Madrid, a nueve de julio de mil novecientos noventa y siete.</w:t>
      </w:r>
    </w:p>
    <w:p w:rsidR="006854DA" w:rsidRDefault="006854DA" w:rsidP="006854DA">
      <w:pPr>
        <w:pStyle w:val="TextoNormal"/>
      </w:pPr>
    </w:p>
    <w:p w:rsidR="006854DA" w:rsidRDefault="006854DA" w:rsidP="006854DA">
      <w:pPr>
        <w:pStyle w:val="TextoNormalNegritaCentrado"/>
        <w:keepNext/>
      </w:pPr>
      <w:r>
        <w:lastRenderedPageBreak/>
        <w:t>Voto particular que formula el Magistrado don Pedro Cruz Villalón a la sentencia recaída en la cuestión de inconstitucionalidad núm. 661/96.</w:t>
      </w:r>
    </w:p>
    <w:p w:rsidR="006854DA" w:rsidRDefault="006854DA" w:rsidP="006854DA">
      <w:pPr>
        <w:pStyle w:val="TextoNormalNegritaCentrado"/>
        <w:keepNext/>
      </w:pPr>
    </w:p>
    <w:p w:rsidR="006854DA" w:rsidRDefault="006854DA" w:rsidP="006854DA">
      <w:pPr>
        <w:pStyle w:val="TextoNormal"/>
      </w:pPr>
      <w:r>
        <w:t>Con el máximo respeto a la opinión sustentada en la precedente Sentencia, entiendo que la cuestión de inconstitucionalidad en ella resuelta debió haber sido inadmitida a trámite, tal como propugnó en su día el Fiscal General del Estado.  Con independencia de lo anterior, pero con el mismo respeto, y en la medida en que este Tribunal Constitucional ha entrado en el fondo de la cuestión planteada, discrepo de la fundamentación y del fallo, coincidiendo en este extremo con la conclusión que se alcanza en las alegaciones presentadas por el Abogado del Estado.</w:t>
      </w:r>
    </w:p>
    <w:p w:rsidR="006854DA" w:rsidRDefault="006854DA" w:rsidP="006854DA">
      <w:pPr>
        <w:pStyle w:val="TextoNormal"/>
      </w:pPr>
      <w:r>
        <w:t>1. Como resulta de los Antecedentes, el Fiscal General del Estado ha sostenido que la cuestión de inconstitucionalidad debió haber sido inadmitida a trámite o, ya en fase de Sentencia, haberse declarado su inadmisibilidad sin entrar en el fondo del asunto, toda vez que, en contra de lo dispuesto en el art. 35 LOTC, el órgano judicial, la Audiencia Provincial en este caso, no se puede decir que haya considerado que una determinada norma "pueda ser contraria a la Constitución"; por el contrario, la lectura de su Auto de planteamiento lo que pone de manifiesto es su convicción de que la norma cuestionada, sobre ella se volverá en seguida, no es contraria a la Constitución. Ello traería como consecuencia otro defecto procesal, igualmente insubsanable, del citado Auto, su notoria falta de fundamento con los efectos del art. 37.1, inciso segundo, de la LOTC, por cuanto, al dirigirse precisamente la argumentación a reivindicar la constitucionalidad del precepto cuestionado, aquélla carecería de toda capacidad para fundamentar una eventual inconstitucionalidad. En este contexto cita particularmente la STC 222/1992, fundamento jurídico 2º.</w:t>
      </w:r>
    </w:p>
    <w:p w:rsidR="006854DA" w:rsidRDefault="006854DA" w:rsidP="006854DA">
      <w:pPr>
        <w:pStyle w:val="TextoNormal"/>
      </w:pPr>
      <w:r>
        <w:t>Esta argumentación debió haber sido sustancialmente acogida. Y ello no tanto porque un Auto de planteamiento dirigido a reivindicar la validez o la vigencia de una determinada norma con rango de ley dé lugar, por definición, a una cuestión manifiestamente falta de fundamento, cuanto, ante todo, porque este modo de instar este proceso constitucional viene a desvirtuar su sentido en términos frente a los cuales este Tribunal ha venido previniendo inequívocamente desde sus primeras Sentencias recaídas en una cuestión de inconstitucionalidad (STC 17/1981, fundamento jurídico 1º).</w:t>
      </w:r>
    </w:p>
    <w:p w:rsidR="006854DA" w:rsidRDefault="006854DA" w:rsidP="006854DA">
      <w:pPr>
        <w:pStyle w:val="TextoNormal"/>
      </w:pPr>
      <w:r>
        <w:t>La Constitución (art. 163), al exigir como el primer presupuesto de la cuestión de inconstitucionalidad el que un órgano judicial considere que una determinada norma con rango de ley "pueda ser contraria a la Constitución", ha hecho de este proceso constitucional un instrumento dirigido a posibilitar a los Jueces y Tribunales "conciliar la doble obligación en que se encuentran de actuar sometidos a la Ley y a la Constitución" (STC 36/1991, fundamento jurídico 3º).  Ello implica, sin duda, que cuando, a su parecer, entre ambas normas no existe contradicción alguna, el recurso a la cuestión resulta improcedente. Pues las dudas, lógicamente, son subjetivas: no cabe "objetivar" una duda sobre la base de contraponer la solución dada por el órgano inferior a la que previsiblemente va a dar el órgano superior, allí donde el órgano judicial a quo no alberga la más mínima duda o vacilación respecto de la constitucionalidad de la norma, como es el caso. Dicho muy sencillamente, de forma parecida a como, hace ahora dos años, declaramos, en el contexto de esta misma problemática, que el recurso de amparo no está a disposición del beneficiado o privilegiado por la actuación de los poderes públicos, sino precisamente a la del perjudicado o discriminado por aquélla (STC 114/1995), la cuestión de inconstitucionalidad no ha sido instituida para que los Jueces defiendan la constitucionalidad de la ley, sino, por el contrario, para que puedan cuestionarla, sin verse obligados a aplicarla, en aquellos casos en los que entiendan que dicha ley puede resultar opuesta a la Constitución. El modo co</w:t>
      </w:r>
      <w:r>
        <w:lastRenderedPageBreak/>
        <w:t>mo los Jueces y Tribunales defienden la legitimidad constitucional de una norma con rango de ley es, sencillamente, el de su aplicación, sin dilaciones indebidas.  El que, posteriormente, dicha aplicación pueda resultar desautorizada por un Tribunal superior no es algo que esté llamada a prevenir la cuestión de inconstitucionalidad.</w:t>
      </w:r>
    </w:p>
    <w:p w:rsidR="006854DA" w:rsidRDefault="006854DA" w:rsidP="006854DA">
      <w:pPr>
        <w:pStyle w:val="TextoNormal"/>
      </w:pPr>
      <w:r>
        <w:t>Esta apreciación no se ve desvirtuada por la circunstancia de que se trate de derecho anterior a la Constitución, sobre el que se proyecta también la eficacia derogatoria de la misma. En contra de lo que ha entendido la Audiencia Provincial, el sentido de la doctrina de la STC 4/1981 (fundamento jurídico 1º, D) no es el de posibilitar una inaceptable discrecionalidad del órgano judicial a la hora de proponer cuestiones sobre este tipo de normas, se dude o no se dude.  Cuando el Tribunal Constitucional ha permitido cuestiones sobre leyes preconstitucionales "en caso de duda", más bien lo que ha pretendido es excluir los casos en los que no hay duda, y sí certeza, ya sea de la inconstitucionalidad, ya sea de la constitucionalidad. En esto se diferencia del supuesto de las leyes posconstitucionales, en los que la cuestión puede formularse tanto en caso de duda como en caso de certeza de la inconstitucionalidad. La combinación de certeza, en el sentido que sea, y ley preconstitucional debe cerrar el paso a la cuestión de inconstitucionalidad.</w:t>
      </w:r>
    </w:p>
    <w:p w:rsidR="006854DA" w:rsidRDefault="006854DA" w:rsidP="006854DA">
      <w:pPr>
        <w:pStyle w:val="TextoNormal"/>
      </w:pPr>
      <w:r>
        <w:t>2. Pero no es esta la única razón por la que la cuestión de inconstitucionalidad debió haber sido inadmitida. Más allá de la anterior dificultad subjetiva, concurre una dificultad objetiva, derivada de no haberse aportado una "norma con rango de ley" en el sentido del art. 163 C.E. Ello sólo es consecuencia de un dato presente en nuestro ordenamiento: carecemos de una norma con rango de ley que regule lo que se conoce como el "orden de sucesión regular" de los títulos nobiliarios en defecto, pues tal es el problema, de previsión en el Título de concesión de los mismos, y que contenga, por tanto, la específica regla de la preferencia del varón respecto de la mujer en igualdad de línea y grado, objeto de la cuestión. En los términos del Auto de planteamiento, "el derecho histórico vigente al disciplinar el orden regular de sucesión en los títulos nobiliarios, expresamente establece que en igualdad de línea y grado el varón es preferente a la mujer, es decir, consagra el principio de masculinidad o varonía" (fundamento jurídico 3º). Tal sería el objeto de la cuestión de inconstitucionalidad.</w:t>
      </w:r>
    </w:p>
    <w:p w:rsidR="006854DA" w:rsidRDefault="006854DA" w:rsidP="006854DA">
      <w:pPr>
        <w:pStyle w:val="TextoNormal"/>
      </w:pPr>
      <w:r>
        <w:t>La Audiencia Provincial presenta esta regla como construida a partir de una pluralidad de textos legales, repetidamente citados en la Sentencia, cuya última manifestación es un Decreto de 1948 y la primera de todas el Código de las Siete Partidas, los cuales configurarían un calificado "derecho histórico" sobre la materia. La cuestión, sin embargo, es la de si, efectivamente, en ese conjunto normativo hay alguna norma formalmente vigente y con rango de ley que regule dicha materia (STC 11/1981, fundamento jurídico 4º).</w:t>
      </w:r>
    </w:p>
    <w:p w:rsidR="006854DA" w:rsidRDefault="006854DA" w:rsidP="006854DA">
      <w:pPr>
        <w:pStyle w:val="TextoNormal"/>
      </w:pPr>
      <w:r>
        <w:t xml:space="preserve">El dato más elemental del que hay que partir es el de que la norma en este momento formalmente vigente, relativa al orden de sucesión de los títulos nobiliarios, es el art. 5 del Decreto de 4 de junio de 1948, que declara que "el orden de suceder en todas las dignidades nobiliarias se acomodará estrictamente a lo dispuesto en el Título de concesión, y en su defecto, al que tradicionalmente se ha seguido en esta materia". El Auto de planteamiento pretende que el Decreto tiene rango legal por efecto de lo previsto en la Ley de 4 de mayo del mismo año que restableció las "disposiciones vigentes" con anterioridad al advenimiento de la República sobre títulos nobiliarios, todo ello "en cuanto no se opongan a la presente Ley y Decretos que la complementen".  Cabe coincidir con la Sentencia y con el Abogado del Estado a la hora de negar rango de ley a este Decreto y, por tanto, el que pueda considerarse objeto válido de una cuestión de inconstitucionalidad. Pero, precisamente, ésta es la única disposición formalmente vigente que regula esta materia y de la </w:t>
      </w:r>
      <w:r>
        <w:lastRenderedPageBreak/>
        <w:t>que se puede predicar con algún sentido la categoría de "rango" normativo en el sentido moderno de la palabra.</w:t>
      </w:r>
    </w:p>
    <w:p w:rsidR="006854DA" w:rsidRDefault="006854DA" w:rsidP="006854DA">
      <w:pPr>
        <w:pStyle w:val="TextoNormal"/>
      </w:pPr>
      <w:r>
        <w:t>Ocurre, además, que este Decreto vino a delimitar el ámbito de restablecimiento de esas "disposiciones vigentes" hasta 1931 a que alude la Ley de 4 de mayo de 1948 y, muy particularmente, del Real Decreto de 27 de mayo de 1912. En efecto, el art. 1 de dicha Ley dispuso que las referidas disposiciones se restablecían "en cuanto no se opongan a la presente Ley y Decretos que la complementen". Este dato tiene importancia dado el contenido del art. 4 del Real Decreto, derogado por el art. 5 del Decreto de 4 de junio de 1948: "El orden de suceder en estas Dignidades se acomodará estrictamente a lo dispuesto en la Real concesión y, en su defecto a lo establecido para la sucesión de la Corona".  Por medio de esta remisión, que parece debe entenderse como dinámica, se establecía inequívocamente en una disposición la asimilación del orden de suceder en los títulos nobiliarios al orden de sucesión de la Corona, en defecto de previsión en la Real concesión: dejaba de ser necesario acudir a los textos medievales. Pero, como se ha señalado, este art. 4 del Real Decreto de 1912 no quedó restablecido como consecuencia de la previsión diferente, establecida por razones conocidas, contenida en el art. 5 del Decreto de 1948.</w:t>
      </w:r>
    </w:p>
    <w:p w:rsidR="006854DA" w:rsidRDefault="006854DA" w:rsidP="006854DA">
      <w:pPr>
        <w:pStyle w:val="TextoNormal"/>
      </w:pPr>
      <w:r>
        <w:t>Con la fórmula de 1948 volvíamos a la remisión a la tradición ("el que tradicionalmente se ha seguido en la materia"). Pues, evidentemente, de tradición, y no de otra cosa, se trataba, ya desde las Partidas. Basta leer la reiterada Partida 2.15.2 desde su mismo comienzo para comprobar que es sólo una costumbre lo que se está describiendo: "E esto usaron siempre en todas las tierras del mundo, do quier que el señorío ouieron por linaje...E por ende establecieron, que si fijo varon y non oviesse, la fija mayor heredasse el Reyno".</w:t>
      </w:r>
    </w:p>
    <w:p w:rsidR="006854DA" w:rsidRDefault="006854DA" w:rsidP="006854DA">
      <w:pPr>
        <w:pStyle w:val="TextoNormal"/>
      </w:pPr>
      <w:r>
        <w:t>Esta es la norma a la que final, e indirectamente se llega, pero por efecto del Decreto de 1948, que describe acertadamente la situación: "el que tradicionalmente se ha seguido en la materia". Porque eso es cabalmente lo que ha ocurrido, que los Tribunales han venido siguiendo o aplicando, por defecto, un orden de suceder que se hace coincidir con el contenido en dicha Ley de Partidas para la Corona, pero que, por ello mismo, no tiene otro soporte que esa jurisprudencia constante, y en la medida y hasta el momento en que se ha mantenido (cfr. fundamento jurídico 6º B). Todo lo demás, y, particularmente, la referencia de la Ley de 1948 a las "disposiciones vigentes", o la de la Ley Desvinculadora de 1820 a "los documentos de procedencia", o las referencias, en fin, a las diversas disposiciones, éstas sí, históricas relativas a la sucesión en los mayorazgos, considero que no desvirtúan esta conclusión: en la actualidad, la norma formalmente vigente que dispone que se siga la preferencia del varón en igualdad de línea y grado es una disposición reglamentaria que remite a una forma de encontrar el derecho aplicable supletoriamente que es de creación doctrinal, o sea, a la jurisprudencia que era tradicional en la materia, jurisprudencia interrumpida, sin embargo, y con independencia de lo dispuesto en el Decreto de 1948, a comienzos de esta década.</w:t>
      </w:r>
    </w:p>
    <w:p w:rsidR="006854DA" w:rsidRDefault="006854DA" w:rsidP="006854DA">
      <w:pPr>
        <w:pStyle w:val="TextoNormal"/>
      </w:pPr>
      <w:r>
        <w:t>Pero el que los Tribunales hayan venido aplicando analógicamente el orden de sucesión contenido, para el Reino, en la Partida 2.15.2 no autoriza a pretender un control de constitucionalidad proyectado sobre dicha Partida, en sí misma derogada por nuestras primeras Constituciones y, por lo demás, y como ha puesto de manifiesto el Abogado del Estado, ley fundamental del reino donde las haya. Porque lo cuestionado no es la Partida, sino su aplicación analógica. La pretensión resulta tan inaceptable como la que estuviera dirigida, en el supuesto de que los Tribunales decidiesen aplicar analógicamente el art. 57.1 C.E., a obtener un control de este último precepto. Como inaceptable sería, por lo demás, la pretensión de una interpretación analógica de la taxativa reserva efectuada por España a la Convención sobre la eliminación de todas las formas de discriminación contra la mujer.</w:t>
      </w:r>
    </w:p>
    <w:p w:rsidR="006854DA" w:rsidRDefault="006854DA" w:rsidP="006854DA">
      <w:pPr>
        <w:pStyle w:val="TextoNormal"/>
      </w:pPr>
      <w:r>
        <w:lastRenderedPageBreak/>
        <w:t>En conclusión, entiendo que la presente cuestión de inconstitucionalidad no debió haber sido admitida a trámite toda vez que la norma cuestionada, en el supuesto de que todavía exista, no es una norma con rango de ley en el sentido del art. 163 C.E., ni la Audiencia Provincial un órgano judicial que haya considerado que la norma que pretende cuestionar pueda ser "contraria a la Constitución", en el sentido del mismo precepto.</w:t>
      </w:r>
    </w:p>
    <w:p w:rsidR="006854DA" w:rsidRDefault="006854DA" w:rsidP="006854DA">
      <w:pPr>
        <w:pStyle w:val="TextoNormal"/>
      </w:pPr>
      <w:r>
        <w:t>3. El Tribunal, en la resolución judicial que antecede a este voto particular, ha entrado en el fondo de un asunto espinoso como pocos, en el que desde luego no ha podido encontrar demasiada ayuda en el derecho comparado. La Sentencia ha resaltado algunas "peculiaridades" del caso, sobre lo que resulta forzoso coincidir. Acaso sea bueno que se sepa que un Tribunal Constitucional no tiene necesariamente respuesta para todo, aunque sólo sea porque la Constitución misma tampoco la tiene siempre. Hasta donde la Constitución llega, el Tribunal Constitucional la interpreta por medio de una respuesta que, si es suprema (art.  1.1 LOTC), es también una respuesta histórica, es decir, decisivamente marcada por el momento en que la emite. Ello hace que no sea definitiva, pero también determina que deba tratarse de una respuesta que resista el contraste, al menos, con el momento en que se enuncia. Desde esta perspectiva, considero que nuestra respuesta, posiblemente, debió haber sido distinta.</w:t>
      </w:r>
    </w:p>
    <w:p w:rsidR="006854DA" w:rsidRDefault="006854DA" w:rsidP="006854DA">
      <w:pPr>
        <w:pStyle w:val="TextoNormal"/>
      </w:pPr>
      <w:r>
        <w:t>La primera cuestión que resulta preciso abordar es la de si los títulos nobiliarios han seguido subsistiendo tras la Constitución de 1978. Hay que comenzar por aquí, por delicado que esto sea, porque entiendo que no es correcto, a través de una aparente, por inconsecuente, "huida hacia adelante", dejar caer toda suerte de sombras sobre estos títulos nobiliarios, sobre su "anacronismo" en definitiva (fundamento jurídico 16, con cita de la STC 27/1982), para concluir afirmando el contrasentido de su pretendido aggiornamento, a la vez que la institución queda intocada. Como escribiera el Juez Brennan (McClesky v. Kemp, 481 U.S. 279, 1987), "seguiremos prisioneros del pasado mientras neguemos su influencia sobre el presente".</w:t>
      </w:r>
    </w:p>
    <w:p w:rsidR="006854DA" w:rsidRDefault="006854DA" w:rsidP="006854DA">
      <w:pPr>
        <w:pStyle w:val="TextoNormal"/>
      </w:pPr>
      <w:r>
        <w:t>Frente a lo que esa actitud implica, es de tener en cuenta que los títulos nobiliarios son hoy una institución viva, por no decir pujante, que encuentra, en principio, su asiento, como siempre se ha entendido, en una de las facultades que al Rey formalmente corresponden, la de conceder distinciones y honores con arreglo a las leyes" [art. 62 f), in fine, C.E.], regulada por normas constantemente actualizadas (Reales Decretos 602/1980, 569/1981, 222/1988, art. 43 del RDLg 1/1993, R.D.  1.879/1994).  En suma, desde 1978 los títulos nobiliarios se vienen concediendo, por medio de Reales Decretos debidamente refrendados, con una finalidad pública inobjetable; se viene sucediendo en la posesión de los mismos con la correspondiente intervención pública, se vienen rehabilitando, distribuyendo y cediendo en vida, con arreglo a unas normas que nada tienen de periclitadas u obsoletas y, como siempre desde hace siglos, sobre los mismos se viene pleiteando abundantemente. Todo esto es derecho vigente, ius cogens en su inmensa mayoría, en absoluto "derecho histórico".</w:t>
      </w:r>
    </w:p>
    <w:p w:rsidR="006854DA" w:rsidRDefault="006854DA" w:rsidP="006854DA">
      <w:pPr>
        <w:pStyle w:val="TextoNormal"/>
      </w:pPr>
      <w:r>
        <w:t>Para determinar si un determinado elemento de este conjunto normativo es contrario a la Constitución resulta ineludible descartar que la propia institución se encuentre en contradicción con la Constitución vigente, porque, si así fuera, sería la institución toda la que habría de caer, y no sólo uno de sus elementos aislados.  Pues cabe reiterar que lo que no tiene encaje lógico es la deslegitimación genérica de la institución, para, acto seguido, declarar su pervivencia salvando todos sus elementos.</w:t>
      </w:r>
    </w:p>
    <w:p w:rsidR="006854DA" w:rsidRDefault="006854DA" w:rsidP="006854DA">
      <w:pPr>
        <w:pStyle w:val="TextoNormal"/>
      </w:pPr>
      <w:r>
        <w:t xml:space="preserve">A fin de valorar debidamente el sentido de los títulos nobiliarios bajo la Constitución vigente, conviene recordar elementalísimamente cómo, en nuestro pasado, los mismos han </w:t>
      </w:r>
      <w:r>
        <w:lastRenderedPageBreak/>
        <w:t>existido de tres formas distintas, ninguna de las cuales se corresponde con su situación actual:</w:t>
      </w:r>
    </w:p>
    <w:p w:rsidR="006854DA" w:rsidRDefault="006854DA" w:rsidP="006854DA">
      <w:pPr>
        <w:pStyle w:val="TextoNormal"/>
      </w:pPr>
      <w:r>
        <w:t>En la primera de éstas, aquélla bajo la que nacieron, los títulos configuraron el sistema señorial, elemento característico de lo que la Sentencia, para mayor comodidad del lenguaje, denomina el Antiguo Régimen: en el que ciertamente los nobles ostentan un propio status, de derechos y deberes, pero sin que ello sea privativo de los nobles. Se trata, en efecto, todo él, de un ordenamiento resultado de una agregación o yuxtaposición de fueros de todo tipo, en el que todos los estamentos tienen su parte, por más que unos sean más "privilegiados" que otros. Lo característico del sistema, por lo que a la nobleza se refiere, es el ejercicio de dominio, su capacidad para ejercer jurisdicción, para imponer tributos. En esta forma, la nobleza desaparece entre nosotros conforme se hace efectiva la abolición de los señoríos jurisdiccionales decretada por las Cortes de Cádiz (fundamento jurídico 10).</w:t>
      </w:r>
    </w:p>
    <w:p w:rsidR="006854DA" w:rsidRDefault="006854DA" w:rsidP="006854DA">
      <w:pPr>
        <w:pStyle w:val="TextoNormal"/>
      </w:pPr>
      <w:r>
        <w:t>La segunda de las formas en las que los títulos nobiliarios han existido entre nosotros corresponde a la monarquía constitucional, en la que éstos persisten, como pone de manifiesto la Sentencia, si bien despojados tanto de sus potestades como de sus privilegios o exenciones. Ahora bien, debe subrayarse cómo, con frecuencia, se les asignó una función política no despreciable en el contexto de estas monarquías constitucionales del siglo XIX y, entre nosotros, hasta 1931: La derivada de su frecuente protagonismo en la cámara alta, de las dos que configuran las Cortes. Es, en la concepción del liberalismo doctrinario, la cámara "del Rey", frente a la cámara baja como la cámara "del Pueblo" (Estamento de Próceres de 1834, Senado de 1857, Senado de 1876).</w:t>
      </w:r>
    </w:p>
    <w:p w:rsidR="006854DA" w:rsidRDefault="006854DA" w:rsidP="006854DA">
      <w:pPr>
        <w:pStyle w:val="TextoNormal"/>
      </w:pPr>
      <w:r>
        <w:t>La tercera forma de ser de los títulos nobiliarios que hemos conocido corresponde a la República, y a los primeros años del anterior régimen. Las Constituciones republicanas, como tipo, contienen con frecuencia declaraciones expresas de abolición o de proscripción de esta suerte de distinciones; otras veces ha sido ésta tarea de la legislación republicana. Pero su inexistencia oficial no impide el uso social de los mismos, con el contenido que socialmente quiera dársele. El uso de los títulos nobiliarios tiende a ser un fenómeno estrictamente social, ajeno a cualquier participación de los poderes públicos, "autorregulado", por así decir.</w:t>
      </w:r>
    </w:p>
    <w:p w:rsidR="006854DA" w:rsidRDefault="006854DA" w:rsidP="006854DA">
      <w:pPr>
        <w:pStyle w:val="TextoNormal"/>
      </w:pPr>
      <w:r>
        <w:t>La situación presente, la de los títulos nobiliarios en una monarquía parlamentaria en el seno de un Estado democrático de derecho, es la que habría que abordar ahora, toda vez que es distinta a las tres anteriores: Ni es la del sistema señorial, ni es la de la monarquía constitucional del siglo XIX y de la Restauración, ni es la de la República: Es la de la monarquía parlamentaria en el Estado de Derecho, el Estado de los derechos fundamentales. De lo que se trata, pues, es de ensayar un bosquejo de respuesta, a los exclusivos efectos del caso que nos ocupa, que, ciertamente, no es el de los títulos nobiliarios, sin más.</w:t>
      </w:r>
    </w:p>
    <w:p w:rsidR="006854DA" w:rsidRDefault="006854DA" w:rsidP="006854DA">
      <w:pPr>
        <w:pStyle w:val="TextoNormal"/>
      </w:pPr>
      <w:r>
        <w:t>El punto de partida habría de situarse en el art. 14 C.E., en el concreto inciso en el que excluye que pueda prevalecer "discriminación alguna por razón de nacimiento", aunque no sea ése el único elemento de nuestra Constitución a tener en cuenta.  Pues, en efecto, ninguna de nuestras Constituciones históricas, y desde luego no las de nuestra Monarquía, ha proclamado el principio de igualdad con la generalidad y el alcance con que lo hace el art.  14 C.E. Aplicada esta prohibición de discriminación a los títulos nobiliarios, es claro que la misma determina, ante todo, la radical exclusión de cualquier modulación en el status de estos ciudadanos respecto del resto, tanto individual como colegiadamente, todo ello en el sentido descrito en la STC 27/1982: tal es el contenido más elemental de esta interdicción desde el momento revolucionario.</w:t>
      </w:r>
    </w:p>
    <w:p w:rsidR="006854DA" w:rsidRDefault="006854DA" w:rsidP="006854DA">
      <w:pPr>
        <w:pStyle w:val="TextoNormal"/>
      </w:pPr>
      <w:r>
        <w:lastRenderedPageBreak/>
        <w:t>La cuestión, sin embargo, si se quiere ser coherente con lo que se va a afirmar más adelante, es que no cabe detenerse en ese solo dato. Pues, aun como nomen honoris, es preciso reconocer que, como tal, la diferencia existe, que su inmaterialidad no equivale a su inexistencia. El título nobiliario es hoy, de un modo u otro, lo veremos más adelante, un bien, aun inmaterial, parte del "patrimonio" de ciertos individuos, y en esta medida de ciertas familias, como son también parte del mismo otros bienes menos inmateriales, con independencia de que no se transmita de la misma manera que el resto de esa "herencia" en sentido genérico, que a estos efectos no es relevante (fundamento jurídico 14 A).  Hay, por tanto, individuos que, por nacimiento, no sólo reciben un apellido sino también un título nobiliario, algo que no se tolera formalmente en las repúblicas, pero que, es un dato, sí pertenece al paisaje, por así decir, de las monarquías, incluso de las actuales. En ellas esto suele tener lugar con una intervención de los poderes públicos, que se repite en el momento de cada sucesión.</w:t>
      </w:r>
    </w:p>
    <w:p w:rsidR="006854DA" w:rsidRDefault="006854DA" w:rsidP="006854DA">
      <w:pPr>
        <w:pStyle w:val="TextoNormal"/>
      </w:pPr>
      <w:r>
        <w:t>¿Puede afirmarse que esto configure una distinción de trato entre unos ciudadanos y otros vedada por la Constitución? Entiendo que, en este momento, la respuesta puede ser negativa. En primer lugar, cabe entender que el constituyente de 1978 no pretendió abolir los títulos nobiliarios como tales.  En el contexto de una Constitución que adopta la Monarquía como forma de Estado, no es aventurado suponer que la voluntad de suprimir los títulos nobiliarios hubiera sido objeto de determinación expresa. Ello no significa, desde luego, que estemos ante una institución constitucionalmente garantizada, pero sí cabe excluir, para empezar, que la Constitución haya pretendido la abolición de los títulos, a la manera republicana, como consecuencia inmediata y necesaria de su entrada en vigor.</w:t>
      </w:r>
    </w:p>
    <w:p w:rsidR="006854DA" w:rsidRDefault="006854DA" w:rsidP="006854DA">
      <w:pPr>
        <w:pStyle w:val="TextoNormal"/>
      </w:pPr>
      <w:r>
        <w:t>El otro dato del que conviene partir es el del mantenimiento de la facultad real de "conceder honores y distinciones con arreglo a las leyes" [art. 62 f), in fine C.E.], en términos prácticamente coincidentes con los de las anteriores Constituciones monárquicas (fundamento jurídico 10, C), y en la que se ha considerado encontrarse el sustento de la facultad del Rey de conceder títulos nobiliarios; al correspondiente artículo de la Constitución de 1876, el 54, se refiere específicamente el art. 1 del Real Decreto de 27 de mayo de 1912. Puede decirse, pues, que ha habido un estado de ánimo por parte del constituyente de no distanciarse de las Constituciones precedentes en este concreto extremo.  Dicho de otra manera: Como honor, y no otra cosa, con la que el Estado distingue legítimamente a determinados ciudadanos, los títulos nobiliarios aparecen, en principio, mantenidos en la Constitución de 1978.</w:t>
      </w:r>
    </w:p>
    <w:p w:rsidR="006854DA" w:rsidRDefault="006854DA" w:rsidP="006854DA">
      <w:pPr>
        <w:pStyle w:val="TextoNormal"/>
      </w:pPr>
      <w:r>
        <w:t>Ello permite entender que se conservan con los dos elementos que los caracterizan, a la vez que los diferencian del resto de otras posibles distinciones u honores que pueda conceder el Estado a través de quien simboliza su unidad y permanencia: el otorgamiento, con característica frecuencia, a perpetuidad y la transmisión de forma singular, a un único descendiente (fundamento jurídico 14 B), si bien con un significado que ya no puede ser el mismo; aquí sí puede tener sentido la imagen del "símbolo", a la que se aludirá más tarde, es decir, la del título como representación de un determinado mérito, en un momento pretérito reconocido. Ambos elementos forman parte del perfil de la institución, de su imagen, siendo lo que los define frente a cualquier otra distinción que el Estado pueda conceder. De este modo se da lugar al fenómeno que describíamos al principio, la presencia de ciudadanos que, por nacimiento, ostentan un título nobiliario. Esto es así, pero una visión del conjunto del problema tal como se ha intentado hacer permite hoy no concluir en la inconstitucionalidad de estos títulos.</w:t>
      </w:r>
    </w:p>
    <w:p w:rsidR="006854DA" w:rsidRDefault="006854DA" w:rsidP="006854DA">
      <w:pPr>
        <w:pStyle w:val="TextoNormal"/>
      </w:pPr>
      <w:r>
        <w:t>Nuestra experiencia con esta forma de ser de los títulos nobiliarios, es decir, la correspondiente a la Monarquía parlamentaria en el contexto de un Estado democrático de dere</w:t>
      </w:r>
      <w:r>
        <w:lastRenderedPageBreak/>
        <w:t>cho, es todavía corta en comparación con las dos primeras más arriba descritas.  En concreto, las exigencias derivadas de nuestra actual Constitución en materia de igualdad son muy superiores a las de las Constituciones decimonónicas. Los títulos nobiliarios, como hemos visto, hallan en este momento un hueco en nuestro ordenamiento constitucional, aun asumiendo su peculiaridad. Pero su pervivencia dependerá en buena medida del grado en que sean susceptibles de incorporar, junto a reconocimientos históricos marcados por el espíritu de cada época, el de otros valores que nos resulten más próximos. Hay, pues, también, una tarea de conciliación de estos honores con cada época, de la que su ser o no ser constitucional puede estar pendiente, reconociendo, desde luego, pero tampoco es ello determinante, que nunca van a ser el elemento más moderno de nuestro ordenamiento. Lo que a continuación se dice también tiene que ver con esto.</w:t>
      </w:r>
    </w:p>
    <w:p w:rsidR="006854DA" w:rsidRDefault="006854DA" w:rsidP="006854DA">
      <w:pPr>
        <w:pStyle w:val="TextoNormal"/>
      </w:pPr>
      <w:r>
        <w:t>4. La cuestión es, sin embargo, distinta, tal como la he percibido, cuando de la discriminación por razón de sexo se trata. La proscripción de las diferencias jurídicas basadas en el sexo se erige en de uno de los principios del Estado social y democrático de derecho que lo diferencian decididamente del Estado constitucional decimonónico, acomodado a esta forma de discriminación. Al lado de dicho principio, como prolongación del mismo, aparece la tarea de la equiparación social de hombres y mujeres, que puede llegar a legitimar determinadas formas de promoción específicamente dirigidas a la mujer. Pero el mandato, ya no la tarea, es la desaparición de las diferencias jurídicamente cristalizadas: en esto la Constitución opera con eficacia directa.</w:t>
      </w:r>
    </w:p>
    <w:p w:rsidR="006854DA" w:rsidRDefault="006854DA" w:rsidP="006854DA">
      <w:pPr>
        <w:pStyle w:val="TextoNormal"/>
      </w:pPr>
      <w:r>
        <w:t>En la STC 38/1986, fundamento jurídico 3º, decíamos en términos que resultan, a nuestros efectos, expresivos: "El principio de igualdad viene recogido en el art.  14 de la Constitución, y es un principio básico de nuestro ordenamiento jurídico en todas sus ramas y, en cuanto un reglamento como el citado consagre una desigualdad por un factor como el sexo, debe entenderse derogado de plano por la Constitución, si era anterior a ella". Y en la STC 128/1987, fundamento jurídico 5º, con perspectiva histórica, declarábamos cómo "la expresa exclusión de la discriminación por razón de sexo halla su razón concreta, como resulta de los mismos antecedentes parlamentarios del art. 14 C.E., y es unánimemente admitido por toda la doctrina científica, en la voluntad de terminar con la histórica situación de inferioridad en que, en la vida social y jurídica, se había colocado a la población femenina... No es necesario, ante el cúmulo de datos y pruebas que suministra la historia de nuestra sociedad, hacer referencia a tales dificultades..."</w:t>
      </w:r>
    </w:p>
    <w:p w:rsidR="006854DA" w:rsidRDefault="006854DA" w:rsidP="006854DA">
      <w:pPr>
        <w:pStyle w:val="TextoNormal"/>
      </w:pPr>
      <w:r>
        <w:t>No es necesario tampoco insistir mucho más. La propia Sentencia (fundamento jurídico 8º) respaldada por la mayoría pone de manifiesto cómo las diferencias de trato basadas en el sexo han de ser sometidas a un canon mucho más estricto que el correspondiente al principio general de igualdad. Lo que ocurre es que, apenas hecho este pronunciamiento, se afirma como tarea previa la de examinar si el art. 14 C.E., como tal, es siquiera aplicable a los títulos de nobleza "dada la peculiar naturaleza de aquéllos". De este modo, el recorrido por la historia aboca en la afirmación del carácter "simbólico" de los títulos nobiliarios, concluyéndose en la constitucionalidad de la preferencia del varón en unos términos en los que no acaba de resultar diáfano si lo que ocurre es que la Constitución no se aplica a dichos títulos, si es su carácter simbólico el que hace constitucionalmente irrelevante a esta diferencia de trato, o ambas cosas a la vez.</w:t>
      </w:r>
    </w:p>
    <w:p w:rsidR="006854DA" w:rsidRDefault="006854DA" w:rsidP="006854DA">
      <w:pPr>
        <w:pStyle w:val="TextoNormal"/>
      </w:pPr>
      <w:r>
        <w:t>Frente a esta forma de argumentar entiendo que lo primero que convendría dejar sentado es que nos encontramos ante una diferencia de trato basada en el sexo que es clara, directa y pretendida: En igualdad de línea y grado, el título nobiliario recae en el varón, y no en la mujer. En eso no hay, al menos aparentemente, discrepancia, pero debe quedar afirmado como punto de partida.  Donde, sin duda, comienza la discrepancia es en la valora</w:t>
      </w:r>
      <w:r>
        <w:lastRenderedPageBreak/>
        <w:t>ción del contenido de esa diferencia de trato, pues la Sentencia la devalúa hasta tal punto que parece negarla. El argumento de base, tomado de la STC 27/1992, es el de que los títulos nobiliarios no confieren hoy día un status diferenciado respecto del resto de los ciudadanos, algo que, por lo demás, no es sino una premisa de la propia viabilidad constitucional de dichos títulos como tales. Los títulos no conferirían hoy día sino un puro derecho al nombre, un nomen honoris. Este argumento es desarrollado en esta Sentencia por medio de la imagen del "símbolo", del carácter simbólico de los títulos, entendidos en su conjunto, (fundamentos jurídicos 12, 15), como memoria de la historia, una historia minuciosamente recorrida, con conclusiones que bien podrían haber sido distintas. Ahora bien, precisamente eso y no otra cosa es lo que está en cuestión en toda esta controversia, el derecho al nombre, al nomen honoris o, si se quiere, el derecho al símbolo; el derecho a ostentar jurídicamente ese honor, en la medida en que socialmente así se entienda, inherente a llevar ese nombre ("bien inmaterial" lo llama la propia Sentencia, fundamento jurídico 14 B), sin discriminación por razón de sexo. Con independencia de lo cual, y ello es específico de esta forma de discriminación, apenas hace falta decir que no todo se agota en el nombre y en el símbolo; estos últimos, por el contrario, encuentran de hecho una prolongación material como consecuencia del principio dispositivo, de la dinámica propia de las relaciones entre particulares, de la libertad de testar, sin necesidad de entrar en otras ventajas sociales, que no pueden ser pura y simplemente desconocidas a la hora de valorar una diferencia de trato que, no se olvide, es jurídica en su origen (arts.  130 y 135 del Reglamento del Registro Civil).</w:t>
      </w:r>
    </w:p>
    <w:p w:rsidR="006854DA" w:rsidRDefault="006854DA" w:rsidP="006854DA">
      <w:pPr>
        <w:pStyle w:val="TextoNormal"/>
      </w:pPr>
      <w:r>
        <w:t>Si la diferencia de trato por razón de sexo es, en su propio contexto, real y no imaginaria, la conclusión sólo podría haber sido la de su ilegitimidad constitucional, a la vista particularmente de la escasa consistencia, tal como la he apreciado, de los distintos argumentos empleados en sentido contrario.</w:t>
      </w:r>
    </w:p>
    <w:p w:rsidR="006854DA" w:rsidRDefault="006854DA" w:rsidP="006854DA">
      <w:pPr>
        <w:pStyle w:val="TextoNormal"/>
      </w:pPr>
      <w:r>
        <w:t>Desde luego, y aunque en la Sentencia no aparezca como tal argumento (fundamento jurídico 13 B), la conclusión anterior no queda desvirtuada con la alegación de que también la regla de primogenitura es discriminatoria, porque la cuestión no es la de si dicha regla comporta una diferencia de trato, lo que es innegable, sino si dicha diferencia de trato es comparable en su pretensión, su naturaleza y alcance a la basada precisamente en el sexo. En esto volvemos a lo mismo de antes, es decir, a la evidencia, valga la aparente paradoja, de que no todas las desigualdades son iguales.</w:t>
      </w:r>
    </w:p>
    <w:p w:rsidR="006854DA" w:rsidRDefault="006854DA" w:rsidP="006854DA">
      <w:pPr>
        <w:pStyle w:val="TextoNormal"/>
      </w:pPr>
      <w:r>
        <w:t xml:space="preserve">Tampoco puede valer el argumento, este sí incorporado a la Sentencia (fundamento jurídico 15), de que una institución histórica como la que nos ocupa no puede ser tocada en uno de sus elementos sin inmediatamente desnaturalizarla, sin hacerla irreconocible. Como se ha dicho en expresión que ha hecho fortuna, "que sean como son, o que no sean"; y, como no van a dejar de ser, que sean como son. Con ello se postula para la institución una impermeabilidad a la historia absolutamente privilegiada.  Pues, para comenzar, no nos encontramos ante un elemento basilar de la institución, alejados como estamos de la ley de los salios. En nuestro modelo estamos exclusivamente hablando de un elemento, en definitiva, secundario, del sistema, el de la preferencia del varón sobre la mujer en aquellos precisos casos en los que se da la igualdad de línea y de grado, pues, no dándose esa igualdad, toda preferencia desaparece. Pero, sobre todo, no son los títulos nobiliarios la única institución con raíces preconstitucionales que está llamada a adaptarse a la Constitución.  Los títulos nobiliarios, ciertamente sufrieron ya hace tiempo su principal mutación, pero las Constituciones del siglo XIX tenían sus imperativos y las del siglo que ya acaba tienen otros. La publicatio de los títulos nobiliarios tiene el pequeño coste derivado de la circunstancia de vivir en una res publica constitucional. La autorregulación que se produce bajo </w:t>
      </w:r>
      <w:r>
        <w:lastRenderedPageBreak/>
        <w:t>las Constituciones republicanas no tiene estas trabas. Pero no siempre se puede pretender todo.</w:t>
      </w:r>
    </w:p>
    <w:p w:rsidR="006854DA" w:rsidRDefault="006854DA" w:rsidP="006854DA">
      <w:pPr>
        <w:pStyle w:val="TextoNormal"/>
      </w:pPr>
      <w:r>
        <w:t>Finalmente, la cuestión tampoco se puede resolver de diferente manera mediante alguna de otras dos "huídas" que tienden a proponerse, la "huída hacia arriba", es decir, hacia "la persona del Rey" (art. 56.3 C.E.), y la "huída hacia abajo", es decir, hacia el puro ámbito de las "relaciones entre particulares" o ámbito de las relaciones en las que no participan los poderes públicos (fundamento jurídico 12 C). La primera, sin reflejo ciertamente en la Sentencia, la imputación directa a la persona del Rey, en una proyección por así decir privada, no resulta viable en un sistema como el nuestro, en el que los actos del Monarca van refrendados con la sola excepción del art. 65.2 C.E.  Con absoluta independencia de la mayor o menor intensidad de la participación real en la formación del acto, como no puede ser de otra manera, lo que importa desde la Constitución es la participación responsable del refrendante (art. 64.2 C.E.), sometido desde luego a aquélla (STC 5/1987, fundamento jurídico 3º). Así fue como desde el principio se ha organizado la monarquía constitucional y, desde luego, la parlamentaria.</w:t>
      </w:r>
    </w:p>
    <w:p w:rsidR="006854DA" w:rsidRDefault="006854DA" w:rsidP="006854DA">
      <w:pPr>
        <w:pStyle w:val="TextoNormal"/>
      </w:pPr>
      <w:r>
        <w:t>En cuanto a la "huída hacia abajo", la de las relaciones entre particulares y la consiguientemente menor incidencia de los derechos fundamentales en este ámbito, la misma no puede llevar muy lejos en una situación legal en la que los títulos nobiliarios tienen carácter oficial, en cuya ordenación participan toda suerte de servidores públicos. Una mera cuestión de relaciones entre particulares lo será en una república con antecedentes monárquicos. O en nuestro sistema en algunos extremos secundarios de su regulación, como el relativo a la distribución o la cesión de títulos. Pero, más allá de esto, aquí estamos en un régimen esencialmente público, reforzado, que no debilitado, por el ámbito de libertad del testador.</w:t>
      </w:r>
    </w:p>
    <w:p w:rsidR="006854DA" w:rsidRDefault="006854DA" w:rsidP="006854DA">
      <w:pPr>
        <w:pStyle w:val="TextoNormal"/>
      </w:pPr>
      <w:r>
        <w:t>Del conjunto de los fundamentos jurídicos de la Sentencia que antecede quisiera destacar, por último, una afirmación básica: "el carácter histórico de una institución no puede excluir, por sí sólo, su contraste con la Constitución" (fundamento jurídico 8º). Queda en el aire la determinación de qué compañía hubiera podido permitir esa exclusión. La tesis parece haber sido la que pudiera expresarse así: el carácter histórico y simbólico de una institución puede excluir su contraste con la Constitución, en este caso con la prohibición de discriminación por razón de sexo. Si es así, considero mi deber dejar constancia de mi respetuosa discrepancia.</w:t>
      </w:r>
    </w:p>
    <w:p w:rsidR="006854DA" w:rsidRDefault="006854DA" w:rsidP="006854DA">
      <w:pPr>
        <w:pStyle w:val="TextoNormal"/>
      </w:pPr>
      <w:r>
        <w:t>Madrid, a nueve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3" w:name="SENTENCIA_1997_127"/>
      <w:r>
        <w:lastRenderedPageBreak/>
        <w:t>SENTENCIA 127/1997, de 14 de julio de 1997</w:t>
      </w:r>
    </w:p>
    <w:bookmarkEnd w:id="43"/>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ECLI:ES:TC:1997:127</w:t>
      </w:r>
    </w:p>
    <w:p w:rsidR="006854DA" w:rsidRDefault="006854DA" w:rsidP="006854DA">
      <w:pPr>
        <w:pStyle w:val="SntesisDescriptiva"/>
      </w:pPr>
    </w:p>
    <w:p w:rsidR="006854DA" w:rsidRDefault="006854DA" w:rsidP="006854DA">
      <w:pPr>
        <w:pStyle w:val="SntesisDescriptiva"/>
      </w:pPr>
      <w:r>
        <w:t>Recurso de amparo 1.351/1993. Contra providencia del Juzgado de lo Social núm. 12 de Valencia  inadmitiendo recurso de reposición contra otra anterior por la que se tuvo a  la recurrente por desistida del recurso de suplicación que había anunciado contra Sentencia dictada en autos.</w:t>
      </w:r>
    </w:p>
    <w:p w:rsidR="006854DA" w:rsidRDefault="006854DA" w:rsidP="006854DA">
      <w:pPr>
        <w:pStyle w:val="SntesisDescriptiva"/>
      </w:pPr>
    </w:p>
    <w:p w:rsidR="006854DA" w:rsidRDefault="006854DA" w:rsidP="006854DA">
      <w:pPr>
        <w:pStyle w:val="SntesisAnaltica"/>
      </w:pPr>
      <w:r>
        <w:t>Vulneración del derecho a la tutela judicial efectiva: inadmisión de recurso lesiva del derecho.</w:t>
      </w:r>
    </w:p>
    <w:p w:rsidR="006854DA" w:rsidRDefault="006854DA" w:rsidP="006854DA">
      <w:pPr>
        <w:pStyle w:val="SntesisAnaltica"/>
      </w:pPr>
    </w:p>
    <w:p w:rsidR="006854DA" w:rsidRDefault="006854DA" w:rsidP="006854DA">
      <w:pPr>
        <w:pStyle w:val="Extracto"/>
      </w:pPr>
      <w:r>
        <w:t>1.</w:t>
      </w:r>
      <w:r>
        <w:tab/>
        <w:t>Es patente en este caso la equivocación que el Juez de lo Social padeció, negando paladinamente la concurrencia de requisitos procesales que estaban cumplidos para motivar la inadmisibilidad de la reposición. Ese error notorio es precisamente el portillo por donde penetra la jurisdicción constitucional para cumplir su función privativa, consistente en garantizar la efectividad de la tutela judicial sin sombra de indefensión que, como derecho fundamental de todos, configura el art. 24.1 de nuestra Constitución, donde se integra sin violencia conceptual alguna el sistema de recursos que para cada orden jurisdiccional establecen sus leyes de enjuiciamiento. En definitiva, una vez comprobado que la reposición no fue admitida por error, dejando a la intemperie, indefensa, a la litigante que la intentó, ha de ser amparada como pide (SSTC 23/1992, 93/1993, 46/1994, 172/1995 y 169/1996, entre otras) [F. J. 2].</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1.351/93 interpuesto por doña Pilar Armiñana Sáez, a quien representa la Procuradora doña María José Barabino Ballesteros con la asistencia de la Letrada doña Begoña Lalana Alonso, contra la providencia que el Juez de lo Social núm. 12 de Valencia dictó el 24 de marzo de 1993 inadmitiendo recurso de reposición contra otra anterior por la que se tuvo a la recurrente por desistida del recurso de suplicación que había anunciado contra la Sentencia dictada en los autos núm. 549/92. Han com</w:t>
      </w:r>
      <w:r>
        <w:lastRenderedPageBreak/>
        <w:t>parecido el Ministerio Fiscal y el Instituto Nacional de la Seguridad Social, representado por el Procurador don Luis Fernando Alvarez Wiese y defendido por la Abogada doña Mª Angeles Santoalla Mansilla, siendo Ponente el Magistrado don Rafael de Mendizábal Allende,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Doña Pilar Armiñana Sáez, en escrito que presentó el 26 de abril de 1993, se dirigió a este Tribunal solicitando el nombramiento de Abogado y Procurador del turno de oficio para interponer el recurso de amparo de que se hace mérito en el encabezamiento. Efectuado el nombramiento, en providencia de 8 de julio la Sección Cuarta dio traslado a los profesionales designados para que en el plazo de veinte días formalizaran la demanda de amparo, lo que hicieron en escrito registrado el 30 de julio, donde exponen que su representada y defendida formuló demanda de proceso laboral en reclamación de una prestación de la Seguridad Social, que fue desestimada por el Juez de lo Social núm. 12 de Valencia en Sentencia de 3 de diciembre de 1992, contra la que anunció recurso de suplicación mediante escrito que presentó el 23 de diciembre, fecha en la que el Juez dictó providencia teniendo por anunciado el recurso y poniendo los autos a disposición de la recurrente para que en el plazo de una audiencia se hiciera cargo de los mismos y formalizara el recurso dentro de los diez días siguientes. En providencia de 12 de marzo de 1993, el Juez acordó tener por desistida a la actora del recurso, declarándolo desierto, por no haberlo formalizado. Frente a la providencia interpuso recurso de reposición argumentando la nulidad del acto de notificación de la de 23 de diciembre, dadas las irregularidades cometidas en la comunicación postal que se le dirigió al efecto, y citando los arts. 56.3 y 57.3 de la Ley de Procedimiento Laboral. El Juez no admitió el recurso de reposición en providencia de 24 de marzo, por no manifestarse en el escrito de interposición el precepto legal infringido, según lo previsto en el art. 185 de la Ley de Procedimiento Laboral y en el 377 de la Ley de Enjuiciamiento Civil. </w:t>
      </w:r>
    </w:p>
    <w:p w:rsidR="006854DA" w:rsidRDefault="006854DA" w:rsidP="006854DA">
      <w:pPr>
        <w:pStyle w:val="TextoNormal"/>
      </w:pPr>
      <w:r>
        <w:t>En la demanda denuncian infracción del derecho a la tutela judicial efectiva (art. 24.1 C.E.) y solicitan de este Tribunal que, otorgando el amparo que interesan, sea dictada Sentencia anulando la providencia dictada por el Juez de lo Social núm. 12 de Valencia el 24 de marzo de 1993 y ordenando la tramitación y resolución del recurso de reposición interpuesto.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Sección Cuarta, en providencia de 17 de enero de 1994 y antes de decidir sobre la admisión a trámite del recurso, resolvió pedir al Juzgado de lo Social núm. 12 de Valencia la remisión de certificación o fotocopia adverada de los autos seguidos con el núm. 549/92. A la vista del contenido de las actuaciones, en otra providencia de 21 de marzo decidió la admisión y dirigirse al órgano judicial citado para que emplazase a quienes fueron parte en el proceso laboral a fin de que pudieran comparecer en este de amparo, si les conviniere. </w:t>
      </w:r>
    </w:p>
    <w:p w:rsidR="006854DA" w:rsidRDefault="006854DA" w:rsidP="006854DA">
      <w:pPr>
        <w:pStyle w:val="TextoNormal"/>
      </w:pPr>
      <w:r>
        <w:t>El Procurador de los Tribunales don Luis Fernando Alvarez Wiese presentó escrito el 27 de abril manifestando comparecer en nombre del Instituto Nacional de la Seguridad Social y la Sección Cuarta, en providencia de 27 de mayo, tuvo al indicado causídico por personado y parte en la representación que acreditaba y dio vista de las actuaciones a las partes para que, por plazo común de veinte días, pudieran formular las alegaciones que tuvieran a bien.</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El Instituto Nacional de la Seguridad Social evacuó el traslado en escrito registrado el 23 de junio, donde se opuso a la pretensión de amparo, interesando su desestimación. A tal efecto, alega en primer término que la demandante no agotó en la vía judicial todos los recursos utilizables frente a la providencia que el Juez de lo Social núm. 12 de Valencia dictó el 24 de marzo de 1993, porque contra ella cabía recurso de queja, cuya procedencia viene establecida en el art. 186 del Texto Articulado de la Ley de Procedimiento Laboral, en relación con el 398 de la Ley de Enjuiciamiento Civil, ello con independencia de que en la providencia se hiciera constar que contra la misma no procedía recurso alguno. </w:t>
      </w:r>
    </w:p>
    <w:p w:rsidR="006854DA" w:rsidRDefault="006854DA" w:rsidP="006854DA">
      <w:pPr>
        <w:pStyle w:val="TextoNormal"/>
      </w:pPr>
      <w:r>
        <w:t xml:space="preserve">El recurso de amparo no puede prosperar en cuanto a la alegada vulneración del art. 24 C.E., pues este precepto constitucional se infringe cuando se impide el acceso al recurso por causa no razonable o arbitraria o cuando se cierra al ciudadano la posibilidad de interponer un recurso con obstáculos indebidos, desproporcionados o por denegación injustificada, no explicada o como consecuencia de un error imputable al órgano judicial. Ninguna de estas circunstancias se da en el caso, puesto que se desestimó el recurso de reposición en una providencia breve pero fundada, sin que sea injustificada la denegación y sin que ese obstáculo sea indebido o desproporcionado. Así pues, la vía procedente era la interposición del recurso de queja para discutir la debida interpretación del art. 377 de la Ley de Enjuiciamiento Civil y no la del recurso de amparo. </w:t>
      </w:r>
    </w:p>
    <w:p w:rsidR="006854DA" w:rsidRDefault="006854DA" w:rsidP="006854DA">
      <w:pPr>
        <w:pStyle w:val="TextoNormal"/>
      </w:pPr>
      <w:r>
        <w:t>En el recurso de reposición se alegaron efectivamente los arts. 56.3 y 57.3 de la Ley de Procedimiento Laboral. Sin embargo ese recurso no fue interpuesto en forma por no concretar la disposición de la Ley de Enjuiciamiento Civil en que se amparaba o que se consideraba infringida, tal y como dicha Ley exige en su art. 377.</w:t>
      </w:r>
    </w:p>
    <w:p w:rsidR="006854DA" w:rsidRDefault="006854DA" w:rsidP="006854DA">
      <w:pPr>
        <w:pStyle w:val="TextoNormal"/>
      </w:pPr>
    </w:p>
    <w:p w:rsidR="006854DA" w:rsidRDefault="006854DA" w:rsidP="006854DA">
      <w:pPr>
        <w:pStyle w:val="TextoNormal"/>
      </w:pPr>
      <w:r w:rsidRPr="006854DA">
        <w:rPr>
          <w:rStyle w:val="NumeroAFNegritaCaracter"/>
        </w:rPr>
        <w:t>4</w:t>
      </w:r>
      <w:r>
        <w:t>. El Fiscal por su parte, en escrito presentado el 27 de junio pidió que, otorgando el amparo, fuera anulada la providencia recurrida, ordenando al Juez de lo Social resolver el recurso de reposición interpuesto con la libertad de criterio que le otorga el art. 117.3 C.E. Para fundamentar tal petición trae a colación las SSTC 113/1988 y 162/1990 y expone que, en efecto, la solicitante de amparo se refirió al interponer el recurso de reposición a los preceptos procesales que consideraba infringidos por la providencia que trataba de recurrir, por lo que la decisión del órgano judicial de inadmitir el recurso por omitir esa referencia incurre en un error patente que, al impedir el acceso a un recurso legalmente establecido, vulnera el derecho a la tutela judicial efectiva del art. 24.1 C.E.</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10 de julio de 1977, se fijó para la deliberación y votación de la presente Sentencia el día 14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En el curso de la pretensión de amparo por una sedicente indefensión que produjo a quien de ella se duele una providencia judicial rechazando de plano un recurso de reposición intentado contra otra anterior, se alza artificiosamente un primer obstáculo formal. En efecto, el Instituto Nacional de la Seguridad Social niega que se haya cumplido uno de los presupuestos procesales, cuya función no consiste en dificultar el acceso a esta sede sino en preservar el carácter subsidiario del proceso constitucional y que no es otro sino el agotamiento de la vía judicial [art. 44.1 a) L.O.T.C.], para dar así a los Jueces y Tribunales la </w:t>
      </w:r>
      <w:r>
        <w:lastRenderedPageBreak/>
        <w:t>oportunidad de que subsanen las eventuales lesiones de los derechos fundamentales padecidas por cualesquiera de cuántos acuden a ellos y se ponen bajo su tutela. En tal sentido se aduce que no se utilizó el recurso de queja para combatir la inadmisión del otro.</w:t>
      </w:r>
    </w:p>
    <w:p w:rsidR="006854DA" w:rsidRDefault="006854DA" w:rsidP="006854DA">
      <w:pPr>
        <w:pStyle w:val="TextoNormal"/>
      </w:pPr>
      <w:r>
        <w:t>Extramuros del planteamiento, así diseñado, ha de quedar por fuerza la primera en el tiempo de las dos providencias más arriba mencionadas, donde se declaró desierta la suplicación anunciada pero no formalizada y que, a su vez, era el objeto de la reposición. Siendo sin embargo la inadmisión de esta a limine, a su vez, el objeto del actual amparo, que apunta directamente, pues, a la segunda providencia (donde, por cierto, se niega explícitamente la posibilidad de utilizar contra ella cualquier otro recurso), parece claro que no era menester en tal coyuntura el recurso de queja, medio de impugnación cuya finalidad estricta consiste en permitir al Juez superior o ad quem controlar las decisiones de los inferiores, a quo, ante quienes se interpongan recursos devolutivos o jerárquicos, verticales, alzándose de sus resoluciones, como pone de manifiesto la vigente Ley de Procedimiento Laboral en dos ocasiones, al menos, cuando habla de la no admisión de los recursos de suplicación y de casación (arts.  192.2 y 3, y 206.2 y 3). En ningún caso puede utilizarse para impugnar ese mismo rechazo cuando se trata de un recurso al mismo nivel, horizontal, como el de reposición y su equivalente en Tribunales, la súplica, que se tramitan y resuelven por el mismo Juez autor de la decisión impugnada (art. 185 L.P.L. en relación con el 379 L.E.C.)</w:t>
      </w:r>
    </w:p>
    <w:p w:rsidR="006854DA" w:rsidRDefault="006854DA" w:rsidP="006854DA">
      <w:pPr>
        <w:pStyle w:val="TextoNormal"/>
      </w:pPr>
    </w:p>
    <w:p w:rsidR="006854DA" w:rsidRDefault="006854DA" w:rsidP="006854DA">
      <w:pPr>
        <w:pStyle w:val="TextoNormal"/>
      </w:pPr>
      <w:r w:rsidRPr="006854DA">
        <w:rPr>
          <w:rStyle w:val="NumeroAFNegritaCaracter"/>
        </w:rPr>
        <w:t>2</w:t>
      </w:r>
      <w:r>
        <w:t>. En la providencia contra la cual se pide amparo, el Juez de lo Social no admitió a trámite la reposición intentada porque en el escrito para interponerlo no se citaban los preceptos que se consideraban infringidos, tal y como exige el art. 185 L.P.L., en relación con el 377 L.E.C., sobre el cual ha recaido una copia de Sentencias nuestras a la luz del art. 24.1 C.E. (SSTC 113/1988, 162/1990, 213/1993, 172/1995, 51/1996 y 194/1996). Sin embargo, una lectura atenta y sosegada de tal escrito pone de manifiesto que en su texto son invocados los arts. 56.3 y 57.3 L.P.L., donde se establecen requisitos formales de los actos de comunicación del órgano judicial a las partes cuando se practican por correo certificado con acuse de recibo, haciendo constar que no llegó a su conocimiento el contenido de la providencia donde se le emplazaba para formalizar el recurso de suplicación ya anunciado, por falta de su adecuada notificación. Desaparece pues el único fundamento, la ratio decidendi única de la providencia de inadmisión.</w:t>
      </w:r>
    </w:p>
    <w:p w:rsidR="006854DA" w:rsidRDefault="006854DA" w:rsidP="006854DA">
      <w:pPr>
        <w:pStyle w:val="TextoNormal"/>
      </w:pPr>
      <w:r>
        <w:t>Así las cosas, se hace patente la equivocación que el Juez de lo Social padeció, negando paladinamente la concurrencia de requisitos procesales que estaban cumplidos para motivar la inadmisibilidad de la reposición. Ese error notorio es precisamente el portillo por donde penetra la jurisdicción constitucional para cumplir su función privativa, consistente en garantizar la efectividad de la tutela judicial sin sombra de indefensión que, como derecho fundamental de todos, configura el art. 24.1 de nuestra Constitución, donde se integra sin violencia conceptual alguna el sistema de recursos que para cada orden jurisdiccional establecen sus Leyes de enjuciamiento. En definitiva, una vez comprobado que la reposición no fue admitida por error, dejando a la intemperie, indefensa, a la litigante que la intentó, ha de ser amparada como pide (SSTC 23/1992, 93/1993, 46/1994, 172/1995 y 169/1996, entre otras).</w:t>
      </w:r>
    </w:p>
    <w:p w:rsidR="006854DA" w:rsidRDefault="006854DA" w:rsidP="006854DA">
      <w:pPr>
        <w:pStyle w:val="TextoNormal"/>
      </w:pPr>
    </w:p>
    <w:p w:rsidR="006854DA" w:rsidRDefault="006854DA" w:rsidP="006854DA">
      <w:pPr>
        <w:pStyle w:val="TextoNormalCentrado"/>
        <w:keepNext/>
      </w:pPr>
      <w:r>
        <w:lastRenderedPageBreak/>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por doña Pilar Armiñana Sáez y, en su virtud:</w:t>
      </w:r>
    </w:p>
    <w:p w:rsidR="006854DA" w:rsidRDefault="006854DA" w:rsidP="006854DA">
      <w:pPr>
        <w:pStyle w:val="TextoNormal"/>
      </w:pPr>
      <w:r>
        <w:t>1º Reconocer el derecho de la recurrente a obtener la tutela judicial efectiva en su vertiente del acceso a los recursos y, en consecuencia,</w:t>
      </w:r>
    </w:p>
    <w:p w:rsidR="006854DA" w:rsidRDefault="006854DA" w:rsidP="006854DA">
      <w:pPr>
        <w:pStyle w:val="TextoNormal"/>
      </w:pPr>
      <w:r>
        <w:t>a) Declarar la nulidad de la providencia dictada el 24 de marzo de 1993 por el Juez de lo Social núm. 12 de Valencia en los autos 349/92.</w:t>
      </w:r>
    </w:p>
    <w:p w:rsidR="006854DA" w:rsidRDefault="006854DA" w:rsidP="006854DA">
      <w:pPr>
        <w:pStyle w:val="TextoNormal"/>
      </w:pPr>
      <w:r>
        <w:t>b) Retrotraer las actuaciones al momento inmediatamente anterior al de dictarse tal providencia para que el antedicho Juez dicte la resolución que en Derecho proceda respecto del mencionado recurso de reposición.</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catorce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4" w:name="SENTENCIA_1997_128"/>
      <w:r>
        <w:lastRenderedPageBreak/>
        <w:t>SENTENCIA 128/1997, de 14 de julio de 1997</w:t>
      </w:r>
    </w:p>
    <w:bookmarkEnd w:id="44"/>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ECLI:ES:TC:1997:128</w:t>
      </w:r>
    </w:p>
    <w:p w:rsidR="006854DA" w:rsidRDefault="006854DA" w:rsidP="006854DA">
      <w:pPr>
        <w:pStyle w:val="SntesisDescriptiva"/>
      </w:pPr>
    </w:p>
    <w:p w:rsidR="006854DA" w:rsidRDefault="006854DA" w:rsidP="006854DA">
      <w:pPr>
        <w:pStyle w:val="SntesisDescriptiva"/>
      </w:pPr>
      <w:r>
        <w:t>Recurso de amparo 2.710/1993. Contra Acuerdos de la Administración Penitenciaria que decretaron la intervención de las comunicaciones orales y escritas del interno así como contra Autos del Juzgado de Vigilancia Penitenciaria de Santander y de la Audiencia Provincial de la misma ciudad.</w:t>
      </w:r>
    </w:p>
    <w:p w:rsidR="006854DA" w:rsidRDefault="006854DA" w:rsidP="006854DA">
      <w:pPr>
        <w:pStyle w:val="SntesisDescriptiva"/>
      </w:pPr>
    </w:p>
    <w:p w:rsidR="006854DA" w:rsidRDefault="006854DA" w:rsidP="006854DA">
      <w:pPr>
        <w:pStyle w:val="SntesisAnaltica"/>
      </w:pPr>
      <w:r>
        <w:t>Supuesta vulneración del derecho al secreto de las comunicaciones: motivación suficiente de la medida restrictiva de derechos. Voto particular.</w:t>
      </w:r>
    </w:p>
    <w:p w:rsidR="006854DA" w:rsidRDefault="006854DA" w:rsidP="006854DA">
      <w:pPr>
        <w:pStyle w:val="SntesisAnaltica"/>
      </w:pPr>
    </w:p>
    <w:p w:rsidR="006854DA" w:rsidRDefault="006854DA" w:rsidP="006854DA">
      <w:pPr>
        <w:pStyle w:val="Extracto"/>
      </w:pPr>
      <w:r>
        <w:t>1.</w:t>
      </w:r>
      <w:r>
        <w:tab/>
        <w:t>Es cierto que a la decisión de aplicar una medida restrictiva de los derechos fundamentales que el interno aun privado de su libertad sigue ostentando, debe exigirse la adecuada fundamentación justificativa de la necesidad de la privación en el marco de la Ley, en este caso, del art. 51.1 de la Ley Orgánica General Penitenciaria; y también lo es que las resoluciones judiciales que recaigan sobre aquélla no sustituyen su fundamentación, aunque expresan la propia en relación con el contenido del acto, su suficiencia formal y su ajuste a la Ley y la Constitución. Y en relacion con estas decisiones también hemos señalado que el de este Tribunal es un control formal que juzga sobre la fundamentación de las mismas y su adecuación constitucional, así como acerca del cumplimiento de los requisitos propios de la resolución del Director del Centro a la cual será exigible, además de su existencia formal y su fundamentación, la notificación al interesado y la comunicación al Juez. Cierto es, pues, que las resoluciones judiciales no pueden limitarse a completar o suplir la carencia de motivación de la que impone la medida, pero también lo es que tienen, respecto de la misma, plenitud de competencia revisora y, por tanto, en relación con los hechos y no sólo respecto de la fundamentación del acto porque emiten su propia decisión (no sólo como órgano revisor sino también aplicando sus propias facultades en orden a la ejecución de la pena), y esta decisión será la revisable por este Tribunal. Y si éste, según lo reiteradamente afirmado, ejerce un control formal para «comprobar si la restricción del derecho fundamental ha sido razonable y proporcionada» (STC 170/1996), dicho control habrá de referirse a las resoluciones judiciales revisoras del acto de intervención y a contrastar formalmente la fundamentación que las mismas ofrecen para confirmar o revocar la medida y, en su caso, para acordarla por sí aunque señalen alguna irregularidad en la misma si las circunstancias del caso así lo exigen [F. J. 5].</w:t>
      </w:r>
    </w:p>
    <w:p w:rsidR="006854DA" w:rsidRDefault="006854DA" w:rsidP="006854DA">
      <w:pPr>
        <w:pStyle w:val="Extracto"/>
      </w:pPr>
    </w:p>
    <w:p w:rsidR="006854DA" w:rsidRDefault="006854DA" w:rsidP="006854DA">
      <w:pPr>
        <w:pStyle w:val="Extracto"/>
      </w:pPr>
      <w:r>
        <w:t>2.</w:t>
      </w:r>
      <w:r>
        <w:tab/>
        <w:t xml:space="preserve">Teniendo en cuenta que se trata de una medida del Centro donde el interno fue trasladado que se limitó a ratificar lo acordado por el de origen, lo dicho pone de manifiesto, en primer lugar, que el acto de ratificación fue suficientemente conocido por el interno como revela que fuese él mismo quien solicitó su levantamiento, así como su recurso al Juez. La proporcionalidad de la medida viene revelada por la propia fundamentación inicial del Juzgado de Vigilancia de Santander </w:t>
      </w:r>
      <w:r>
        <w:lastRenderedPageBreak/>
        <w:t>aceptando la información suministrada a su requerimiento por el Centro penitenciario expresiva de dos circunstancias fundamentales: La de que no hubiese mejorado en su evolución y la de los contactos con el mundo exterior como ayuda para intentar su evasión. Y la comunicación al Juez queda evidenciada por su propia resolución en la que además aceptaba aquella información del Centro y los fundamentos de la dirección del mismo para ratificar una medida que se muestra como relevante para mantener la privación de las comunicaciones postales y para el buen orden del establecimiento, dependiente, en cierto modo, del riesgo de fuga que aquélla trata de prevenir [F. J. 7].</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2.710/93, promovido por don Juan Redondo Fernández, representado por la Procuradora doña Nuria Solé Batet y bajo la dirección letrada de don Carlos Tomás del Olmo y Morand, contra la intervención de sus comunicaciones orales y escritas por parte de la Administración Penitenciaria y contra los Autos del Juzgado de Vigilancia Penitenciaria de Santander, de 16 de abril y 12 de mayo de 1993, así como frente al Auto de la Sección Tercera de la Audiencia Provincial de Santander, de 7 de julio de 1993, recaído en el rollo núm. 14/93. Ha intervenido el Ministerio Fiscal. Ha sido Ponente el Magistrado don José Gabaldón López,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de 3 de agosto de 1993, cursado desde el Centro Penitenciario de Jaén y con fecha de entrada en el Registro General de este Tribunal el día 18 de agosto de 1993, don Juan Redondo Fernández solicitaba el beneficio de justicia gratuita para formalizar demanda de amparo contra las resoluciones que se mencionan en el encabezamiento.</w:t>
      </w:r>
    </w:p>
    <w:p w:rsidR="006854DA" w:rsidRDefault="006854DA" w:rsidP="006854DA">
      <w:pPr>
        <w:pStyle w:val="TextoNormal"/>
      </w:pPr>
    </w:p>
    <w:p w:rsidR="006854DA" w:rsidRDefault="006854DA" w:rsidP="006854DA">
      <w:pPr>
        <w:pStyle w:val="TextoNormal"/>
      </w:pPr>
      <w:r w:rsidRPr="006854DA">
        <w:rPr>
          <w:rStyle w:val="NumeroAFNegritaCaracter"/>
        </w:rPr>
        <w:t>2</w:t>
      </w:r>
      <w:r>
        <w:t>. Por providencia de 13 de enero de 1994, la Sección Cuarta de este Tribunal acordó tramitar la solicitud de Abogado y Procurador del turno de oficio, y una vez recaídas las respectivas designaciones, tras la oportuna tramitación, se formalizó demanda de amparo, que tuvo entrada en el Registro General de este Tribunal el 6 de julio de 1994.</w:t>
      </w:r>
    </w:p>
    <w:p w:rsidR="006854DA" w:rsidRDefault="006854DA" w:rsidP="006854DA">
      <w:pPr>
        <w:pStyle w:val="TextoNormal"/>
      </w:pPr>
    </w:p>
    <w:p w:rsidR="006854DA" w:rsidRDefault="006854DA" w:rsidP="006854DA">
      <w:pPr>
        <w:pStyle w:val="TextoNormal"/>
      </w:pPr>
      <w:r w:rsidRPr="006854DA">
        <w:rPr>
          <w:rStyle w:val="NumeroAFNegritaCaracter"/>
        </w:rPr>
        <w:t>3</w:t>
      </w:r>
      <w:r>
        <w:t>. El recurso se plantea en relación con el Auto núm. 45/93, de 7 de julio, de la Audiencia Provincial de Santander que confirmó en apelación los del Juez de Vigilancia Pe</w:t>
      </w:r>
      <w:r>
        <w:lastRenderedPageBreak/>
        <w:t xml:space="preserve">nitenciaria de dicha Ciudad de 16 de abril y 12 de mayo de 1993 desestimatorios de la queja formulada por el recurrente contra la decisión que había acordado la intervención de sus comunicaciones orales y escritas en el Centro Penitenciario de El Dueso. Respecto de ello, y tras el no fácil examen de la documentación obrante en autos pueden reconstruirse como ciertos y relevantes los siguientes hechos: </w:t>
      </w:r>
    </w:p>
    <w:p w:rsidR="006854DA" w:rsidRDefault="006854DA" w:rsidP="006854DA">
      <w:pPr>
        <w:pStyle w:val="TextoNormal"/>
      </w:pPr>
      <w:r>
        <w:t xml:space="preserve">a) En sesión celebrada los días 3 y 4 de septiembre de 1991, la Junta de Régimen y Administración del Centro Penitenciario de Sevilla II acordó la intervención de las comunicaciones orales y escritas del recurrente, a la sazón interno en dicho Centro. </w:t>
      </w:r>
    </w:p>
    <w:p w:rsidR="006854DA" w:rsidRDefault="006854DA" w:rsidP="006854DA">
      <w:pPr>
        <w:pStyle w:val="TextoNormal"/>
      </w:pPr>
      <w:r>
        <w:t xml:space="preserve">b) Posteriormente, dicha Junta de Régimen y Administración dictó nuevo Acuerdo de intervención, de fecha 1 de abril de 1992. </w:t>
      </w:r>
    </w:p>
    <w:p w:rsidR="006854DA" w:rsidRDefault="006854DA" w:rsidP="006854DA">
      <w:pPr>
        <w:pStyle w:val="TextoNormal"/>
      </w:pPr>
      <w:r>
        <w:t xml:space="preserve">c) Con fecha de 14 de febrero de 1993, el recurrente, que había sido trasladado al Centro Penitenciario de El Dueso, presentó ante el Juzgado de Vigilancia Penitenciaria de Santander un escrito de queja, mediante el cual ponía en conocimiento del mismo la intervención de sus comunicaciones, solicitando su cese e impugnando genéricamente tal situación, sin hacer referencia expresa a ningún Acuerdo de intervención. </w:t>
      </w:r>
    </w:p>
    <w:p w:rsidR="006854DA" w:rsidRDefault="006854DA" w:rsidP="006854DA">
      <w:pPr>
        <w:pStyle w:val="TextoNormal"/>
      </w:pPr>
      <w:r>
        <w:t xml:space="preserve">d) El Juzgado de Vigilancia Penitenciaria de Santander, mediante Auto de 16 de abril de 1993, desestima la queja formulada por entender que el art. 51.5 L.O.G.P. atribuye dicha posibilidad al Director del Centro, dando cuenta a la autoridad judicial competente, trámite que se habría observado en su momento y por considerar que persiste la necesidad de la intervención, dada la elevada peligrosidad del interno. </w:t>
      </w:r>
    </w:p>
    <w:p w:rsidR="006854DA" w:rsidRDefault="006854DA" w:rsidP="006854DA">
      <w:pPr>
        <w:pStyle w:val="TextoNormal"/>
      </w:pPr>
      <w:r>
        <w:t xml:space="preserve">e) Contra dicha Resolución formuló el actor recurso de reforma, dictando el mencionado Juzgado de Vigilancia Penitenciaria Auto de 12 de mayo de 1993, en el que confirmaba la resolución impugnada. </w:t>
      </w:r>
    </w:p>
    <w:p w:rsidR="006854DA" w:rsidRDefault="006854DA" w:rsidP="006854DA">
      <w:pPr>
        <w:pStyle w:val="TextoNormal"/>
      </w:pPr>
      <w:r>
        <w:t>f) La Audiencia Provincial de Santander desestimó el recurso de apelación interpuesto contra la anterior resolución mediante Auto de 7 de julio de 1993.</w:t>
      </w:r>
    </w:p>
    <w:p w:rsidR="006854DA" w:rsidRDefault="006854DA" w:rsidP="006854DA">
      <w:pPr>
        <w:pStyle w:val="TextoNormal"/>
      </w:pPr>
    </w:p>
    <w:p w:rsidR="006854DA" w:rsidRDefault="006854DA" w:rsidP="006854DA">
      <w:pPr>
        <w:pStyle w:val="TextoNormal"/>
      </w:pPr>
      <w:r w:rsidRPr="006854DA">
        <w:rPr>
          <w:rStyle w:val="NumeroAFNegritaCaracter"/>
        </w:rPr>
        <w:t>4</w:t>
      </w:r>
      <w:r>
        <w:t>. En la fundamentación jurídica de la demanda, el recurrente invoca el derecho al secreto de las comunicaciones consagrado en el art. 18.3 C.E., que habría sido lesionado por la Administración Penitenciaria al intervenir las comunicaciones del actor sin motivar debidamente tal medida y sin que conste acreditada en autos la notificación al mismo del Acuerdo, ni que de éste se diera cuenta a la autoridad judicial competente tal y como exige la legislación penitenciaria. En la medida en que las resoluciones judiciales que ratificaron el Acuerdo no corrigen la lesión constitucional denunciada, los órganos judiciales en cuestión habrían vulnerado el derecho a la tutela judicial efectiva (art. 24.1 C.E.)</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9 de febrero de 1995, la Sección Cuarta de este Tribunal acordó admitir a trámite la demanda de amparo y, en aplicación del art. 51 LOTC, dirigir atenta comunicación a la Sección Tercera de la Audiencia Provincial de Santander y al Juzgado de Vigilancia Penitenciaria de Santander a fin de que, en plazo no superior a diez días, remitieran respectivamente certificación o fotocopia adverada de las actuaciones correspondientes al rollo núm. 14/93 y al Expediente (RG 816/93, RP 41/93).</w:t>
      </w:r>
    </w:p>
    <w:p w:rsidR="006854DA" w:rsidRDefault="006854DA" w:rsidP="006854DA">
      <w:pPr>
        <w:pStyle w:val="TextoNormal"/>
      </w:pPr>
    </w:p>
    <w:p w:rsidR="006854DA" w:rsidRDefault="006854DA" w:rsidP="006854DA">
      <w:pPr>
        <w:pStyle w:val="TextoNormal"/>
      </w:pPr>
      <w:r w:rsidRPr="006854DA">
        <w:rPr>
          <w:rStyle w:val="NumeroAFNegritaCaracter"/>
        </w:rPr>
        <w:t>6</w:t>
      </w:r>
      <w:r>
        <w:t>. La Sección Cuarta, por providencia de 21 de marzo de 1995, acordó dar vista de las actuaciones remitidas a la parte recurrente y al Ministerio Fiscal por plazo común de veinte días, para que presentaran las alegaciones que estimasen pertinentes, conforme determina el art. 52.1 LOTC.</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7</w:t>
      </w:r>
      <w:r>
        <w:t xml:space="preserve">. El 21 de abril de 1995 tiene entrada en el Registro General de este Tribunal el escrito de alegaciones del Ministerio Fiscal ante el Tribunal Constitucional. En él el Ministerio Público interesa la desestimación del amparo por carecer de fundamento todos los reproches dirigidos por el recurrente a la actuación administrativa y judicial. En primer lugar, el examen de las actuaciones revelaría que la intervención administrativa de las comunicaciones estuvo perfectamente motivada, ya que así resultaría del escrito de fecha 2 de abril de 1992 firmado por el Director del Centro Penitenciario de Sevilla II, en el que se indica que "la Junta de Régimen y Administración de este centro, reunida en sesión ordinaria el día uno de abril del presente, acordó intervenir las comunicaciones orales y escritas de los internos (.....) y Juan Redondo Fernández, por razones de seguridad y buen orden del Establecimiento, debido a su trayectoria penitenciaria, peligrosidad y conflictividad. Ambos internos están incluidos en el fichero de F.I.E.S. y están clasificados en primer grado", reiterando y ampliando tal motivación las resoluciones judiciales subsiguientes, constando también en el informe penitenciario de 18 de marzo de 1993 las razones determinantes de la intervención. </w:t>
      </w:r>
    </w:p>
    <w:p w:rsidR="006854DA" w:rsidRDefault="006854DA" w:rsidP="006854DA">
      <w:pPr>
        <w:pStyle w:val="TextoNormal"/>
      </w:pPr>
      <w:r>
        <w:t xml:space="preserve">En segundo lugar, constaría ya en el Auto de 16 de abril de 1993 que también se observó el requisito de dar cuenta de la intervención a la autoridad judicial competente. </w:t>
      </w:r>
    </w:p>
    <w:p w:rsidR="006854DA" w:rsidRDefault="006854DA" w:rsidP="006854DA">
      <w:pPr>
        <w:pStyle w:val="TextoNormal"/>
      </w:pPr>
      <w:r>
        <w:t>Por último, la medida recurrida ha de considerarse proporcional en cuanto a su duración en el tiempo, puesto que su prolongación se explica por no haber desaparecido las circunstancias que determinaron su adopción.</w:t>
      </w:r>
    </w:p>
    <w:p w:rsidR="006854DA" w:rsidRDefault="006854DA" w:rsidP="006854DA">
      <w:pPr>
        <w:pStyle w:val="TextoNormal"/>
      </w:pPr>
    </w:p>
    <w:p w:rsidR="006854DA" w:rsidRDefault="006854DA" w:rsidP="006854DA">
      <w:pPr>
        <w:pStyle w:val="TextoNormal"/>
      </w:pPr>
      <w:r w:rsidRPr="006854DA">
        <w:rPr>
          <w:rStyle w:val="NumeroAFNegritaCaracter"/>
        </w:rPr>
        <w:t>8</w:t>
      </w:r>
      <w:r>
        <w:t>. Por providencia de 1 de febrero de 1996, la Sección Tercera acordó librar atenta comunicación al Centro Penitenciario de Valladolid a fin de que remitiera todo lo existente en el expediente del actor sobre intervención de sus comunicaciones y en especial lo siguiente: copia del Acuerdo de la Junta de Régimen y Administración del Centro Penitenciario del Dueso, de 23 de septiembre de 1991, por el cual supuestamente se habría ratificado la intervención de comunicaciones, acreditación de su notificación al interno y acreditación de que se dio cuenta de dicho Acuerdo a la autoridad judicial competente, así como copia del Acuerdo de intervención de comunicaciones adoptado el 25 de marzo de 1992 por la Junta de Régimen y Administración del Centro Penitenciario de Sevilla. También se solicitaba información acerca de si cuando posteriormente el interno fue trasladado de nuevo al Centro Penitenciario de El Dueso se ratificó expresamente la intervención de sus comunicaciones, se le notificó tal medida y si se dio cuenta de ella al Juez de Vigilancia Penitenciaria.</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1 de marzo de 1996 tiene entrada en el Registro General de este Tribunal la documentación remitida por el Centro Penitenciario de Valladolid, así como un informe del Director de dicho establecimiento, según el cual "en relación con la documentación especialmente solicitada se informa: </w:t>
      </w:r>
    </w:p>
    <w:p w:rsidR="006854DA" w:rsidRDefault="006854DA" w:rsidP="006854DA">
      <w:pPr>
        <w:pStyle w:val="TextoNormal"/>
      </w:pPr>
      <w:r>
        <w:t xml:space="preserve">"1º. No se ha encontrado el Acuerdo de la Junta de Régimen y Administración del Centro Penitenciario de El Dueso, de fecha 23/09/91, por el cual se debería ratificar la intervención de comunicaciones realizada por la Junta de Régimen y Administración del Centro Penitenciario Sevilla 2, en sesión celebrada los días 3 y 4 de septiembre de 1991 (se adjunta copia adverada de la notificación al interno -folio núm. 1-, copias, a modo de minuta -con sello del Establecimiento y sin firma-, de la comunicación al Juzgado de Vigilancia de Sevilla y de un certificado, todo ello relativo al acuerdo de Sevilla (folios núm. 2 y 3). </w:t>
      </w:r>
    </w:p>
    <w:p w:rsidR="006854DA" w:rsidRDefault="006854DA" w:rsidP="006854DA">
      <w:pPr>
        <w:pStyle w:val="TextoNormal"/>
      </w:pPr>
      <w:r>
        <w:lastRenderedPageBreak/>
        <w:t xml:space="preserve">2º. Relativo al acuerdo de intervención de comunicaciones adoptado el 25/03/92 por la Junta de Régimen y Administración del Centro Penitenciario Sevilla 2 al que se hace referencia a su escrito, únicamente existe una copia -folio núm. 4-, a modo de minuta (con sello y sin firmar), de una comunicación hecha al Juzgado de Vigilancia Penitenciaria de Sevilla sobre intervención de comunicaciones orales y escritas al interno Juan Redondo Fernández por acuerdo de la Junta de Régimen en sesión celebrada el 01/04/92. </w:t>
      </w:r>
    </w:p>
    <w:p w:rsidR="006854DA" w:rsidRDefault="006854DA" w:rsidP="006854DA">
      <w:pPr>
        <w:pStyle w:val="TextoNormal"/>
      </w:pPr>
      <w:r>
        <w:t xml:space="preserve">3º. No consta que cuando posteriormente el interno fue nuevamente trasladado al Centro Penitenciario El Dueso la Junta de Régimen y Administración de este Centro volviera a ratificar expresamente la intervención de comunicaciones. En relación con este extremo significo a V.I. que en el período comprendido entre el 22/09/91 y el 18/05/93 el interno de referencia, tras ser conducido a otros establecimientos por distintos motivos, reingresó al Centro Penitenciario El Dueso un total de 16 veces. </w:t>
      </w:r>
    </w:p>
    <w:p w:rsidR="006854DA" w:rsidRDefault="006854DA" w:rsidP="006854DA">
      <w:pPr>
        <w:pStyle w:val="TextoNormal"/>
      </w:pPr>
      <w:r>
        <w:t>La última vez que se ratificó la intervención de las comunicaciones al interno de referencia fue por Acuerdo de la Junta de Régimen y Administración de este Centro en fecha 21/03/95 (se adjunta copia adverada del acuerdo - folio núm. 5-, de la notificación al interno -folio núm. 6- y de la comunicación al Juzgado de Vigilancia Penitenciaria -folio núm. 7-. El interno recurrió dicho acuerdo, recurso que fue informado por esta Dirección - folio núm. 8-. El Juzgado de Vigilancia Penitenciaria de Valladolid resolvió, en Auto de fecha 16/10/95 -folios núms. 9 y 10-, dejando sin efecto la intervención de las comunicaciones que se venían manteniendo sobre el interno Juan Redondo Fernández".</w:t>
      </w:r>
    </w:p>
    <w:p w:rsidR="006854DA" w:rsidRDefault="006854DA" w:rsidP="006854DA">
      <w:pPr>
        <w:pStyle w:val="TextoNormal"/>
      </w:pPr>
    </w:p>
    <w:p w:rsidR="006854DA" w:rsidRDefault="006854DA" w:rsidP="006854DA">
      <w:pPr>
        <w:pStyle w:val="TextoNormal"/>
      </w:pPr>
      <w:r w:rsidRPr="006854DA">
        <w:rPr>
          <w:rStyle w:val="NumeroAFNegritaCaracter"/>
        </w:rPr>
        <w:t>10</w:t>
      </w:r>
      <w:r>
        <w:t>. Recibida la información reseñada, la Sección Tercera dictó providencia acordando dar traslado de la misma a la parte recurrente y al Ministerio Fiscal para que, en caso de estimarlo necesario, completaran las alegaciones formuladas en su día.</w:t>
      </w:r>
    </w:p>
    <w:p w:rsidR="006854DA" w:rsidRDefault="006854DA" w:rsidP="006854DA">
      <w:pPr>
        <w:pStyle w:val="TextoNormal"/>
      </w:pPr>
    </w:p>
    <w:p w:rsidR="006854DA" w:rsidRDefault="006854DA" w:rsidP="006854DA">
      <w:pPr>
        <w:pStyle w:val="TextoNormal"/>
      </w:pPr>
      <w:r w:rsidRPr="006854DA">
        <w:rPr>
          <w:rStyle w:val="NumeroAFNegritaCaracter"/>
        </w:rPr>
        <w:t>11</w:t>
      </w:r>
      <w:r>
        <w:t>. El 31 de mayo de 1996 tuvo entrada en el Registro General de este Tribunal el escrito de alegaciones de la parte recurrente. Según ésta, dado que lo que se discute es la intervención de las comunicaciones del actor en el Centro Penitenciario del Dueso, la falta de constancia documental del Acuerdo de intervención de la Junta de Régimen y Administración del Centro Penitenciario del Dueso, de 23 de septiembre de 1991, no vendría sino a probar la lesión constitucional denunciada.</w:t>
      </w:r>
    </w:p>
    <w:p w:rsidR="006854DA" w:rsidRDefault="006854DA" w:rsidP="006854DA">
      <w:pPr>
        <w:pStyle w:val="TextoNormal"/>
      </w:pPr>
    </w:p>
    <w:p w:rsidR="006854DA" w:rsidRDefault="006854DA" w:rsidP="006854DA">
      <w:pPr>
        <w:pStyle w:val="TextoNormal"/>
      </w:pPr>
      <w:r w:rsidRPr="006854DA">
        <w:rPr>
          <w:rStyle w:val="NumeroAFNegritaCaracter"/>
        </w:rPr>
        <w:t>12</w:t>
      </w:r>
      <w:r>
        <w:t>. Por su parte, el Ministerio Fiscal, en su escrito de 30 de mayo de 1996, estima que "es cierto que en el informe emitido por el Centro Penitenciario de Valladolid (27-2-96) se destaca, como dato, que no se ha encontrado el Acuerdo de la Junta de Régimen y Administración del Dueso, de 23 de septiembre de 1991, que debía ratificar la intervención acordada por el Centro Penitenciario de Sevilla el 3-4 de septiembre de 1991. Pero, a la vista de la documentación que acompaña este informe y del que emitió ese mismo Centro Penitenciario de Valladolid con fecha 23 de noviembre de 1994 y documentación adjunta, no parece al Fiscal que existan motivos nuevos valorables para modificar las alegaciones de 21 de abril de 1995, que mantiene en su integridad tanto por las motivaciones dadas sobre intervención de comunicaciones (por los Centros Penitenciarios y por el órgano judicial) como por los antecedentes que constan y que se analizaron en su momento; por lo que se insiste en la denegación del amparo.</w:t>
      </w:r>
    </w:p>
    <w:p w:rsidR="006854DA" w:rsidRDefault="006854DA" w:rsidP="006854DA">
      <w:pPr>
        <w:pStyle w:val="TextoNormal"/>
      </w:pPr>
    </w:p>
    <w:p w:rsidR="006854DA" w:rsidRDefault="006854DA" w:rsidP="006854DA">
      <w:pPr>
        <w:pStyle w:val="TextoNormal"/>
      </w:pPr>
      <w:r w:rsidRPr="006854DA">
        <w:rPr>
          <w:rStyle w:val="NumeroAFNegritaCaracter"/>
        </w:rPr>
        <w:t>13</w:t>
      </w:r>
      <w:r>
        <w:t>. Por providencia de fecha 10 de julio de 1997, se señaló para la deliberación y votación del presente recurso el día 14 del mismo mes.</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demanda de amparo denuncia la intervención de las comunicaciones orales y escritas que, por decisión de la Administración Penitenciaria, vendría sufriendo desde septiembre de 1993 el recurrente, interno en Centro Penitenciario. También se dirige la demanda contra los Autos del Juzgado de Vigilancia Penitenciaria de Santander, de 16 de abril y 12 de mayo de 1993, así como frente al Auto de la Sección Tercera de la Audiencia Provincial de Santander, de 7 de julio de 1993.</w:t>
      </w:r>
    </w:p>
    <w:p w:rsidR="006854DA" w:rsidRDefault="006854DA" w:rsidP="006854DA">
      <w:pPr>
        <w:pStyle w:val="TextoNormal"/>
      </w:pPr>
      <w:r>
        <w:t>Aunque la pretensión de amparo incluye las resoluciones administrativas y las resoluciones judiciales, estas últimas son traídas al recurso solamente por no haber reparado las vulneraciones de derechos fundamentales que se imputan a aquéllas. Se trata, pues, de un recurso interpuesto por la vía del art. 43 de la LOTC, cuyo contenido objetivo viene determinado por los Acuerdos de la Administración Penitenciaria, a los que se achaca la vulneración del derecho al secreto de las comunicaciones (art.  18.3 C.E.)  por la ausencia de motivación, la falta de notificación al actor, así como no haber dado cuenta a la autoridad judicial competente, tal como exige la legislación penitenciaria.</w:t>
      </w:r>
    </w:p>
    <w:p w:rsidR="006854DA" w:rsidRDefault="006854DA" w:rsidP="006854DA">
      <w:pPr>
        <w:pStyle w:val="TextoNormal"/>
      </w:pPr>
    </w:p>
    <w:p w:rsidR="006854DA" w:rsidRDefault="006854DA" w:rsidP="006854DA">
      <w:pPr>
        <w:pStyle w:val="TextoNormal"/>
      </w:pPr>
      <w:r w:rsidRPr="006854DA">
        <w:rPr>
          <w:rStyle w:val="NumeroAFNegritaCaracter"/>
        </w:rPr>
        <w:t>2</w:t>
      </w:r>
      <w:r>
        <w:t>. El análisis de la queja planteada choca con un obstáculo inicial: la precisa fijación de los hechos de la cual depende la determinación del objeto del amparo y cuya inconcreción no puede imputarse al recurrente, dado que éste, entre otros extremos, denuncia la falta de notificación de los Acuerdos de intervención si bien hay constancia en el expediente de que la rechazó. La principal dificultad deriva, según información remitida por el Centro Penitenciario de Valladolid, de la inexistencia en el expediente penitenciario del recurrente de un soporte documental claro y completo acerca de la intervención de las comunicaciones durante su internamiento.</w:t>
      </w:r>
    </w:p>
    <w:p w:rsidR="006854DA" w:rsidRDefault="006854DA" w:rsidP="006854DA">
      <w:pPr>
        <w:pStyle w:val="TextoNormal"/>
      </w:pPr>
      <w:r>
        <w:t>En consecuencia, y aparte señalar el desfavorable efecto de un expediente desordenado e incompleto respecto de la cuestión que nos ocupa, debe comenzar cualquier fundamentación que haya de hacerse para resolver este recurso por la adecuada determinación de los hechos sobre los cuales se pronunciaron las resoluciones impugnadas, en relación con los motivos de amparo alegados. Y de la apreciación sobre la documentación obrante en autos, pese a su desorden y deficiencias, resultan relevantes los siguientes datos:</w:t>
      </w:r>
    </w:p>
    <w:p w:rsidR="006854DA" w:rsidRDefault="006854DA" w:rsidP="006854DA">
      <w:pPr>
        <w:pStyle w:val="TextoNormal"/>
      </w:pPr>
      <w:r>
        <w:t>a) La intervención de las comunicaciones del recurrente parece remontarse al momento en el cual, según certificación expedida por el Secretario de la Junta de Régimen y Administración del Centro Sevilla II, "La Junta de Régimen y Administración, celebrada el día 3-4 de septiembre de 1991 y reunida en sesión ordinaria, acordó entre otros asuntos el siguiente: aprobar por unanimidad intervenir las comunicaciones orales y escritas a los internos Juan Redondo Fernández (....)  en base a lo que establecen los arts. 51.5 L.O.G.P. y 91 y 46 del R.P.". También consta que de dicha medida se dio cuenta al Juzgado de Vigilancia Penitenciaria, así como que fue notificada a su destinatario, notificación que el interno se negó a firmar y en la que, en consonancia con el tenor del propio Acuerdo, no se especifican las razones concretas determinantes de tal acto administrativo si bien en la comunicacion al Juzgado se hacen constar los motivos, fundados en tratarse de "interno muy peligroso, al haber participado en secuestros y motines".  Posteriormente el actor fue trasladado al Centro Penitenciario del Dueso, y aunque en algún informe de este Centro Penitenciario se hace alusión a un Acuerdo de 23 de septiembre de 1991, no hay constancia del acto original, al que sin embargo se refiere el Auto del Juez de Vigilancia Peniten</w:t>
      </w:r>
      <w:r>
        <w:lastRenderedPageBreak/>
        <w:t>ciaria de 16 de abril de 1993 que terminantemente señala que el trámite de dar cuenta a la Autoridad judicial "se observó en su momento", fundándose el Juez en que "persiste la necesidad de la medida acordada dada la elevada peligrosidad del mismo, que no ha mejorado en su evolución".</w:t>
      </w:r>
    </w:p>
    <w:p w:rsidR="006854DA" w:rsidRDefault="006854DA" w:rsidP="006854DA">
      <w:pPr>
        <w:pStyle w:val="TextoNormal"/>
      </w:pPr>
      <w:r>
        <w:t>b) Según los informes remitidos a este Tribunal por el Centro Penitenciario de Valladolid, el 1 de abril de 1992 la Junta de Régimen y Administración de Sevilla II acordó nuevamente intervenir las comunicaciones del recurrente. En el expediente penitenciario del actor no obraría dicho Acuerdo, sino tan sólo una comunicación al Juzgado de Vigilancia Penitenciaria de Sevilla sobre esa intervención en la cual se especifican las razones determinantes de la misma tales como su trayectoria penitenciaria, peligrosidad y conflictividad, así como el estar incluído en el fichero F.I.E.S.-I RE y estar clasificado en primer grado, primera fase. No consta que dicho Acuerdo fuera notificado al interno. Solicitada por este Tribunal acreditación de la notificación de la intervención, se remitió por el Centro Penitenciario de Valladolid una diligencia de notificación de la aplicación al recurrente del primer grado de tratamiento penitenciario, primera fase, actuación ésta sustancialmente diversa a la de intervención de las comunicaciones cuya notificación es lo que se había requerido.</w:t>
      </w:r>
    </w:p>
    <w:p w:rsidR="006854DA" w:rsidRDefault="006854DA" w:rsidP="006854DA">
      <w:pPr>
        <w:pStyle w:val="TextoNormal"/>
      </w:pPr>
      <w:r>
        <w:t>c) Posteriormente, el solicitante de amparo fue trasladado de nuevo al Centro Penitenciario del Dueso, no constando que la Junta de Régimen y Administración de este Centro ratificara expresamente la intervención. En el Centro de Valladolid es donde por última vez se ratifica la intervención, por acuerdo de 21 de marzo de 1995 el cual se funda, expresamente, en la extrema peligrosidad del interno con referencia a acciones concretas del mismo (agresiones, secuestros, motines, intentos de fuga y fugas consumadas), y fue comunicado al Juez de vigilancia y notificado al interno, no obstante lo cual la medida fue anulada por el Juez en Auto de 16 de octubre de 1995.</w:t>
      </w:r>
    </w:p>
    <w:p w:rsidR="006854DA" w:rsidRDefault="006854DA" w:rsidP="006854DA">
      <w:pPr>
        <w:pStyle w:val="TextoNormal"/>
      </w:pPr>
      <w:r>
        <w:t>d) Es en el Centro Penitenciario del Dueso donde el recurrente formula queja ante el Juzgado de Vigilancia Penitenciaria denunciando la merma de su derecho al secreto de las comunicaciones, queja que da lugar a los Autos desestimatorios de 16 de abril y 12 de mayo de 1993, así como al Auto de 7 de julio de 1993 de la Audiencia Provincial de Santander desestimando el recurso de apelación interpuesto por el actor. De esta fase judicial es de destacar el informe de fecha 18 de marzo de 1993, emitido por el Director del Centro Penitenciario del Dueso a requerimiento del Juzgado de Vigilancia Penitenciaria, en el cual se detallan las razones justificativas del mantenimiento de la intervención de comunicaciones objeto de la queja del interno.</w:t>
      </w:r>
    </w:p>
    <w:p w:rsidR="006854DA" w:rsidRDefault="006854DA" w:rsidP="006854DA">
      <w:pPr>
        <w:pStyle w:val="TextoNormal"/>
      </w:pPr>
      <w:r>
        <w:t>Al contenido de dichas resoluciones habrá de ceñirse este amparo, pues con independencia del resultado final del Acuerdo adoptado en el Centro de Valladolid, son las relativas al del Dueso las recurridas.</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Como demuestra la anterior apreciación de unos desordenados antecedentes, el examen de la documentación remitida permite tan sólo afirmar la realidad de los Acuerdos de intervención de 3-4 de septiembre de 1991 y de 1 de abril de 1992, ambos adoptados por la Junta de Régimen y Administración del Centro Penitenciario Sevilla II. De los cuales, pese a la parquedad de su motivación, fundada en la "trayectoria penitenciaria" del interno y su "peligrosidad y conflictividad" se dió cuenta al Juez de Vigilancia Penitenciaria e incluso, resolviendo recurso del interno, se dictó auto por el mismo declarando ajustada a derecho la medida, de suerte que la ulterior ratificación de la misma tiene también como antecedente esta resolución judicial firme.  Y habrá de estarse a ella en cuanto no impugnada, valorando sólo la legitimación que, para las resoluciones recurridas, quepa derivar </w:t>
      </w:r>
      <w:r>
        <w:lastRenderedPageBreak/>
        <w:t>del referido auto en cuanto el mismo (y no fue impugnado al parecer) fundó su decisión desestimatoria de la queja en la aceptación de la motivación sucintamente expuesta.</w:t>
      </w:r>
    </w:p>
    <w:p w:rsidR="006854DA" w:rsidRDefault="006854DA" w:rsidP="006854DA">
      <w:pPr>
        <w:pStyle w:val="TextoNormal"/>
      </w:pPr>
    </w:p>
    <w:p w:rsidR="006854DA" w:rsidRDefault="006854DA" w:rsidP="006854DA">
      <w:pPr>
        <w:pStyle w:val="TextoNormal"/>
      </w:pPr>
      <w:r w:rsidRPr="006854DA">
        <w:rPr>
          <w:rStyle w:val="NumeroAFNegritaCaracter"/>
        </w:rPr>
        <w:t>4</w:t>
      </w:r>
      <w:r>
        <w:t>. Este Tribunal ha declarado en su STC 170/1996, de 23 de octubre, que los internos en un Centro Penitenciario son también titulares del derecho al secreto de las comunicaciones (art.  18.3 C.E.), si bien la Ley Orgánica General Penitenciaria y su Reglamento determinan los límites de su ejercicio en atención a las peculiaridades de la relación penitenciaria. Será, pues, respecto de dicho precepto constitucional como haya de enjuiciarse la aplicación efectuada de la legislación penitenciaria y, en concreto, del art.  51.5 L.O.G.P., según el cual "las comunicaciones orales y escritas previstas en este artículo podrán ser suspendidas o intervenidas motivadamente por el Director del Establecimiento, dando cuenta a la autoridad judicial competente"; y puntualiza el propio art. 51.1 que "los internos estarán autorizados para comunicar periódicamente, de forma oral y escrita, en su propia lengua, con sus familiares, amigos y representantes acreditados de organismos e instituciones de cooperación penitenciaria, salvo en los casos de incomunicación judicial. Estas comunicaciones se celebrarán de manera que se respete al máximo la intimidad, y no tendrán más restricciones, en cuanto a las personas y al modo, que las impuestas por razones de seguridad, del interés del tratamiento y del buen orden del establecimiento".</w:t>
      </w:r>
    </w:p>
    <w:p w:rsidR="006854DA" w:rsidRDefault="006854DA" w:rsidP="006854DA">
      <w:pPr>
        <w:pStyle w:val="TextoNormal"/>
      </w:pPr>
      <w:r>
        <w:t>La exigencia de motivación de la intervención de las comunicaciones en el ámbito penitenciario proviene no ya sólo de la prescripción del art. 51.5 L.O.G.P., sino del carácter limitativo de derechos fundamentales que tiene tal medida. Y si bien no compete a este Tribunal constatar la existencia o no de los datos de hecho que justifiquen la intervención, como recientemente recordábamos en nuestra STC 170/1996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Constitución y resultado de un juicio de ponderación de los derechos fundamentales y bienes constitucionales en pugna (SSTC 50/1993, 128/1995, 181/1995, 34/1996, 62/1996, entre otras)". La falta o insuficiencia de la motivación afecta, pues, a la propia existencia del supuesto habilitante para la suspensión o restricción del derecho, en este caso del derecho al secreto de las comunicaciones y, por lo tanto, al propio derecho fundamental (SSTC 27/1989, 8/1990, 86/1995, 128/1995, 62/1996, 170/1996, etc.).</w:t>
      </w:r>
    </w:p>
    <w:p w:rsidR="006854DA" w:rsidRDefault="006854DA" w:rsidP="006854DA">
      <w:pPr>
        <w:pStyle w:val="TextoNormal"/>
      </w:pPr>
    </w:p>
    <w:p w:rsidR="006854DA" w:rsidRDefault="006854DA" w:rsidP="006854DA">
      <w:pPr>
        <w:pStyle w:val="TextoNormal"/>
      </w:pPr>
      <w:r w:rsidRPr="006854DA">
        <w:rPr>
          <w:rStyle w:val="NumeroAFNegritaCaracter"/>
        </w:rPr>
        <w:t>5</w:t>
      </w:r>
      <w:r>
        <w:t>. Según lo antes dicho, no es con respecto a los Acuerdos adoptados en el Centro Penitenciario de Sevilla como debe examinarse la suficiencia de su motivación, en cuanto fueron confirmados judicialmente y consentida esta resolución, la cual no se impugna en este recurso.</w:t>
      </w:r>
    </w:p>
    <w:p w:rsidR="006854DA" w:rsidRDefault="006854DA" w:rsidP="006854DA">
      <w:pPr>
        <w:pStyle w:val="TextoNormal"/>
      </w:pPr>
      <w:r>
        <w:t>Habrá de circunscribirse nuestro examen, como antes se indica, al Acuerdo adoptado por la Dirección de la Penitenciaría del Dueso y las resoluciones que lo confirmaron, pues aunque aquél se haya mostrado como ratificación de los anteriores, de éstos únicamente recibiría la legitimación antes mencionada y sólo por la carencia de motivación suficiente en el mismo cabría tacharle de lesivo al derecho fundamental.</w:t>
      </w:r>
    </w:p>
    <w:p w:rsidR="006854DA" w:rsidRDefault="006854DA" w:rsidP="006854DA">
      <w:pPr>
        <w:pStyle w:val="TextoNormal"/>
      </w:pPr>
      <w:r>
        <w:t xml:space="preserve">Es cierto, repetimos, que a la decisión de aplicar una medida restrictiva de los derechos fundamentales que el interno aun privado de su libertad sigue ostentando, debe exigirse la adecuada fundamentación justificativa de la necesidad de la privación en el marco de la ley, en este caso, del art. 51.1 de la Ley Orgánica General Penitenciaria; y también lo es </w:t>
      </w:r>
      <w:r>
        <w:lastRenderedPageBreak/>
        <w:t>que las resoluciones judiciales que recaigan sobre aquélla no sustituyen su fundamentación, aunque expresan la propia en relación con el contenido del acto, su suficiencia formal y su ajuste a la ley y la Constitución. Y en relacion con estas decisiones también hemos señalado que el de este Tribunal es un control formal que juzga sobre la fundamentación de las mismas y su adecuación constitucional, así como acerca del cumplimiento de los requisitos propios de la resolución del Director del Centro a la cual será exigible, además de su existencia formal y su fundamentación, la notificación al interesado y la comunicación al Juez. Cierto es, pues, que las resoluciones judiciales no pueden limitarse a completar o suplir la carencia de motivación de la que impone la medida, pero también lo es que tienen, respecto de la misma, plenitud de competencia revisoria y por tanto, en relación con los hechos y no sólo respecto de la fundamentación del acto porque emiten su propia decisión (no sólo como órgano revisor sino también aplicando sus propias facultades en orden a la ejecución de la pena), y esta decisión será la revisable por este Tribunal. Y si éste, según lo reiteradamente afirmado, ejerce un control formal para "comprobar si la restricción del derecho fundamental ha sido razonable y proporcionada" (STC citada 170/1996), dicho control habrá de referirse a las resoluciones judiciales revisorias del acto de intervención y a contrastar formalmente la fundamentación que las mismas ofrecen para confirmar o revocar la medida y, en su caso, para acordarla por sí aúnque señalen alguna irregularidad en la misma si las circunstancias del caso así lo exigen.</w:t>
      </w:r>
    </w:p>
    <w:p w:rsidR="006854DA" w:rsidRDefault="006854DA" w:rsidP="006854DA">
      <w:pPr>
        <w:pStyle w:val="TextoNormal"/>
      </w:pPr>
    </w:p>
    <w:p w:rsidR="006854DA" w:rsidRDefault="006854DA" w:rsidP="006854DA">
      <w:pPr>
        <w:pStyle w:val="TextoNormal"/>
      </w:pPr>
      <w:r w:rsidRPr="006854DA">
        <w:rPr>
          <w:rStyle w:val="NumeroAFNegritaCaracter"/>
        </w:rPr>
        <w:t>6</w:t>
      </w:r>
      <w:r>
        <w:t>. En el caso presente, según lo que alega el Fiscal, las resoluciones judiciales impugnadas reiteran y amplían lo que había ratificado el Centro de Sevilla (2 de abril de 1992) al incorporar los antecedentes obrantes en el expediente que acreditan la elevada peligrosidad del interno, que "no ha mejorado en su evolución".</w:t>
      </w:r>
    </w:p>
    <w:p w:rsidR="006854DA" w:rsidRDefault="006854DA" w:rsidP="006854DA">
      <w:pPr>
        <w:pStyle w:val="TextoNormal"/>
      </w:pPr>
      <w:r>
        <w:t>Al respecto debe ponerse de relieve que el expediente del recluso en la prisión de El Dueso dista mucho de ser modélico por mostrarse desordenado y con ausencia de algunos documentos importantes como el texto original de la resolución de 23 de septiemnbre de 1991 (ratificando la del Centro de Sevilla) o el del traslado al Juez de Vigilancia de aquella resolución o su notificación al interno. Sin embargo, resulta de los antecedentes trabajosamente reconstruídos que, aunque se echan en falta dichos requisitos formales exigibles para la regularidad de la resolución de la Dirección del Centro, o sea su fundamentación en cuanto a la ratificación de los Acuerdos del Centro de Sevilla, la notificación al interno y la comunicación al Juez de Vigilancia, actos cumplidos en dicho Centro, también es cierto que éste resolvió fundándose en los hechos y elementos formales que le fueron suministrados y acordó la convalidación de la medida, no como mera subsanación de sus deficiencias sino en ejercicio de sus facultades propias tanto decisorias de la queja como de aquéllas que la ley también le otorga en orden a la ejecución de la pena y a la intervención en su cumplimiento (art. 76.1 L.O.G.P.)  y tal es, pues, el contenido de la decisión que cabe revisar ahora en el plano constitucional.</w:t>
      </w:r>
    </w:p>
    <w:p w:rsidR="006854DA" w:rsidRDefault="006854DA" w:rsidP="006854DA">
      <w:pPr>
        <w:pStyle w:val="TextoNormal"/>
      </w:pPr>
      <w:r>
        <w:t xml:space="preserve">Así, aunque según el referido informe de la Dirección de El Dueso, no se ha podido hallar el texto original de la resolución de 23 de septiembre de 1991 ratificando el primero de los dictados en el Centro de Sevilla, sí es posible conocer que la ratificación tuvo lugar y se comunicó al Juzgado de Vigilancia Penitenciaria, y que el mismo mantenía igual fundamento de los Autos citados de Sevilla. Dicha fundamentación inicial fue considerada suficiente por el Juzgado de Vigilancia de Santander, quien tras recabar información al Centro (12 de marzo ded 1993) aceptó sin duda la extensamente formulada en el informe que éste le rindiera el 18 de marzo de 1993, el cual no sólo se refiere a circunstancias ya tenidas en cuenta como la de ser "considerado como uno de los más brutales y activos", </w:t>
      </w:r>
      <w:r>
        <w:lastRenderedPageBreak/>
        <w:t>haber protagonizado varias evasiones, motines, secuestros incluso de funcionarios y autoridades judiciales, sino que agregaba dos circunstancias decisivas en cuanto al mantenimiento de la medida, a pesar de su duración; la primera, no haber mejorado en absoluto en su evolucion, y la más específica de haberse constatado "que tiene contactos con el exterior relacionados con el mundo delincuencial ... para contar con cobertura y ayuda e intentar la evasión", circunstancias claramente incorporadas a la motivación expresa de las resoluciones judiciales recurridas, pese a su formulación excesivamente lacónica, y que señalan de modo explícito el fin de la medida, individualizado en relación con el interno y su específica actuación respecto de la utilización de las comunicaciones, el carácter singular y explícito de aquélla, su excepcionalidad en relacion con dicho fin y con la conducta del penado y su adecuación temporal determinada por la ratificación de la anteriormente adoptada y por los mismos motivos. Estos son los extremos que resultan de la fundamentación judicial, pero que, en cuanto muestra de unos motivos reales considerados y tenidos en cuenta, incluso, como el primer Auto señala, sometiéndolos a ulterior consideración por el proceder penitenciario del interno, deben justificar la ratificación de la medida.</w:t>
      </w:r>
    </w:p>
    <w:p w:rsidR="006854DA" w:rsidRDefault="006854DA" w:rsidP="006854DA">
      <w:pPr>
        <w:pStyle w:val="TextoNormal"/>
      </w:pPr>
      <w:r>
        <w:t>Pues si bien la eventual falta de notificación al interno y de comunicación al Juez hubieran determinado la inconstitucionalidad de la intervención acordada por el Centro y su pronunciamiento por el Juez, es lo cierto que, en el caso, éste, además de aplicar sus propias facultades como antes decimos, apreció que tanto la notificación como dichas comunicaciones se habían producido fundándose en los antecedentes y en los informes que él mismo había recabado y en unas circunstancias de hecho que persistían por no haber mejorado el interno en su evolución; lo cual ponía sin duda en evidencia que la medida, a pesar de su duración desde que fuera acordada en el Centro de Sevilla, no había dejado de ser necesaria por las razones de seguridad y buen orden del establecimiento que habían determinado su adopción.</w:t>
      </w:r>
    </w:p>
    <w:p w:rsidR="006854DA" w:rsidRDefault="006854DA" w:rsidP="006854DA">
      <w:pPr>
        <w:pStyle w:val="TextoNormal"/>
      </w:pPr>
    </w:p>
    <w:p w:rsidR="006854DA" w:rsidRDefault="006854DA" w:rsidP="006854DA">
      <w:pPr>
        <w:pStyle w:val="TextoNormal"/>
      </w:pPr>
      <w:r w:rsidRPr="006854DA">
        <w:rPr>
          <w:rStyle w:val="NumeroAFNegritaCaracter"/>
        </w:rPr>
        <w:t>7</w:t>
      </w:r>
      <w:r>
        <w:t>. En definitiva, teniendo en cuenta que se trata de una medida del Centro donde el interno fue trasladado que se limitó a ratificar lo acordado por el de origen, lo dicho pone de manifiesto, en primer lugar, que el acto de ratificación fue suficientemente conocido por el interno como revela que fuese él mismo quien solicitó su levantamiento, así como su recurso al Juez. La proporcionalidad de la medida viene revelada por la propia fundamentación inicial del Juzgado de Vigilancia de Santander aceptando la información suministrada a su requerimiento por el Centro penitenciario (marzo de 1993) expresiva de dos circunstancias fundamentales: la de que no hubiese mejorado en su evolución y la de los contactos con el mundo exterior como ayuda para intentar su evasion. Y la comunicación al Juez queda evidenciada por su propia resolución en la que además aceptaba aquella información del Centro y los fundamentos de la dirección del mismo para ratificar una medida que se muestra como relevante para mantener la privación de las comunicaciones postales y para el buen orden del establecimiento, dependiente en cierto modo del riesgo de fuga que aquélla trata de prevenir.</w:t>
      </w:r>
    </w:p>
    <w:p w:rsidR="006854DA" w:rsidRDefault="006854DA" w:rsidP="006854DA">
      <w:pPr>
        <w:pStyle w:val="TextoNormal"/>
      </w:pPr>
      <w:r>
        <w:t>Procede, en consecuencia, la desestimación de este recurso de amparo.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ESPAÑOLA,</w:t>
      </w:r>
    </w:p>
    <w:p w:rsidR="006854DA" w:rsidRDefault="006854DA" w:rsidP="006854DA">
      <w:pPr>
        <w:pStyle w:val="TextoNormal"/>
      </w:pPr>
    </w:p>
    <w:p w:rsidR="006854DA" w:rsidRDefault="006854DA" w:rsidP="006854DA">
      <w:pPr>
        <w:pStyle w:val="TextoNormalCentrado"/>
        <w:keepNext/>
      </w:pPr>
      <w:r>
        <w:lastRenderedPageBreak/>
        <w:t>Ha decidido</w:t>
      </w:r>
    </w:p>
    <w:p w:rsidR="006854DA" w:rsidRDefault="006854DA" w:rsidP="006854DA">
      <w:pPr>
        <w:pStyle w:val="TextoNormalCentrado"/>
        <w:keepNext/>
      </w:pPr>
    </w:p>
    <w:p w:rsidR="006854DA" w:rsidRDefault="006854DA" w:rsidP="006854DA">
      <w:pPr>
        <w:pStyle w:val="TextoNormal"/>
      </w:pPr>
      <w:r>
        <w:t>Denegar el amparo solicitado por don Juan Redondo Fernández.</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catorce de julio de mil novecientos noventa y siete.</w:t>
      </w:r>
    </w:p>
    <w:p w:rsidR="006854DA" w:rsidRDefault="006854DA" w:rsidP="006854DA">
      <w:pPr>
        <w:pStyle w:val="ParrafoNormal"/>
      </w:pPr>
    </w:p>
    <w:p w:rsidR="006854DA" w:rsidRDefault="006854DA" w:rsidP="006854DA">
      <w:pPr>
        <w:pStyle w:val="TextoNormalNegritaCentrado"/>
        <w:keepNext/>
      </w:pPr>
      <w:r>
        <w:t>Voto particular que formulan los magistrados don Julio D.  González Campos, don Carles Viver Pi-Sunyer y don Tomás S. Vives Antón a la sentencia dictada en el recurso de amparo núm.  2.710/93.</w:t>
      </w:r>
    </w:p>
    <w:p w:rsidR="006854DA" w:rsidRDefault="006854DA" w:rsidP="006854DA">
      <w:pPr>
        <w:pStyle w:val="TextoNormalNegritaCentrado"/>
        <w:keepNext/>
      </w:pPr>
    </w:p>
    <w:p w:rsidR="006854DA" w:rsidRDefault="006854DA" w:rsidP="006854DA">
      <w:pPr>
        <w:pStyle w:val="TextoNormal"/>
      </w:pPr>
      <w:r>
        <w:t>Nuestra discrepancia con la Sentencia se refiere a la falta de precisión en la delimitación del objeto del proceso y a la insuficiente fundamentación de la ratio decidendi.</w:t>
      </w:r>
    </w:p>
    <w:p w:rsidR="006854DA" w:rsidRDefault="006854DA" w:rsidP="006854DA">
      <w:pPr>
        <w:pStyle w:val="TextoNormal"/>
      </w:pPr>
      <w:r>
        <w:t>La Sentencia comienza afirmando, en su fundamento jurídico 1º, que estamos ante "un recurso interpuesto por la vía del art. 43 de la LOTC, cuyo contenido objetivo viene determinado por los Acuerdos de la Administración Penitenciaria" y, más concretamente, en el fundamento jurídico 2º d), establece que son las resoluciones relativas a la segunda estancia del interno en el Centro de El Dueso, en 1993, las únicas que deben ser objeto del presente proceso constitucional de amparo. Sin embargo, en el último párrafo del fundamento jurídico 5º, después de afirmar que las resoluciones del Juez de Vigilancia Penitenciaria y de la Audiencia Provincial impugnadas tienen plenitud de competencia revisora y emiten su propia decisión sobre el mantenimiento o no de la intervención de las comunicaciones, añade que el control del Tribunal Constitucional habrá de limitarse a dichas resoluciones judiciales revisoras del acto de intervención para "contrastar formalmente la fundamentación que las mismas ofrecen para confirmar o revocar la medida". Con todo, en el fundamento jurídico 6º, en un nuevo giro, después de afirmar que la Dirección del Centro Penitenciario de El Dueso en el período temporal al que se refiere el recurso, del 14 de febrero de 1993 a julio de este mismo año, mantuvo de intervención de las comunicaciones del preso sin ratificación de la medida, sin notificación al interno y sin comunicación al Juez de Vigilancia Penitenciaria, no se limita a enjuiciar la corrección constitucional de las posteriores resoluciones judiciales, sino que analiza también, en primer lugar, si la actuación de la Administración Penitenciaria de Sevilla en 1991 y 1992, y de El Dueso en ese mismo año de 1991, habían cumplido o no los requisitos de motivación y comunicación requeridos -llegando a una conclusión afirmativa-, y, finalmente, en los últimos párrafos del 7º, examina la actuación de la Dirección del Centro de El Dueso en 1993, concluyendo, en contradicción con lo dicho en el fundamento 5º, que efectivamente podían considerarse cumplidos los requisitos legalmente exigidos tanto en lo referente a la notificación al interno -ya que, se afirma, éste tuvo conocimiento de la medida puesto que interpuso un recurso contra la misma- como respecto de la comunicación al Juez de Vigilancia Penitenciaria -ya que, se dice, éste conoció dicha medida al conocer del mencionado recurso-.</w:t>
      </w:r>
    </w:p>
    <w:p w:rsidR="006854DA" w:rsidRDefault="006854DA" w:rsidP="006854DA">
      <w:pPr>
        <w:pStyle w:val="TextoNormal"/>
      </w:pPr>
      <w:r>
        <w:t xml:space="preserve">Este planteamiento, tanto si se analiza en su conjunto como si se examinan por separado sus distintos elementos, suscita, a nuestro juicio, múltiples interrogantes.  En primer lugar, no queda claro si el control de constitucionalidad llevado a cabo en la Sentencia se refiere a las resoluciones judiciales en cuanto adoptan por sustitución la medida del mantenimiento de la intervención o a las decisiones de la Administración Penitenciaria y, en este caso, si éstas se limitan a las de la Dirección del Centro de El Dueso en el segundo </w:t>
      </w:r>
      <w:r>
        <w:lastRenderedPageBreak/>
        <w:t>período en el que el interno estuvo en este Centro - 1993- o también se extiende a las de Sevilla de 1991 o de El Dueso de ese mismo año o de Sevilla en el año siguiente.</w:t>
      </w:r>
    </w:p>
    <w:p w:rsidR="006854DA" w:rsidRDefault="006854DA" w:rsidP="006854DA">
      <w:pPr>
        <w:pStyle w:val="TextoNormal"/>
      </w:pPr>
      <w:r>
        <w:t>Nuestras dudas adquieren todavía mayor relieve, desde la perspectiva constitucional, cuando se enjuician por separado los distintos argumentos vertidos en la Sentencia. Así, respecto de la tesis de que el los Jueces de Vigilancia Penitenciaria, en los casos en los que un interno denuncia la vulneración de su derecho fundamental a la libertad de comunicación por parte de la Administración Penitenciaria, pueden limitarse, en virtud de su "plenitud de competencia revisora", a emitir su propia decisión sobre el mantenimiento de la medida de intervención, sin llevar a cabo pronunciamiento alguno respecto de la denunciada actuación de dicha Administración y que, desde este momento, el control del Tribunal Constitucional se ciñe a lo establecido en la resolución judicial que sustituye a la actuación del Centro Penitenciario, plantea problemas de enorme envergadura constitucional, teórica y práctica; problemas que la Sentencia ha preferido ignorar. Por ejemplo, ¿cuál es el papel del Juez de Vigilancia Penitenciaria en los supuestos en los que un interno acude a él para que repare lo que considera que es una vulneración de sus derechos fundamentales?; ¿si el Juez observa que la vulneración se ha producido, puede limitarse a adoptar la decisión sustitutoria sin declarar dicha conculcación?; ¿puede el Tribunal Constitucional, en estos casos, ceñir su control a la resolución de los órganos judiciales que se han limitado a adoptar la resolución sustitutoria, haciendo caso omiso de la actuación de la Administración Penitenciaria?; a partir del planteamiento de la Sentencia de la que discrepamos ¿no se abre la posibilidad de que las vulneraciones de derechos por parte de la Administración no obtengan reparación alguna? A nuestro juicio la decisión del Juez de Vigilancia Penitenciaria puede justificar, a partir naturalmente del momento de su emisión, la limitación del derecho fundamental, pero no sana la vulneración previa de la Administración, si esta vulneración existe. Durante el lapso de tiempo que media entre la actuación de la Administración y la resolución judicial la conculcación del derecho se ha producido, y así debe declararse y repararse en la medida en que ello sea posible -en la jurisdicción ordinaria o en la constitucional-.  Si no se hace así se dejará impune una parte importante de la actividad de la Administración. En cualquier caso, esta es una cuestión que merecía mucha mayor atención de la que le dedica la Sentencia.</w:t>
      </w:r>
    </w:p>
    <w:p w:rsidR="006854DA" w:rsidRDefault="006854DA" w:rsidP="006854DA">
      <w:pPr>
        <w:pStyle w:val="TextoNormal"/>
      </w:pPr>
      <w:r>
        <w:t>Por otra parte, si el objeto directo de nuestro enjuiciamiento no son las resoluciones judiciales recurridas, o no son sólo éstas, sino también los actos de la Administración Penitenciaria, debe precisarse cuáles de estos actos pueden convertirse en objeto de control: los del momento en el que se produce en segundo ingreso en el Centro de El Dueso -1993- o todos los anteriores desde los de Sevilla de 1991. Esta precisión tiene un notable relieve desde el punto de vista constitucional puesto que su solución depende de si se considera constitucionalmente exigible que cada uno de los Centros Penitenciarios por los que pasen los internos que cumplen una condena debe ratificar y motivar la intervención de las comunicaciones y proceder a la comunicación de dicha ratificación al interno y a la autoridad judicial competente o, por el contrario, se estima que, dadas determinadas circunstancias, la decisión adoptada en un Centro puede considerarse válida aunque el interno cambie de Centro hasta que un Juez no la anule. Este Tribunal ya ha dado algunas pautas al respecto en la STC 170/1996 declarando, por ejemplo, la necesidad de que se estableciese una limitación temporal a la medida de intervención. Esta doctrina debería haberse traído al caso, para confirmarla, para precisarla en virtud de las circunstancias concretas o incluso para modularla o revisarla planteando la cuestión al Pleno. Es posible que existan argumentos para justificar la no necesidad de reiterar en cada Centro las ratificaciones y comunicaciones, pero, en cualquier caso, lo que para nosotros es seguro es que esta cues</w:t>
      </w:r>
      <w:r>
        <w:lastRenderedPageBreak/>
        <w:t>tión tiene relieve suficiente como para haberla enjuiciado en la Sentencia con detenimiento.</w:t>
      </w:r>
    </w:p>
    <w:p w:rsidR="006854DA" w:rsidRDefault="006854DA" w:rsidP="006854DA">
      <w:pPr>
        <w:pStyle w:val="TextoNormal"/>
      </w:pPr>
      <w:r>
        <w:t>Por último, si la actuación de la Dirección de El Dueso en 1993 se convierte en objeto de enjuiciamiento, creemos, en primer lugar, que existe una contradicción entre lo dicho en el fundamento jurídico 6º, en el que se reconoce que no hubo ratificación de la medida, ni comunicación al interno ni al Juez, y en el fundamento jurídico 7º, en el que se sostiene lo contrario.  En segundo lugar, a nuestro juicio, no resulta en absoluto convincente el argumento de que la comunicación al interno y al Juez deben considerarse producidas porque el primero demuestra que conocía la existencia de la intervención ya que recurrió la medida ante el Juez y éste también la conocía puesto que ante él se presentó el recurso. No es necesario un largo razonamiento para poner de manifiesto que conocer la adopción de la medida de intervención a posteriori por la vía de los hechos o por la presentación de un recurso, no puede en modo alguno equivaler a la efectiva realización de los actos concretos de comunicación a los que se refiere la Ley General Penitenciaria y el Reglamento Penitenciario.</w:t>
      </w:r>
    </w:p>
    <w:p w:rsidR="006854DA" w:rsidRDefault="006854DA" w:rsidP="006854DA">
      <w:pPr>
        <w:pStyle w:val="TextoNormal"/>
      </w:pPr>
      <w:r>
        <w:t>Madrid, a veintiuno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5" w:name="SENTENCIA_1997_129"/>
      <w:r>
        <w:lastRenderedPageBreak/>
        <w:t>SENTENCIA 129/1997, de 14 de julio de 1997</w:t>
      </w:r>
    </w:p>
    <w:bookmarkEnd w:id="45"/>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ECLI:ES:TC:1997:129</w:t>
      </w:r>
    </w:p>
    <w:p w:rsidR="006854DA" w:rsidRDefault="006854DA" w:rsidP="006854DA">
      <w:pPr>
        <w:pStyle w:val="SntesisDescriptiva"/>
      </w:pPr>
    </w:p>
    <w:p w:rsidR="006854DA" w:rsidRDefault="006854DA" w:rsidP="006854DA">
      <w:pPr>
        <w:pStyle w:val="SntesisDescriptiva"/>
      </w:pPr>
      <w:r>
        <w:t>Recurso de amparo 129/1994. Contra Sentencia de la Sala de lo Contencioso-Administrativo del T.S.J. de Cataluña que confirmó la resolución del Tribunal Económico Administrativo Regional de Cataluña, desestimatoria de reclamación económico- administrativa en la que se impugnó liquidación practicada por intereses de demora y sanciones practicada por la Inspención de Tributos del Estado en relación con el Impuesto Extraordinario sobre el Patrimonio de las Personas fisicas.</w:t>
      </w:r>
    </w:p>
    <w:p w:rsidR="006854DA" w:rsidRDefault="006854DA" w:rsidP="006854DA">
      <w:pPr>
        <w:pStyle w:val="SntesisDescriptiva"/>
      </w:pPr>
    </w:p>
    <w:p w:rsidR="006854DA" w:rsidRDefault="006854DA" w:rsidP="006854DA">
      <w:pPr>
        <w:pStyle w:val="SntesisAnaltica"/>
      </w:pPr>
      <w:r>
        <w:t>Supuesta vulneración del principio de legalidad tributaria: retroactividad "in bonus".</w:t>
      </w:r>
    </w:p>
    <w:p w:rsidR="006854DA" w:rsidRDefault="006854DA" w:rsidP="006854DA">
      <w:pPr>
        <w:pStyle w:val="SntesisAnaltica"/>
      </w:pPr>
    </w:p>
    <w:p w:rsidR="006854DA" w:rsidRDefault="006854DA" w:rsidP="006854DA">
      <w:pPr>
        <w:pStyle w:val="Extracto"/>
      </w:pPr>
      <w:r>
        <w:t>1.</w:t>
      </w:r>
      <w:r>
        <w:tab/>
        <w:t>Las pretensiones que en este recurso se ejercitan han sido contempladas y resueltas en la reciente Sentencia del Pleno de este Tribunal 38/1997, cuya doctrina debe aplicarse al caso presente para acordar, como allí se hizo, la desestimación de un recurso que tiene por objeto una idéntica actuación sancionadora aunque aquí se refiere al Impuesto sobre el Patrimonio, puesto que al mismo le son aplicables los mismos preceptos como expresamente resulta de los artículos aplicados, 15, 16 y 17 de la Ley 20/1989, de 28 de julio. Doctrina que funda su decisión en que por efecto de la STC 45/1989 no se produjo, como se pretendía, laguna legal alguna en el orden sancionador y por ello se concluía que la Ley 20/1989, en su aplicación a períodos anteriores a su entrada en vigor, no significó modificación de los tipos de infracción y sanciones aplicables y la aplicación de su art. 15.3 supuso una retroacción «in bonnus» que no vulnera los arts. 9 y 25 de la C.E. Doctrina aplicable tanto al I. R.P.F. al que allí se refería, como al Impuesto sobre el Patrimonio en relación con los actos determinantes del efecto sancionador de las liquidaciones practicadas por la Ley 20/1989 respecto de los ejercicios 1983, 1985 y 1986, a los que se refiere el recurso, anteriores todos a la STC 45/1989 [F. 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Mendizabal Allende, don Julio Diego González Campos, don Carles Viver Pi- 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lastRenderedPageBreak/>
        <w:t>SENTENCIA</w:t>
      </w:r>
    </w:p>
    <w:p w:rsidR="006854DA" w:rsidRDefault="006854DA" w:rsidP="006854DA">
      <w:pPr>
        <w:pStyle w:val="TextoNormalCentrado"/>
        <w:keepNext/>
      </w:pPr>
    </w:p>
    <w:p w:rsidR="006854DA" w:rsidRDefault="006854DA" w:rsidP="006854DA">
      <w:pPr>
        <w:pStyle w:val="TextoNormal"/>
      </w:pPr>
      <w:r>
        <w:t>En el recurso de amparo núm. 129/94, promovido por don José Alberto Ramos Román, representado por doña Paloma Ortiz-Cañavate Levenfeld y asistido por el Letrado don Francisco Soler del Moral contra la Sentencia de la Sección Cuarta de la Sala de lo Contencioso-Administrativo del Tribunal Superior de Justicia de Cataluña, de 14 de diciembre de 1993, que confirmó la resolución del Tribunal Económico Administrativo Regional de Cataluña, desestimatoria de la reclamación económico administrativa 1.149/90 en la que se impugnó la liquidación practicada por intereses de demora y sanciones practicada por la Inspección de Tributos del Estado en relación con el Impuesto Extraordinario sobre el Patrimonio de las Personas Físicas, ejercicios de 1983, 85 y 86. Han comparecido el Abogado del Estado, en la representación y defensa que le son propias, y el Ministerio Fiscal, siendo Ponente el Magistrado don José Gabaldón López,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0270E8">
        <w:rPr>
          <w:rStyle w:val="NumeroAFNegritaCaracter"/>
        </w:rPr>
        <w:t>Único.</w:t>
      </w:r>
      <w:r w:rsidRPr="006854DA">
        <w:rPr>
          <w:rStyle w:val="TextoNormalNegritaCaracter"/>
        </w:rPr>
        <w:t xml:space="preserve"> </w:t>
      </w:r>
      <w:r>
        <w:t xml:space="preserve">Por escrito registrado en este Tribunal el 15 de enero de 1994, doña Paloma Ortiz-Cañavate Levenfeld, Procuradora de los Tribunales y de don José Alberto Ramos Román, interpone recurso de amparo contra la Sentencia de 14 de diciembre de 1993, de la Sección Cuarta de la Sala de lo Contencioso- Administrativo del Tribunal Superior de Justicia de Cataluña, sobre liquidación del Impuesto Extraordinario sobre el Patrimonio de las Personas Físicas. </w:t>
      </w:r>
    </w:p>
    <w:p w:rsidR="006854DA" w:rsidRDefault="006854DA" w:rsidP="006854DA">
      <w:pPr>
        <w:pStyle w:val="TextoNormal"/>
      </w:pPr>
      <w:r>
        <w:t xml:space="preserve">La demanda se fundamenta, en síntesis, en los siguientes hechos: </w:t>
      </w:r>
    </w:p>
    <w:p w:rsidR="006854DA" w:rsidRDefault="006854DA" w:rsidP="006854DA">
      <w:pPr>
        <w:pStyle w:val="TextoNormal"/>
      </w:pPr>
      <w:r>
        <w:t xml:space="preserve">a) El ahora recurrente, casado, presentó las declaraciones por los Impuestos sobre la Renta y el Patrimonio de las Personas Físicas correspondientes a los períodos de 1983 a 1986 ambos inclusive. </w:t>
      </w:r>
    </w:p>
    <w:p w:rsidR="006854DA" w:rsidRDefault="006854DA" w:rsidP="006854DA">
      <w:pPr>
        <w:pStyle w:val="TextoNormal"/>
      </w:pPr>
      <w:r>
        <w:t xml:space="preserve">b) Una vez efectuadas las actividades de comprobación e investigación, iniciadas por Comunicación de 17 de junio de 1988, la Inspección de los Tributos levantó el 22 de diciembre de 1989 actas por el Impuesto sobre la Renta de las Personas Físicas correspondiente a los ejercicios de 1983 a 1986, ambos inclusive, y por el Impuesto Extraordinario sobre el Patrimonio relativo a los períodos de 1983, 1985 y 1986; en dichas actas se propuso la práctica de la correspondiente liquidación con inclusión de sanciones e intereses de demora por aplicación del art. 15.4 de la Ley 20/1989, de 28 de julio. Las liquidaciones fueron practicadas de acuerdo con la propuesta formulada en las actas. </w:t>
      </w:r>
    </w:p>
    <w:p w:rsidR="006854DA" w:rsidRDefault="006854DA" w:rsidP="006854DA">
      <w:pPr>
        <w:pStyle w:val="TextoNormal"/>
      </w:pPr>
      <w:r>
        <w:t xml:space="preserve">c) Interpuestas reclamaciones económico- administrativas, el Tribunal Económico-Administrativo Regional de Cataluña dictó dos resoluciones: a) una, de fecha 28 de febrero de 1991 por la que se desestimó la reclamación formulada contra las liquidaciones por el Impuesto Extraordinario sobre el Patrimonio de 1983, 1985 y 1986; y b) otra, de 18 de octubre de 1991, por la que se desestima la reclamación presentada contra las liquidaciones por el Impuesto sobre la Renta correspondiente a los ejercicios de 1983 a 1986, ambos inclusive. </w:t>
      </w:r>
    </w:p>
    <w:p w:rsidR="006854DA" w:rsidRDefault="006854DA" w:rsidP="006854DA">
      <w:pPr>
        <w:pStyle w:val="TextoNormal"/>
      </w:pPr>
      <w:r>
        <w:t xml:space="preserve">d) Contra las expresadas resoluciones se interpusieron sendos recursos contencioso-administrativos. El dirigido contra la resolución del T.E.A.R. de 28 de febrero de 1991, relativa al Impuesto sobre el Patrimonio, fue desestimado por Sentencia de la Sección Cuarta de la Sala de lo Contencioso- Administrativo del Tribunal Superior de Justicia de Cataluña, de 14 de diciembre de 1993. </w:t>
      </w:r>
    </w:p>
    <w:p w:rsidR="006854DA" w:rsidRDefault="006854DA" w:rsidP="006854DA">
      <w:pPr>
        <w:pStyle w:val="TextoNormal"/>
      </w:pPr>
      <w:r>
        <w:lastRenderedPageBreak/>
        <w:t xml:space="preserve">3. El recurrente considera vulnerados los arts. 9, 14 y 25 de la Constitución. </w:t>
      </w:r>
    </w:p>
    <w:p w:rsidR="006854DA" w:rsidRDefault="006854DA" w:rsidP="006854DA">
      <w:pPr>
        <w:pStyle w:val="TextoNormal"/>
      </w:pPr>
      <w:r>
        <w:t xml:space="preserve">Entiende que con arreglo a lo dispuesto en la STC 45/1989, la imposición de sanciones por hechos acaecidos con anterioridad a la publicación de la Ley 20/1989 infringe el principio de irretroactividad de las sanciones y vulnera los arts. 9.3 y 25 C.E., pues la cuota correspondiente a esos impuestos no podía liquidarse sino a partir de la publicación de la Ley 20/1989. </w:t>
      </w:r>
    </w:p>
    <w:p w:rsidR="006854DA" w:rsidRDefault="006854DA" w:rsidP="006854DA">
      <w:pPr>
        <w:pStyle w:val="TextoNormal"/>
      </w:pPr>
      <w:r>
        <w:t xml:space="preserve">También alega que la liquidación de los intereses de demora infringe los arts. 9 y 25 C.E. que garantizan el principio de legalidad, la jerarquía normativa y la irretroactividad de las disposiciones sancionadoras porque los intereses de demora tienen naturaleza de indemnización y no puede exigirse una indemnización cuando las causas de demora no son imputables al deudor, sino al acreedor. </w:t>
      </w:r>
    </w:p>
    <w:p w:rsidR="006854DA" w:rsidRDefault="006854DA" w:rsidP="006854DA">
      <w:pPr>
        <w:pStyle w:val="TextoNormal"/>
      </w:pPr>
      <w:r>
        <w:t xml:space="preserve">Por último, manifiesta, el art. 14 ha sido infringido porque en un caso idéntico al presente la Generalidad de Cataluña, Administración a la que está cedido el Impuesto sobre el Patrimonio, estimó un recurso anulando las sanciones y los intereses de demora. </w:t>
      </w:r>
    </w:p>
    <w:p w:rsidR="006854DA" w:rsidRDefault="006854DA" w:rsidP="006854DA">
      <w:pPr>
        <w:pStyle w:val="TextoNormal"/>
      </w:pPr>
      <w:r>
        <w:t xml:space="preserve">4. La Sección Cuarta, por providencia de 16 de enero de 1995, visto que la demanda de amparo contenía doble pretensión pues impugnaba dos Sentencias, de fechas 14 y 23 de diciembre de 1993, dictadas por la Sala de lo Contencioso Administrativo del Tribunal Superior de Justicia de Cataluña, en dos procesos judiciales diferentes, acordó tener formulada la demanda de amparo contra la Sentencia de 14 de diciembre, concediendo al recurrente un plazo de diez días para que presentase recurso de amparo respecto de la otra. </w:t>
      </w:r>
    </w:p>
    <w:p w:rsidR="006854DA" w:rsidRDefault="006854DA" w:rsidP="006854DA">
      <w:pPr>
        <w:pStyle w:val="TextoNormal"/>
      </w:pPr>
      <w:r>
        <w:t xml:space="preserve">5. Por escrito presentado en los Juzgados de Guardia de Madrid el 7 de febrero de 1995, desistió el recurrente de interponer recurso contra la segunda Sentencia. </w:t>
      </w:r>
    </w:p>
    <w:p w:rsidR="006854DA" w:rsidRDefault="006854DA" w:rsidP="006854DA">
      <w:pPr>
        <w:pStyle w:val="TextoNormal"/>
      </w:pPr>
      <w:r>
        <w:t xml:space="preserve">6. La Sección Cuarta, por providencia de 27 de febrero de 1995, acordó admitir a trámite la demanda de amparo y dirigir comunicación al Tribunal Económico Administrativo Regional de Cataluña, a fin de que, en plazo que no excediera de diez días, remitiera certificación o fotocopia adverada de las actuaciones correspondientes a la Reclamación económico- administrativa núm. 1.149/90, en la que se dictó resolución en fecha 28 de febrero de 1991, así como a la Sección Cuarta de la Sala de lo Contencioso-Administrativo del Tribunal Superior de Justicia de Cataluña a fin de que, en plazo que no excediera de diez días, remitiera certificación o fotocopia adverada de las actuaciones correspondientes al recurso contencioso administrativo núm. 764/91, así como emplazar previamente para que en el plazo de diez días pudieran comparecer, si lo deseaban, en el recurso de amparo y defender sus derechos, a quienes hubieran sido parte en el procedimiento, excepto la parte recurrente en amparo, haciendo constar en dicho emplazamiento la exclusión de quienes quisieran coadyuvar con la parte recurrente o formular cualquier impugnación y les hubiera ya transcurrido el plazo que la Ley Orgánica de este Tribunal establece para recurrir. </w:t>
      </w:r>
    </w:p>
    <w:p w:rsidR="006854DA" w:rsidRDefault="006854DA" w:rsidP="006854DA">
      <w:pPr>
        <w:pStyle w:val="TextoNormal"/>
      </w:pPr>
      <w:r>
        <w:t xml:space="preserve">7. La Sección Tercera, por providencia de 8 de mayo de 1995, acordó dar vista de las actuaciones remitidas por la Sala de lo Contencioso Administrativo del Tribunal Superior de Justicia y Tribunal Económico Administrativo Regional de Cataluña a la parte recurrente, Abogado del Estado y al Ministerio Fiscal por plazo común de veinte días, dentro de los cuales podrían presentar las alegaciones que estimaran pertinentes, conforme determina el art. 52.1 de la Ley Orgánica de este Tribunal. </w:t>
      </w:r>
    </w:p>
    <w:p w:rsidR="006854DA" w:rsidRDefault="006854DA" w:rsidP="006854DA">
      <w:pPr>
        <w:pStyle w:val="TextoNormal"/>
      </w:pPr>
      <w:r>
        <w:t>8. Por escrito registrado en los Juzgados de Guardia de Madrid el 1 de junio de 1995 y en el día siguiente en este Tribunal, la parte recurrente manifiesta que aunque el Tribunal Constitucional no entró en el fondo del asunto respecto del art. 15.3 de la Ley 20/1989, no se le deben imponer sanciones ni intereses de demora pues habiendo un expediente iniciado en el año 1988, y que estaba en tramitación el 2 de marzo de 1989, es aplicable el art. 16 de esa Ley y no el art. 15. Manifiesta que si bien estamos ante una cuestión de legali</w:t>
      </w:r>
      <w:r>
        <w:lastRenderedPageBreak/>
        <w:t xml:space="preserve">dad ordinaria, pues no otra cosa es determinar la aplicación de uno u otro artículo, sí es una cuestión constitucional si de la aplicación se deriva la vulneración de los arts. 14 y 25 C.E. </w:t>
      </w:r>
    </w:p>
    <w:p w:rsidR="006854DA" w:rsidRDefault="006854DA" w:rsidP="006854DA">
      <w:pPr>
        <w:pStyle w:val="TextoNormal"/>
      </w:pPr>
      <w:r>
        <w:t xml:space="preserve">Respecto del art. 14 entiende que se ha producido una discriminación pues la Ley 20/1989 permite en el art. 20.2 "que todos los sujetos pasivos puedan proceder en un plazo de dos meses a partir de la entrada en vigor de la misma, a presentar autoliquidaciones e ingresos por el Impuesto de la Renta sobre las Personas Físicas y por el Impuesto Extraordinario sobre el Patrimonio, sin imposición de sanciones ni intereses, mientras que otros por haber tenido la mala suerte de ser objeto de inspección en esos momentos, no les es aplicable dicho artículo, y por ello la Inspección cuando liquida, lo hace con intereses y sanciones, y ello es contrario al art. 14 de la C.E.". También manifiesta como la Generalidad de Cataluña, a la que está cedido el Impuesto sobre el Patrimonio, "en un caso idéntico al presente, condona las sanciones y los intereses de demora, y en el presente caso, no son condonadas..., lo que también vulnera el art. 14 de la C.E.". Continúa diciendo que "nos encontramos con la Ley 18/1991 de 6 de junio, en la que una vez más se prevé, en su Disposición adicional decimocuarta la posibilidad de que, hasta el 31 de diciembre de 1991, los sujetos pasivos puedan presentar declaraciones complementarias e ingresos por cualquier concepto tributario devengado con anterioridad al 1 de enero de 1990, con exclusión de las sanciones e intereses de demora que pudieran ser exigibles para los sujetos pasivos que no se encuentren en situación de haber mediado requerimiento o actuación administrativa o judicial en relación con las deudas tributarias de los sujetos pasivos. Disposición ésta última que también discrimina a unos sujetos pasivos de otros". </w:t>
      </w:r>
    </w:p>
    <w:p w:rsidR="006854DA" w:rsidRDefault="006854DA" w:rsidP="006854DA">
      <w:pPr>
        <w:pStyle w:val="TextoNormal"/>
      </w:pPr>
      <w:r>
        <w:t xml:space="preserve">En cuanto al art. 25 C.E. alega que "hemos de tener en cuenta, que después de la publicación de la Sentencia del T.C. de fecha 20 de febrero de 1989, y de la publicación en el BOE de la Ley 20/1989, de 29 de julio, el momento para liquidar el Impuesto Extraordinario sobre el Patrimonio de las Personas Físicas y el Impuesto sobre la Renta de las Personas Físicas correspondientes a ejercicios anteriores a dicha Ley 20/1989, era el plazo de dos meses establecido en la misma, que vencía el 30 de septiembre de 1989". Continúa diciendo que como matrimonio "solicitaron poder presentar autoliquidación por los correspondientes impuestos, acogiéndose a la nueva Ley, y que dicha solicitud no fue atendida por la Inspección de los Tributos". Por lo anterior entiende que "se están aplicando unas sanciones con efecto retroactivo, puesto que se están sancionando unas declaraciones sobre el Impuesto Extraordinario del Patrimonio de las Personas Físicas presentadas en los años 1984, 1985, 1986 y 1987, correspondientes a los años anteriores, en base a una Ley que fue modificada tras la Sentencia del T.C., y tras la publicación de la Ley 20/1989, y que por lo tanto, la liquidación de los mencionados impuestos no podía ser hecha efectiva, sino a partir del plazo de dos meses establecido en el art. 20.2 de la Ley 20/1989. Ello quiere decir, que se están aplicando sanciones con efectos retroactivos, terminantemente prohibido por el art. 25 de la C.E.". </w:t>
      </w:r>
    </w:p>
    <w:p w:rsidR="006854DA" w:rsidRDefault="006854DA" w:rsidP="006854DA">
      <w:pPr>
        <w:pStyle w:val="TextoNormal"/>
      </w:pPr>
      <w:r>
        <w:t xml:space="preserve">8. El Abogado del Estado por escrito que tuvo entrada en este Tribunal el 29 de mayo de 1995, interesa que se deniegue el amparo. </w:t>
      </w:r>
    </w:p>
    <w:p w:rsidR="006854DA" w:rsidRDefault="006854DA" w:rsidP="006854DA">
      <w:pPr>
        <w:pStyle w:val="TextoNormal"/>
      </w:pPr>
      <w:r>
        <w:t xml:space="preserve">Manifiesta que no puede tomarse en consideración la supuesta infracción del art. 14 C.E., pues "el término de comparación invocado es una resolución no judicial sino administrativa, que ni siquiera se identifica en la demanda de amparo... faltan, pues, los presupuestos precisos para el juicio constitucional de igualdad en la aplicación de las normas: identidad de órgano e igualdad de supuestos". </w:t>
      </w:r>
    </w:p>
    <w:p w:rsidR="006854DA" w:rsidRDefault="006854DA" w:rsidP="006854DA">
      <w:pPr>
        <w:pStyle w:val="TextoNormal"/>
      </w:pPr>
      <w:r>
        <w:lastRenderedPageBreak/>
        <w:t xml:space="preserve">También entiende que "ha de quedar excluido del presente recurso de amparo todo lo concerniente a los intereses de demora, ajenos por completo al ámbito protector del art. 25.1 C.E.". </w:t>
      </w:r>
    </w:p>
    <w:p w:rsidR="006854DA" w:rsidRDefault="006854DA" w:rsidP="006854DA">
      <w:pPr>
        <w:pStyle w:val="TextoNormal"/>
      </w:pPr>
      <w:r>
        <w:t xml:space="preserve">Continúa diciendo que "asimismo es irrelevante para el presente recurso constitucional, el problema planteado por el recurrente sobre la aplicación del art. 20.2 de la Ley 20/1989, de 28 de julio. La aplicabilidad o inaplicabilidad al caso del citado precepto es cuestión de mera legalidad, por más que sus consecuencias sea la exclusión de sanciones... el art. 20.2 de la Ley 20/1989 no era aplicable al recurrente. Este precepto legal concede un plazo de dos meses para formular e ingresar autoliquidaciones a consecuencia de comunicaciones relativas a elementos del hecho o de la base imponible efectuadas al amparo de la Instrucción 3ª de la Resolución de la Secretaría General de Hacienda de 28 de febrero de 1989. Y esta Instrucción 3ª se refería a quienes pudieran acogerse a lo dispuesto en el art. 61.2 de la Ley General Tributaria, es decir, a quienes pretendieran efectuar ingresos tardíos espontáneos (sin requerimiento previo). El recurrente había sido requerido en 1988 y tenía abiertas actuaciones inspectoras, tanto al dictarse la Resolución de la Secretaría General citada como al entrar en vigor la Ley 20/1989. Luego no se le aplicaba la Instrucción 3ª ni consiguientemente el art. 20.2 de la Ley 20/1989... El recurrente ni había intentado hacer la comunicación prevista en la Instrucción 3ª de la Resolución de la Secretaría General (que, por lo demás y como acabamos de ver, no era de aplicación a su caso), ni en el plazo de dos meses del art. 20.2 formuló e ingresó autoliquidación alguna relacionada con ninguna comunicación anteriormente hecha. La diligencia que aduce, de 20 de septiembre de 1989, no tiene absolutamente nada que ver con la repetida Instrucción de la Secretaría General de Hacienda ni con el art. 20.2 de la Ley 20/1989. En esta diligencia, acompañada a la demanda contencioso administrativa, el representante del recurrente manifiesta la opción por la tributación individual, y nada más". </w:t>
      </w:r>
    </w:p>
    <w:p w:rsidR="006854DA" w:rsidRDefault="006854DA" w:rsidP="006854DA">
      <w:pPr>
        <w:pStyle w:val="TextoNormal"/>
      </w:pPr>
      <w:r>
        <w:t xml:space="preserve">Asimismo, según el Abogado del Estado, la Ley 20/1989, de 28 de julio, adapta la Ley del I.R.P.F. y la del Impuesto sobre el Patrimonio a la doctrina constitucional contenida en la STC 45/1989 y "la aplicación retroactiva de la regulación contenida en la Ley 20/1989 supone, por tanto, un trato más favorable para la mayor parte de los casos de acumulación de rentas impuestas por el texto anterior de la Ley 44/1978; y desde luego así es en el presente caso". Respecto de los ejercicios anteriores a 1988 "lo que ha hecho el fundamento jurídico 11 de la STC 45/1989 ha sido establecer límites a la posible retroactividad de la más favorable regulación nacida de la Ley 20/1989", y en cuanto a quienes no cumplieron como debían en los ejercicios anteriores a 1988 son, según el Abogado del Estado, "los que comparativamente reciben el mejor trato. En el caso de estos contribuyentes incumplidores, la inexistencia de actos firmes, el no haber pagado o haber pagado menos de lo que debían, son conductas que resultan premiadas con la aplicación retroactiva de la Ley posterior más favorable... célebre recálculo del art. 15.4 de la Ley 20/1989: el descubrimiento posterior de rentas o elementos patrimoniales no declarados correspondientes a ejercicios anteriores a 1988 se liquida con estricta aplicación de la más favorable ley nueva, en vez de soportar la acumulación de rentas que sufrieron quienes en su momento declararon bien, y frente a los que se levanta la muralla del acto firme o la prohibición de pretender la restitución... Todas estas consideraciones llevan a considerar que no se ha infringido el art. 25.1 en la actuación administrativa, confirmada jurisdiccionalmente". </w:t>
      </w:r>
    </w:p>
    <w:p w:rsidR="006854DA" w:rsidRDefault="006854DA" w:rsidP="006854DA">
      <w:pPr>
        <w:pStyle w:val="TextoNormal"/>
      </w:pPr>
      <w:r>
        <w:t xml:space="preserve">En cuanto a las sanciones pecuniarias proporcionales impuestas al recurrente dice que "el tipo de la infracción y la conminación de la sanción preexistían a su comisión, tanto si se consideran los arts. 79.1 y 83.1 b de la L.G.T. en su redacción anterior a la Ley 10/1985, de 26 de abril, como los arts. 79.1, 80.1 y 87.1 de la L.G.T., en la redacción que </w:t>
      </w:r>
      <w:r>
        <w:lastRenderedPageBreak/>
        <w:t xml:space="preserve">les dio esa Ley, pues unos y otros son aplicables al caso según los ejercicios. La comisión se produjo en el momento en que firmó las declaraciones correspondientes a los ejercicios luego inspeccionados. Los preceptos legales indicados de la LGT satisfacen la doble garantía, formal y material, inmanente en el art. 25.1 C.E., y desde luego su constitucionalidad no ha sido puesta en tela de juicio por la parte contraria. La aplicación del art. 15.4 de la Ley 20/1989 ha tenido por única consecuencia descomponer en dos una sanción proporcional conjunta, con la consecuencia que la suma de las dos multas individuales es inferior a la que podìa haber sido sanción conjunta bajo el inconstitucional régimen de la acumulación de rentas. Y ello precisamente porque las cuotas tributarias en régimen de tributación individual, sobre las que se aplica el tipo proporcional para calcular la sanción, son inferiores, sumadas, a la cuota conjunta que correspondería... Así pues, hay retroactividad, sí, pero in melius o in bonam partem. Y, además, las nuevas sanciones individuales son consecuencia de una opción libre y voluntaria por la tributación individual". </w:t>
      </w:r>
    </w:p>
    <w:p w:rsidR="006854DA" w:rsidRDefault="006854DA" w:rsidP="006854DA">
      <w:pPr>
        <w:pStyle w:val="TextoNormal"/>
      </w:pPr>
      <w:r>
        <w:t xml:space="preserve">9. Por escrito que tuvo entrada en este Tribunal el 1 de junio de 1995, el Ministerio Fiscal interesa se dicte Sentencia que desestime el presente recurso de amparo. </w:t>
      </w:r>
    </w:p>
    <w:p w:rsidR="006854DA" w:rsidRDefault="006854DA" w:rsidP="006854DA">
      <w:pPr>
        <w:pStyle w:val="TextoNormal"/>
      </w:pPr>
      <w:r>
        <w:t xml:space="preserve">Manifiesta que "las normas auténticamente sancionadoras son las integradas en los arts. 77 y siguientes de la L.G.T., tanto en su redacción original para el período 1983 como en la redacción dada en la Ley 10/1985 para los períodos 1985 y 1986; en consecuencia, dichas normas estaban vigentes en el momento de cometerse los hechos y, por tanto, no se han aplicado retroactivamente... En efecto, los acuerdos sancionadores modifican como infracción tributaria grave, conforme al art. 79 de la L.G.T., que establece: "constituyen infracción grave las siguientes conductas: a) Dejar de ingresar, dentro de los plazos reglamentariamente señalados, la totalidad o parte de la deuda tributaria... ". Pues bien: dicho precepto debe ser puesto en relación, como destaca la Sentencia recurrida, con la normativa específica del Impuesto Extraordinario sobre el Patrimonio. De modo que las infracciones sancionadas supuestamente en forma retroactiva, se cometieron realmente en las fechas de presentación de las declaraciones-autoliquidaciones e ingresos simultáneos, es decir, en los meses de mayo-junio de los años inmediatamente siguientes a los de los períodos a los que se referían y, por tanto, con anterioridad a la STC 45/1989... La normativa surgida como consecuencia de dicha Sentencia aborda, entre otras, las cuestiones relativas al régimen transitorio de los períodos impositivos anteriores a 1988, normas que, de una parte, sancionan la intangibilidad de las autoliquidaciones no recurridas antes de dicha Sentencia y de las liquidaciones administrativas que hubieran ganado firmeza, y, de otra, van encaminadas a poder establecer la deuda tributaria, con los correspondientes recargos y, en su caso, sanciones, respecto de aquellas en que no concurrieran dichas circunstancias, incluso con efectos en principio beneficiosos para quienes incumplieron sus obligaciones tributarias, pues pudieron optar por el régimen de tributación conjunta o separada, lo que no pudieron hacer quienes cumplieron con dichas obligaciones, de acuerdo con la Ley 20/1989, de 28 de julio: en consecuencia, no establecen en sí mismas normas sancionadoras aplicables a hechos anteriores a su vigencia, y, por tanto, no vulneran el principio de legalidad sancionadora y de irretroactividad de las normas de este carácter, aparte de que los intereses de demora no constituyen sanción". </w:t>
      </w:r>
    </w:p>
    <w:p w:rsidR="006854DA" w:rsidRDefault="006854DA" w:rsidP="006854DA">
      <w:pPr>
        <w:pStyle w:val="TextoNormal"/>
      </w:pPr>
      <w:r>
        <w:t xml:space="preserve">En cuanto al principio de igualdad considera el Fiscal que las alegaciones del recurrente carecen de contenido constitucional "porque los actos administrativos no sancionados judicialmente, no son términos de comparación adecuados" y porque "incluso si se atiende a la Sentencia del T.S.J. de Cataluña de 8 de noviembre de 1991, lo cierto es que la Sentencia recurrida da una explicación suficientemente extensa, razonada y fundada en Derecho, como para no entenderse infringido el art. 14 C.E.". </w:t>
      </w:r>
    </w:p>
    <w:p w:rsidR="006854DA" w:rsidRDefault="006854DA" w:rsidP="006854DA">
      <w:pPr>
        <w:pStyle w:val="TextoNormal"/>
      </w:pPr>
      <w:r>
        <w:lastRenderedPageBreak/>
        <w:t xml:space="preserve">10. La Sección Tercera, por providencia de 24 de octubre de 1996, acordó tener por personada y parte en el procedimiento a la Procuradora doña Paloma Ortiz-Cañavate Levenfeld, en representación del recurrente de amparo, y en sustitución de Procurador don Jose Luis Ortiz-Cañavate y Puig- Mauri, acordándose entender con ella las sucesivas actuaciones. </w:t>
      </w:r>
    </w:p>
    <w:p w:rsidR="006854DA" w:rsidRDefault="006854DA" w:rsidP="006854DA">
      <w:pPr>
        <w:pStyle w:val="TextoNormal"/>
      </w:pPr>
      <w:r>
        <w:t>11. Por providencia de fecha 10 de julio de 1997, se fijó para deliberación y votación de la presente Sentencia el día 14 del mismo mes.</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Las pretensiones de este recurso de amparo traen causa de las declaraciones presentadas por el Impuesto sobre el Patrimonio de las Personas Físicas correspondientes a varios años que fueron objeto de actividades de comprobación e investigación iniciadas por comunicación de 17 de junio de 1988.  La Inspección de los Tributos levantó el 22 de diciembre de 1989 actas por el Impuesto Extraordinario sobre el Patrimonio relativo a los períodos de 1983, 1985 y 1986; en dichas actas se propuso la práctica de la correspondiente liquidación con inclusión de sanciones e intereses de demora por aplicación del art. 15.4 de la Ley 20/1989, de 28 de julio.  Las liquidaciones fueron practicadas de acuerdo con la propuesta formulada en las actas.  Interpuestas reclamaciones económico-administrativas, el Tribunal Económico-Administrativo Regional de Cataluña en resolución de fecha 28 de febrero de 1991 desestimó la reclamación formulada contra dichas liquidaciones. Interpuesto por el demandante de amparo recurso contencioso administrativo contra esa resolución del T.E.A.R., fue desestimado por Sentencia de la Sección Cuarta de la Sala de lo Contencioso- Administrativo del Tribunal Superior de Justicia de Cataluña, de 14 de diciembre de 1993 que es la aquí impugnada.</w:t>
      </w:r>
    </w:p>
    <w:p w:rsidR="006854DA" w:rsidRDefault="006854DA" w:rsidP="006854DA">
      <w:pPr>
        <w:pStyle w:val="TextoNormal"/>
      </w:pPr>
    </w:p>
    <w:p w:rsidR="006854DA" w:rsidRDefault="006854DA" w:rsidP="006854DA">
      <w:pPr>
        <w:pStyle w:val="TextoNormal"/>
      </w:pPr>
      <w:r w:rsidRPr="006854DA">
        <w:rPr>
          <w:rStyle w:val="NumeroAFNegritaCaracter"/>
        </w:rPr>
        <w:t>2</w:t>
      </w:r>
      <w:r>
        <w:t>. En primer lugar, deben desestimarse tanto la pretendida vulneración del art. 9 C.E., porque dicho precepto no está entre aquéllos cuyos derechos se tutelan a través del recurso de amparo, como la alegada vulneración del art.  14 C.E., pues no se ha aportado el necesario término de comparación, limitándose el recurrente a citar una Sentencia del Tribunal Superior de Justicia de Cataluña de 8 de noviembre de 1990 y a decir que en un caso idéntico la Generalidad de Cataluña estimó el recurso y además los argumentos empleados no contienen el más mínimo fundamento ya que ni "la mala suerte de ser objeto de inspección" ni la singular interpretación que da el recurrente a la Disposición adicional décimocuarta de la Ley 18/1991 son atendibles.  También ha de rechazarse la alegación formulada en relación con los intereses de demora, toda vez que, como es sabido -y así lo declaramos en la STC 76/1990, fundamento jurídico 9º-, carecen de naturaleza sancionadora por lo cual su inclusión en las liquidaciones impugnadas no vulnera el invocado art.  25 C.E.</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Las demás pretensiones que en este recurso se ejercitan han sido contempladas y resueltas en la reciente Sentencia del Pleno de este Tribunal 38/1997, cuya doctrina debe aplicarse al caso presente para acordar, como allí se hizo, la desestimación de un recurso que tiene por objeto una idéntica actuación sancionadora aunque aquí se refiere al Impuesto sobre el Patrimonio, puesto que al mismo le son aplicables los mismos preceptos como expresamente resulta de los artículos aplicados, 15, 16 y 17 de la Ley 20/1989, de 28 de julio. Doctrina que funda su decisión en que por efecto de la STC 45/1989 no se produjo, </w:t>
      </w:r>
      <w:r>
        <w:lastRenderedPageBreak/>
        <w:t>como se pretendía, laguna legal alguna en el orden sancionador y por ello se concluía que la Ley 20/1989, en su aplicación a períodos anteriores a su entrada en vigor, no significó modificación de los tipos de infraccion y sanciones aplicables y la aplicación de su art. 15.3 supuso una retroacción in bonnus que no vulnera los arts. 9 y 25 de la C.E.  Doctrina aplicable tanto al I.R.P.F. al que allí se refería, como al Impuesto sobre el Patrimonio en relación con los actos determinantes del efecto sancionador de las liquidaciones practicadas por la Ley 20/1989 respecto de los ejercicios 1983, 1985 y 1986, a los que se refiere el recurso, anteriores todos a la STC 45/1989.</w:t>
      </w:r>
    </w:p>
    <w:p w:rsidR="006854DA" w:rsidRDefault="006854DA" w:rsidP="006854DA">
      <w:pPr>
        <w:pStyle w:val="TextoNormal"/>
      </w:pPr>
      <w:r>
        <w:t>Procede, en consecuencia, desestimar el recurso.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presente recurso de amparo.</w:t>
      </w:r>
    </w:p>
    <w:p w:rsidR="006854DA" w:rsidRDefault="006854DA" w:rsidP="006854DA">
      <w:pPr>
        <w:pStyle w:val="TextoNormal"/>
      </w:pPr>
    </w:p>
    <w:p w:rsidR="006854DA" w:rsidRDefault="006854DA" w:rsidP="006854DA">
      <w:pPr>
        <w:pStyle w:val="TextoNormal"/>
      </w:pPr>
      <w:r>
        <w:t>Dada en Madrid, a catorce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6" w:name="SENTENCIA_1997_130"/>
      <w:r>
        <w:lastRenderedPageBreak/>
        <w:t>SENTENCIA 130/1997, de 15 de julio de 1997</w:t>
      </w:r>
    </w:p>
    <w:bookmarkEnd w:id="46"/>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ECLI:ES:TC:1997:130</w:t>
      </w:r>
    </w:p>
    <w:p w:rsidR="006854DA" w:rsidRDefault="006854DA" w:rsidP="006854DA">
      <w:pPr>
        <w:pStyle w:val="SntesisDescriptiva"/>
      </w:pPr>
    </w:p>
    <w:p w:rsidR="006854DA" w:rsidRDefault="006854DA" w:rsidP="006854DA">
      <w:pPr>
        <w:pStyle w:val="SntesisDescriptiva"/>
      </w:pPr>
      <w:r>
        <w:t>Recurso de amparo 2.970/1994. Contra Sentencia  de la Audiencia Procincial de Valencia por la que se revocó parcialmente en apelación la del Juzgado de lo Penal núm. 5 de esa misma ciudad.</w:t>
      </w:r>
    </w:p>
    <w:p w:rsidR="006854DA" w:rsidRDefault="006854DA" w:rsidP="006854DA">
      <w:pPr>
        <w:pStyle w:val="SntesisDescriptiva"/>
      </w:pPr>
    </w:p>
    <w:p w:rsidR="006854DA" w:rsidRDefault="006854DA" w:rsidP="006854DA">
      <w:pPr>
        <w:pStyle w:val="SntesisAnaltica"/>
      </w:pPr>
      <w:r>
        <w:t>Vulneración del principio de legalidad penal: aplicación extensiva del tipo definido en el art. 321.1 del Código Penal.</w:t>
      </w:r>
    </w:p>
    <w:p w:rsidR="006854DA" w:rsidRDefault="006854DA" w:rsidP="006854DA">
      <w:pPr>
        <w:pStyle w:val="SntesisAnaltica"/>
      </w:pPr>
    </w:p>
    <w:p w:rsidR="006854DA" w:rsidRDefault="006854DA" w:rsidP="006854DA">
      <w:pPr>
        <w:pStyle w:val="Extracto"/>
      </w:pPr>
      <w:r>
        <w:t>1.</w:t>
      </w:r>
      <w:r>
        <w:tab/>
        <w:t>El hecho de que para acceder al título de Gestor Administrativo se requiera estar previamente en posesión de un determinado título universitario no convierte a la titulación añadida en «académica» a los efectos de la aplicación del art. 321 del anterior Código Penal, sino que lo verdaderamente importante es, según declaramos en la STC 111/1993, que el título «en sí» de Gestor Administrativo «obviamente no es un título académico, puesto que ni su obtención requiere la realización de estudios superiores específicos, ni es la autoridad académica quien lo concede». El hecho cierto de que para su obtención sea preciso superar un Curso de posgrado impartido durante dos cuatrimestres por una Universidad no supone su conversión en titulación académica, toda vez que no es esa Universidad quien la expide, sino que, a tenor del art. 12 del Estatuto Orgánico del Cuerpo de Gestores Administrativos, ello corresponde al Ministro de la Presidencia del Gobierno, previos determinados trámites [F. J. 3].</w:t>
      </w:r>
    </w:p>
    <w:p w:rsidR="006854DA" w:rsidRDefault="006854DA" w:rsidP="006854DA">
      <w:pPr>
        <w:pStyle w:val="Extracto"/>
      </w:pPr>
    </w:p>
    <w:p w:rsidR="006854DA" w:rsidRDefault="006854DA" w:rsidP="006854DA">
      <w:pPr>
        <w:pStyle w:val="Extracto"/>
      </w:pPr>
      <w:r>
        <w:t>2.</w:t>
      </w:r>
      <w:r>
        <w:tab/>
        <w:t>Sentado lo anterior, resulta, ante todo, aplicable al caso de autos la doctrina sentada en la STC 111/1993, con el consiguiente otorgamiento del amparo, dada la ausencia de un interés público esencial merecedor de tan alto grado de protección como la otorgada a través del sistema penal de sanciones, lo que paladinamente se desprende de la propia definición que de los Gestores Administrativos ofrece el art. 1 de su Estatuto, a cuyo tenor: «Son profesionales que... se dedican, de modo habitual, y con tal carácter de profesionalidad y percepción de honorarios, a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 [F. 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lastRenderedPageBreak/>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2.970/94, interpuesto por el Procurador de los Tribunales don José Luis Pinto Maraboto en nombre y representación de don Rafael Vicente Montesinos Zamorano, doña María Luisa Giral Mangas y don Hipólito Granero Sánchez, con la asistencia letrada de don Manuel Luis de la Llave Costell, contra la Sentencia de la Sección Segunda de la Audiencia Provincial de Valencia, de 23 de julio de 1994, por la que se revocó parcialmente en apelación la Sentencia del Juzgado de lo Penal núm. 5 de esa misma ciudad, de 25 de enero de 1994. Ha comparecido el Colegio de Gestores Administrativos de Valencia representado por el Procurador don Santos de Gandarillas Carmona, bajo la dirección del Letrado don Carlos Verdú Sancho y ha intervenido el Ministerio Fiscal. Ha sido Ponente el Magistrado don Pedro Cruz Villalón,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en este Tribunal el 17 de agosto de 1994, el Procurador de los Tribunales don José Luis Pinto Maraboto, en nombre y representación de don Rafael Vicente Montesinos Zamorano, doña María Luisa Giral Mangas y don Hipólito Vicente Granero Sánchez, interpuso recurso de amparo contra la Sentencia de la Sección Segunda de la Audiencia Provincial de Valencia, de 23 de julio de 1994, por la que se revocaba parcialmente la Sentencia del Juzgado de lo Penal núm. 5 de esa misma ciudad de 25 de enero de 1994.</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se basa en los siguientes hechos: </w:t>
      </w:r>
    </w:p>
    <w:p w:rsidR="006854DA" w:rsidRDefault="006854DA" w:rsidP="006854DA">
      <w:pPr>
        <w:pStyle w:val="TextoNormal"/>
      </w:pPr>
      <w:r>
        <w:t xml:space="preserve">a) Los demandantes de amparo fueron condenados por Sentencia del Juzgado de lo Penal núm. 5 de Valencia, de fecha 25 de enero de 1994, como autores responsables de un delito de usurpación de funciones del art. 321 del anterior Código Penal, a la pena de seis meses y un día de prisión menor con sus correspondientes accesorias, por estimar el juzgador de instancia probado que habían realizado funciones propias de la profesión de gestores administrativos sin estar en posesión del correspondiente título profesional. </w:t>
      </w:r>
    </w:p>
    <w:p w:rsidR="006854DA" w:rsidRDefault="006854DA" w:rsidP="006854DA">
      <w:pPr>
        <w:pStyle w:val="TextoNormal"/>
      </w:pPr>
      <w:r>
        <w:t>b) Interpuesto recurso de apelación contra la anterior resolución, fue parcialmente estimado, aun cuando rechazó la alegación de infracción del art. 25.1 C.E. que imputaban los recurrentes a la Sentencia de primera instancia, en el sentido de modificar la sanción impuesta don Hipólito Vicente Granero Sánchez, y de sustituir la condena que se le impuso por un delito de intrusismo, por otra correspondiente a una falta del art 572 C.P., habida cuenta su condición de Licenciado en Derecho, confirmando, por otra parte, las sanciones impuestas a don Rafael Vicente Montesinos Zamorano y doña María Luisa Giral Mangas, al no constar, respecto de ellos, otra titulación que la de bachiller.</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w:t>
      </w:r>
      <w:r>
        <w:t xml:space="preserve">. Se aduce en la demanda que las Sentencias recurridas han vulnerado los derechos de los solicitantes de amparo a la tutela judicial efectiva sin indefensión y a la legalidad penal, respectivamente reconocidos en los arts. 24.1 y 25.1 C.E. </w:t>
      </w:r>
    </w:p>
    <w:p w:rsidR="006854DA" w:rsidRDefault="006854DA" w:rsidP="006854DA">
      <w:pPr>
        <w:pStyle w:val="TextoNormal"/>
      </w:pPr>
      <w:r>
        <w:t xml:space="preserve">La infracción del principio de legalidad penal, se estima producida por haber llevado a cabo en las resoluciones judiciales recurridas una interpretación extensiva in malam partem a la hora de integrar la norma penal en blanco contenida en el art. 321 del anterior Código Penal, realizando así una aplicación de dicha norma discordante de la doctrina sentada en la STC 111/1993, ya que no cabría calificar de título académico al que habilita para realizar actos propios de la profesión de gestor administrativo. </w:t>
      </w:r>
    </w:p>
    <w:p w:rsidR="006854DA" w:rsidRDefault="006854DA" w:rsidP="006854DA">
      <w:pPr>
        <w:pStyle w:val="TextoNormal"/>
      </w:pPr>
      <w:r>
        <w:t xml:space="preserve">En segundo lugar, imputan a las resoluciones impugnadas la lesión del derecho a la tutela judicial efectiva al haberse producido las condenas partiendo de una interpretación restrictiva de los derechos y facultades que los arts. 9 y 10 del Estatuto General de la Abogacía atribuyen al Abogado ejerciente, y de una interpretación amplia de las responsabilidades que el art. 15 bis del Código penal en ese momento vigente atribuía a los directivos u órganos de una persona jurídica. </w:t>
      </w:r>
    </w:p>
    <w:p w:rsidR="006854DA" w:rsidRDefault="006854DA" w:rsidP="006854DA">
      <w:pPr>
        <w:pStyle w:val="TextoNormal"/>
      </w:pPr>
      <w:r>
        <w:t>En consecuencia, se pide a este Tribunal que anule las Sentencias impugnadas en amparo y que, entretanto, acuerde suspender su ejecución.</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10 de enero de 1995, la Sección Primera acordó conceder a los demandantes de amparo y al Ministerio Fiscal un plazo de diez días, de conformidad con lo dispuesto en el art. 50.3 de la LOTC, para que dentro de dicho término alegaran cuanto estimasen pertinente en relación con la posible existencia del siguiente motivo de inadmisión: carecer la demanda manifiestamente de contenido que justificase una decisión por parte del Tribunal Constitucional.</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Los demandantes de amparo evacuaron este trámite por escrito de fecha 21 de enero de 1995 en el que, sustancialmente, reiteraban las alegaciones ya formuladas en la demanda de amparo, insistiéndose en la referencia a la STC 111/1993 como modelo a aplicar en el presente caso, dada la similar naturaleza de la titulación requerida para ejercer como gestor administrativo con la exigida para ejercer como agente de la propiedad inmobiliaria. </w:t>
      </w:r>
    </w:p>
    <w:p w:rsidR="006854DA" w:rsidRDefault="006854DA" w:rsidP="006854DA">
      <w:pPr>
        <w:pStyle w:val="TextoNormal"/>
      </w:pPr>
      <w:r>
        <w:t>El Fiscal ante el Tribunal Constitucional concluía, por su parte, en idéntico trámite, que de la conjunta lectura del art. 6 del Real Decreto 1.324/1979 -por el que se modificó el Estatuto Orgánico de los Gestores Administrativos- y de la STC 111/1993 se infiere que, por más que, para participar en las pruebas tendentes a la obtención del título de gestor administrativo, se exija estar en posesión de una titulación académica, lo cierto es que dicho título no tiene en sí mismo carácter académico ya que corresponde su expedición al Ministerio de la Presidencia del Gobierno, a propuesta de la Junta de Gobierno del Colegio. En consecuencia, a juicio del Ministerio Fiscal no podía decirse que la demanda de amparo careciese manifiestamente de contenido constitucional, por lo que proponía su admisión a trámite.</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Por providencia de 24 de julio de 1996, la Sección acordó admitir a trámite la presente demanda de amparo y, a tenor de lo dispuesto en el art. 51 de la LOTC, requerir atentamente a los órganos judiciales de instancia y de apelación para que, en el término de quince días, remitieran testimonio del conjunto de las actuaciones, interesándose al propio tiempo el emplazamiento de cuantos, a excepción de los solicitantes de amparo, habían </w:t>
      </w:r>
      <w:r>
        <w:lastRenderedPageBreak/>
        <w:t>sido parte en el proceso judicial antecedente a fin de que, en idéntico plazo, pudieran comparecer en el presente proceso constitucional. Por otra providencia de esa misma fecha, la Sección acordó formar la correspondiente pieza separada de suspensión, concediendo al Ministerio Fiscal y a los actores un plazo de tres días para que alegasen cuanto al respecto considerasen conveniente. La suspensión interesada fue acordada por Auto de la Sala Primera de 18 de agosto de 1995.</w:t>
      </w:r>
    </w:p>
    <w:p w:rsidR="006854DA" w:rsidRDefault="006854DA" w:rsidP="006854DA">
      <w:pPr>
        <w:pStyle w:val="TextoNormal"/>
      </w:pPr>
    </w:p>
    <w:p w:rsidR="006854DA" w:rsidRDefault="006854DA" w:rsidP="006854DA">
      <w:pPr>
        <w:pStyle w:val="TextoNormal"/>
      </w:pPr>
      <w:r w:rsidRPr="006854DA">
        <w:rPr>
          <w:rStyle w:val="NumeroAFNegritaCaracter"/>
        </w:rPr>
        <w:t>7</w:t>
      </w:r>
      <w:r>
        <w:t>. Mediante escrito de fecha 15 de septiembre de 1995, el Procurador de los Tribunales don Santos de Gandarillas Carmona solicitó ser tenido por parte en este proceso constitucional en nombre y representación del Ilmo. Colegio de Gestores Administrativos de Valencia. Petición que fue atendida por providencia de la Sección, de 2 de octubre de 1996, por la que, además, se tuvieron por recibidas las actuaciones solicitadas y se acordó dar vista de las mismas al Ministerio Fiscal y a las partes personadas para que, en el plazo de veinte días, formularan cuantas alegaciones estimasen convenientes.</w:t>
      </w:r>
    </w:p>
    <w:p w:rsidR="006854DA" w:rsidRDefault="006854DA" w:rsidP="006854DA">
      <w:pPr>
        <w:pStyle w:val="TextoNormal"/>
      </w:pPr>
    </w:p>
    <w:p w:rsidR="006854DA" w:rsidRDefault="006854DA" w:rsidP="006854DA">
      <w:pPr>
        <w:pStyle w:val="TextoNormal"/>
      </w:pPr>
      <w:r w:rsidRPr="006854DA">
        <w:rPr>
          <w:rStyle w:val="NumeroAFNegritaCaracter"/>
        </w:rPr>
        <w:t>8</w:t>
      </w:r>
      <w:r>
        <w:t>. Los demandantes de amparo presentaron sus alegaciones por escrito de fecha 26 de octubre de 1995, en el que sustancialmente reproducían, ampliándolas, las ya formuladas en la demanda de amparo y en el trámite abierto de conformidad con lo dispuesto en el art. 50.3 de la LOTC. En especial se detiene en el desarrollo de la vulneración del art. 25.1 C.E., partiendo de la reserva de ley que establece, que no es incompatible con las remisiones a otras normas, pero sin que ello pueda conducir a la criminalización por fuentes distintas de la ley (STC 89/1983), comprobando cómo por las resoluciones recurridas se ha operado una interpretación extensiva in malam partem del tipo en cuestión. Pone de manifiesto que cualquier ciudadano puede actuar por sí mismo ante la Administración o representar a otro, con lo que no existen unos conocimientos específicos, un arte, que sólo puedan adquirirse a través de la realización de unos estudios universitarios. Niega el carácter de título académico al que habilita para la colegiación, así como la existencia un bien jurídico que demande la protección penal.</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El Colegio Oficial de Gestores administrativos de Valencia formuló sus alegaciones por escrito presentado en el Juzgado de Guardia de Madrid el 27 de octubre de 1995 y registrado en este Tribunal el día 30 de ese mismo mes y año, en el que concluía que no cabía reprochar a las Sentencias recurridas vulneración alguna de los derechos consagrados en los arts. 24.1 y 25.1 C.E., por entender, en lo referente a este último, que la doctrina sentada en la STC 111/1993 únicamente afectaba a la profesión de Agente de la propiedad inmobiliaria y que, además, tampoco sería aplicable al caso de autos por cuanto el Estatuto Orgánico del Cuerpo de Gestores administrativos de 1 de marzo de 1963 -posteriormente modificado por Decretos de 24 de marzo de 1967, 9 de julio de 1970 y 23 de diciembre de 1972, así como por el Real Decreto 1.324/1979, de 4 de abril- establece en su art. 6 que, para adquirir tal condición, habrá de estarse en posesión de alguno de los títulos académicos que en dicho precepto se citan y superar unas pruebas de aptitud. En apoyo de esta línea de razonamiento, se hacía referencia a la Sentencia del T.S. de 4 de junio de 1993 en la que textualmente se dice que la condena a título del delito de intrusismo prevenido en el art. 321.1 del anterior Código Penal no se ve afectada por la STC 111/1993 "en razón a que el Gestor actúa, bajo un sistema de protección específico, como representante de una persona física o jurídica, con lo que su régimen de responsabilidad ofrece unas características muy específicas y determinadas, con exigencia de título universitario indispensable </w:t>
      </w:r>
      <w:r>
        <w:lastRenderedPageBreak/>
        <w:t xml:space="preserve">para llevar a cabo unas tareas en las que se ven o pueden verse afectados intereses importantes de las personas que les encomiendan las gestiones que en cada caso proceden, con muy graves consecuencias si las obligaciones que nacen de su condición de Gestor administrativo, con un especial status aprobado por la Administración, no se cumplen o se cumplen mal". </w:t>
      </w:r>
    </w:p>
    <w:p w:rsidR="006854DA" w:rsidRDefault="006854DA" w:rsidP="006854DA">
      <w:pPr>
        <w:pStyle w:val="TextoNormal"/>
      </w:pPr>
      <w:r>
        <w:t>Por lo que se refiere a la supuesta vulneración del derecho de los recurrentes a la tutela judicial efectiva sin indefensión, argumentaba la representación del Colegio Oficial de Gestores administrativos de Valencia que en modo alguno cabía fundamentar la lesión de tal derecho en la discrepancia de aquéllos respecto de la norma penal que les había sido aplicada, ni, con menor razón aún, en su pretensión de que el comportamiento delictivo de dos de ellos debiera haberse considerado absorbido al gozar el tercero de la condición de Abogado, ya que, según el art. 27.5 del R.D.2.090/1982, de 24 de julio (Estatuto de la Abogacía), existía una clara incompatibilidad de ejercicio entre ambas profesiones.</w:t>
      </w:r>
    </w:p>
    <w:p w:rsidR="006854DA" w:rsidRDefault="006854DA" w:rsidP="006854DA">
      <w:pPr>
        <w:pStyle w:val="TextoNormal"/>
      </w:pPr>
    </w:p>
    <w:p w:rsidR="006854DA" w:rsidRDefault="006854DA" w:rsidP="006854DA">
      <w:pPr>
        <w:pStyle w:val="TextoNormal"/>
      </w:pPr>
      <w:r w:rsidRPr="006854DA">
        <w:rPr>
          <w:rStyle w:val="NumeroAFNegritaCaracter"/>
        </w:rPr>
        <w:t>10</w:t>
      </w:r>
      <w:r>
        <w:t>. El Fiscal ante el Tribunal Constitucional presentó, por su parte, su escrito de alegaciones con fecha de 30 de octubre de 1995. En él, tras manifestar -frente a la tesis defendida de contrario en las resoluciones recurridas y en el escrito de alegaciones presentado por el Colegio Oficial de Gestores administrativos de Valencia- que la STC 111/1993 era plenamente aplicable al caso de autos, concluía interesando la concesión del amparo solicitado por don Rafael Vicente Montesinos Zamorano y doña María Luisa Giral Mangas por entender que, respecto de estos dos recurrentes, cabía atribuir a las Sentencias impugnadas una patente infracción del derecho a la legalidad penal por haber llevado a cabo una interpretación extensiva in malam partem del art. 321 del Código Penal entonces vigente, toda vez que, con total independencia de la exigencia de titulación universitaria del candidato a gestor administrativo, lo cierto es que esta última titulación no tiene el carácter académico que, según se declaraba en la STC 111/1993, inexorablemente requiere el tipo penal contemplado en el art. 321 1 del anterior Código penal, ya que su expedición corresponde al Ministro de la Presidencia del Gobierno a propuesta de la Junta de Gobierno del Colegio. En cambio, el Ministerio Fiscal se mostraba contrario a la concesión del amparo solicitado por don Hipólito Vicente Granero Sánchez por considerar que, a tenor de lo declarado por este Tribunal en la STC 74/1994, la falta antes prevista en el art. 572 del Código Penal hoy derogado se cometía siempre que se llevaran a cabo actos propios de una profesión sin que se hubiera dado cumplimiento a la exigencia reglamentaria de inscripción en el Colegio correspondiente, conducta en todo coincidente con la desarrollada por el recurrente mencionado en último lugar.</w:t>
      </w:r>
    </w:p>
    <w:p w:rsidR="006854DA" w:rsidRDefault="006854DA" w:rsidP="006854DA">
      <w:pPr>
        <w:pStyle w:val="TextoNormal"/>
      </w:pPr>
    </w:p>
    <w:p w:rsidR="006854DA" w:rsidRDefault="006854DA" w:rsidP="006854DA">
      <w:pPr>
        <w:pStyle w:val="TextoNormal"/>
      </w:pPr>
      <w:r w:rsidRPr="006854DA">
        <w:rPr>
          <w:rStyle w:val="NumeroAFNegritaCaracter"/>
        </w:rPr>
        <w:t>11</w:t>
      </w:r>
      <w:r>
        <w:t>. Por providencia de fecha 14 de julio de 1997, se señaló para la deliberación y votación de la presente Sentencia el día 15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Alegan los recurrentes que las Sentencias aquí impugnadas han vulnerado su derecho fundamental a la legalidad penal (art. 25.1 C.E.)  al haber realizado una interpretación extensiva in malam partem de la ley penal en el sentido de la doctrina contenida en la STC 111/1993. También alegan lesión de su derecho a la tutela judicial efectiva por interpretación restrictiva de los arts. 9 y 10 del Estatuto General de la Abogacía.</w:t>
      </w:r>
    </w:p>
    <w:p w:rsidR="006854DA" w:rsidRDefault="006854DA" w:rsidP="006854DA">
      <w:pPr>
        <w:pStyle w:val="TextoNormal"/>
      </w:pPr>
      <w:r>
        <w:lastRenderedPageBreak/>
        <w:t>El Colegio de Gestores Administrativos de Valencia se opone a la concesión del amparo al entender que no existe infracción del art. 25.1 CE, ya que la doctrina sentada en la STC 111/1993 únicamente afectaba a la profesión de Agente de la propiedad inmobiliaria y que, además, tampoco sería aplicable al caso de autos por cuanto el Estatuto orgánico del Cuerpo de Gestores administrativos establece que, para adquirir tal condición, habrá de estarse en posesión de alguno de los títulos académicos que en dicho precepto se citan y superar unas pruebas de aptitud. Respecto de la alegación del art.  24.1 C.E., entiende que se trata de una simple discrepancia con el criterio del órgano judicial.</w:t>
      </w:r>
    </w:p>
    <w:p w:rsidR="006854DA" w:rsidRDefault="006854DA" w:rsidP="006854DA">
      <w:pPr>
        <w:pStyle w:val="TextoNormal"/>
      </w:pPr>
      <w:r>
        <w:t>El Fiscal, por su parte, entiende infundada la vulneración denunciada del art.  24.1 C.E. y, respecto del art. 25.1 C.E. propone un tratamiento diferenciado a los distintos demandantes.  Distingue, en razón de la condena impuesta, entre, por una parte, don Rafael Vicente Montesinos Zamorano y doña María Luisa Giral Mangas, condenados por intrusismo, y, por otra, don Hipólito Vicente Granero Sánchez, condenado por la falta de colegiación, lo que lleva a entender que sólo los primeros sufrieron la lesión denunciada del derecho fundamental a la legalidad penal, interesando consecuentemente que sólo a ellos se les otorgue el amparo.</w:t>
      </w:r>
    </w:p>
    <w:p w:rsidR="006854DA" w:rsidRDefault="006854DA" w:rsidP="006854DA">
      <w:pPr>
        <w:pStyle w:val="TextoNormal"/>
      </w:pPr>
    </w:p>
    <w:p w:rsidR="006854DA" w:rsidRDefault="006854DA" w:rsidP="006854DA">
      <w:pPr>
        <w:pStyle w:val="TextoNormal"/>
      </w:pPr>
      <w:r w:rsidRPr="006854DA">
        <w:rPr>
          <w:rStyle w:val="NumeroAFNegritaCaracter"/>
        </w:rPr>
        <w:t>2</w:t>
      </w:r>
      <w:r>
        <w:t>. Para dar respuesta a las cuestiones que se plantean, hemos de determinar, en primer lugar, si las resoluciones impugnadas han vulnerado el art. 25.1 C.E., A estos efectos, hemos de salir al paso de la argumentación contenida en las Sentencias recurridas -y también en el escrito de alegaciones presentado por el Colegio Oficial de Gestores Administrativos de Valencia- en el sentido de que la doctrina sentada en la STC 111/1993 no sería aplicable al caso de autos dadas las profundas diferencias que cabe establecer entre la profesión de Agentes de la Propiedad Inmobiliaria, a la que aquélla se refería en concreto, y la de Gestores Administrativos. A cuyo efecto conviene efectuar algunas precisiones respecto de las principales características de la regulación de esta última actividad.</w:t>
      </w:r>
    </w:p>
    <w:p w:rsidR="006854DA" w:rsidRDefault="006854DA" w:rsidP="006854DA">
      <w:pPr>
        <w:pStyle w:val="TextoNormal"/>
      </w:pPr>
    </w:p>
    <w:p w:rsidR="006854DA" w:rsidRDefault="006854DA" w:rsidP="006854DA">
      <w:pPr>
        <w:pStyle w:val="TextoNormal"/>
      </w:pPr>
      <w:r w:rsidRPr="006854DA">
        <w:rPr>
          <w:rStyle w:val="NumeroAFNegritaCaracter"/>
        </w:rPr>
        <w:t>3</w:t>
      </w:r>
      <w:r>
        <w:t>. El Estatuto Orgánico del Cuerpo de Gestores Administrativos fue aprobado por Decreto de 1 de marzo de 1963, posteriormente modificado por Decretos de 9 de julio de 1970, 23 de diciembre de 1972 y 24 de marzo de 1977, así como por Real Decreto 1324/1979, de 4 de abril. En los apartados e), f) e i) del artículo 6 de dicho Estatuto se establece que, para adquirir la condición de Gestor Administrativo, será preciso reunir, entre otros, los siguientes requisitos: 1) estar en posesión del título de Licenciado en Derecho, en Ciencias Económicas, Ciencias Empresariales o Ciencias Políticas; 2) superar las pruebas de aptitud que se exijan; y 3) estar incorporado a un Colegio Oficial de Gestores Administrativos y haber satisfecho los gastos de incorporación a dicho Colegio y los de expedición del título profesional.</w:t>
      </w:r>
    </w:p>
    <w:p w:rsidR="006854DA" w:rsidRDefault="006854DA" w:rsidP="006854DA">
      <w:pPr>
        <w:pStyle w:val="TextoNormal"/>
      </w:pPr>
      <w:r>
        <w:t>Es precisamente en esa exigencia de titulación universitaria como requisito sine qua non para poder realizar las pruebas de aptitud correspondientes a la obtención del título de Gestor Administrativo, así como en la existencia de un Acuerdo entre el Consejo General de Gestores Administrativos y la Universidad de Alcalá de Henares al objeto de concretar las pruebas de aptitud conducentes a la obtención de dicho título en la superación de un Curso de postgrado impartido a lo largo de dos cuatrimestres por la Fundación para la Formación de Altos Profesionales integrada en esa Universidad, en donde se basan las Sentencias recurridas y el Colegio Oficial de Gestores Administrativos de Valencia para afirmar que la referida titulación tiene el carácter académico que en la STC 111/1993 se requería para poder considerar, sin quiebra del principio de legalidad penal, que la realización de los actos que le son propios por quien no posee el correspondiente título es consti</w:t>
      </w:r>
      <w:r>
        <w:lastRenderedPageBreak/>
        <w:t>tutiva del delito de intrusismo descrito en el art. 321 del Código Penal vigente en el momento de los hechos.  Pero, como ya advertíamos en la tantas veces citada STC 111/1993 (fundamento jurídico 10) y nos recuerda ahora el Ministerio Fiscal, el hecho de que para acceder al título de Gestor Administrativo se requiera estar previamente en posesión de un determinado título universitario no convierte a la titulación añadida en "académica" a los efectos de la aplicación del art. 321 del anterior Código Penal, sino que lo verdaderamente importante es, según allí declaramos, que el título "en sí" de Gestor Administrativo "obviamente no es un título académico, puesto que ni su obtención requiere la realización de estudios superiores específicos, ni es la autoridad académica quien lo concede".  El hecho cierto de que para su obtención sea preciso superar un Curso de postgrado impartido durante dos cuatrimestres por una Universidad no supone su conversión en titulación académica, toda vez que no es esa Universidad quien la expide, sino que, a tenor del art. 12 del Estatuto Orgánico del Cuerpo de Gestores Administrativos, ello corresponde al "Ministro de la Presidencia del Gobierno, a propuesta de la Junta de Gobierno del Colegio de la demarcación correspondiente, cursada por el Consejo General, a la que se acompañará certificación acreditativa de que el aspirante reúne todos los requisitos establecidos en el art. 6 con indicación del título académico que posee y expresión de la cuantía de la fianza constituída".</w:t>
      </w:r>
    </w:p>
    <w:p w:rsidR="006854DA" w:rsidRDefault="006854DA" w:rsidP="006854DA">
      <w:pPr>
        <w:pStyle w:val="TextoNormal"/>
      </w:pPr>
      <w:r>
        <w:t>Debe concluirse, en suma, que el título de Gestor Administrativo, por más que para su obtención establezca una serie de exigencias "académicas" concretadas en la necesidad de que los aspirantes al mismo tengan una determinada titulación universitaria y hayan superado unas pruebas de aptitud organizadas por una Universidad, no lo convierte en un título académico a los específicos efectos de aplicación del art. 321 del anterior Código Penal.</w:t>
      </w:r>
    </w:p>
    <w:p w:rsidR="006854DA" w:rsidRDefault="006854DA" w:rsidP="006854DA">
      <w:pPr>
        <w:pStyle w:val="TextoNormal"/>
      </w:pPr>
      <w:r>
        <w:t>Sentado lo anterior, resulta, ante todo, aplicable al caso de autos la doctrina sentada en la STC 111/1993, con el consiguiente otorgamiento del amparo, dada la ausencia de un interés público esencial merecedor de tan alto grado de protección como la otorgada a través del sistema penal de sanciones, lo que paladinamente se desprende de la propia definición que de los Gestores Administrativos ofrece el art. 1 de su Estatuto, a cuyo tenor: "son profesionales que... se dedican de modo habitual y con tal carácter de profesionalidad y percepción de honorarios, a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w:t>
      </w:r>
    </w:p>
    <w:p w:rsidR="006854DA" w:rsidRDefault="006854DA" w:rsidP="006854DA">
      <w:pPr>
        <w:pStyle w:val="TextoNormal"/>
      </w:pPr>
    </w:p>
    <w:p w:rsidR="006854DA" w:rsidRDefault="006854DA" w:rsidP="006854DA">
      <w:pPr>
        <w:pStyle w:val="TextoNormal"/>
      </w:pPr>
      <w:r w:rsidRPr="006854DA">
        <w:rPr>
          <w:rStyle w:val="NumeroAFNegritaCaracter"/>
        </w:rPr>
        <w:t>4</w:t>
      </w:r>
      <w:r>
        <w:t>. Entiende, sin embargo, el Ministerio Fiscal, a partir de la bifurcación de responsabilidades operada por la Sentencia de apelación que, si bien procede la completa anulación de las condenas de don Rafael Vicente Montesinos y de doña María Luisa Giral Mangas, no obstante, el amparo debe ser denegado por lo que hace a la condena de don Hipólito Vicente Granero Sánchez como autor de la falta de no colegiación comprendida en el art. 572 C.P. (T.R.  1973).</w:t>
      </w:r>
    </w:p>
    <w:p w:rsidR="006854DA" w:rsidRDefault="006854DA" w:rsidP="006854DA">
      <w:pPr>
        <w:pStyle w:val="TextoNormal"/>
      </w:pPr>
      <w:r>
        <w:t xml:space="preserve">La estructura de la Sentencia de la Audiencia Provincial de Valencia no permite dicha disociación. La sola lectura de sus fundamentos jurídicos evidencia cómo su razonamiento se encuentra centrado y tiene solamente sentido desde la premisa de la protección penal de la profesión de Gestor Administrativo, descartando la aplicación al caso de la doctrina contenida en la STC 111/1993. El quinto de los referidos fundamentos jurídicos, aquél en el que se justifica la condena por una falta del acusado que es licenciado en Derecho, no tiene otro sentido que el de atender a este último elemento, el relativo a las titulaciones de </w:t>
      </w:r>
      <w:r>
        <w:lastRenderedPageBreak/>
        <w:t>cada uno a fin de aplicar una sanción más benigna al acusado en cuestión, pero todo ello una vez que se ha comprobado que, prima facie, la conducta de todos ellos era subsumible en el tipo del art. 321 C.P. (T.R. de 1973) al no tener ninguno de ellos la referida condición de Gestor Administrativo. La aplicación de una sanción más benigna resultaba, en efecto, posible respecto del recurrente don Hipólito Vicente Granero, dada su condición de Licenciado en Derecho, pero no así respecto de los dos restantes.</w:t>
      </w:r>
    </w:p>
    <w:p w:rsidR="006854DA" w:rsidRDefault="006854DA" w:rsidP="006854DA">
      <w:pPr>
        <w:pStyle w:val="TextoNormal"/>
      </w:pPr>
      <w:r>
        <w:t>Aparece, de este modo, patente la vinculación existente entre la condena del Sr.  Granero y la conclusión alcanzada por la Sentencia de apelación respecto de la incidencia del art. 25.1 C.E.  en el ámbito de la protección penal de la profesión de Gestor Administrativo, con apoyo en el citado art. 321 C.P.  Es, pues, esa vinculación la que, en la estructura lógica de la indicada Sentencia, explica el alcance con la que la misma lleva a efecto la revocación parcial de la Sentencia condenatoria de primera instancia, lo que conduce por nuestra parte a que el reconocimiento del derecho fundamental a la legalidad penal deba hacerse a los tres demandantes de amparo, con la íntegra declaración de nulidad de las resoluciones impugnadas.</w:t>
      </w:r>
    </w:p>
    <w:p w:rsidR="006854DA" w:rsidRDefault="006854DA" w:rsidP="006854DA">
      <w:pPr>
        <w:pStyle w:val="TextoNormal"/>
      </w:pPr>
    </w:p>
    <w:p w:rsidR="006854DA" w:rsidRDefault="006854DA" w:rsidP="006854DA">
      <w:pPr>
        <w:pStyle w:val="TextoNormal"/>
      </w:pPr>
      <w:r w:rsidRPr="006854DA">
        <w:rPr>
          <w:rStyle w:val="NumeroAFNegritaCaracter"/>
        </w:rPr>
        <w:t>5</w:t>
      </w:r>
      <w:r>
        <w:t>. Por lo que hace, finalmente, a la alegación de vulneración del derecho fundamental a la tutela judicial efectiva (art. 24.1 C.E.)  la misma debe ser desestimada toda vez que lo que se nos plantea es una mera discrepancia con la interpretación que de los arts. 9 y 10 del Estatuto General de la Abogacía han realizado las resoluciones impugnadas, que carece de relevancia constitucional.</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el recurso de amparo interpuesto por don Rafael Vicente Montesinos Zamorano, doña María Luisa Giral Mangas y don Hipólito Vidente Granero Sánchez, y, en consecuencia:</w:t>
      </w:r>
    </w:p>
    <w:p w:rsidR="006854DA" w:rsidRDefault="006854DA" w:rsidP="006854DA">
      <w:pPr>
        <w:pStyle w:val="TextoNormal"/>
      </w:pPr>
      <w:r>
        <w:t>1º.  Reconocer a los recurrentes el derecho fundamental a la legalidad penal.</w:t>
      </w:r>
    </w:p>
    <w:p w:rsidR="006854DA" w:rsidRDefault="006854DA" w:rsidP="006854DA">
      <w:pPr>
        <w:pStyle w:val="TextoNormal"/>
      </w:pPr>
      <w:r>
        <w:t>2º.  Anular la Sentencia dictada por el Juzgado de lo Penal núm. 5 de Valencia, con fecha de 25 de enero de 1994, así como la Sentencia de la Sección Segunda de la Audiencia Provincial de esa misma ciudad, de fecha 23 de julio de 1994.</w:t>
      </w:r>
    </w:p>
    <w:p w:rsidR="006854DA" w:rsidRDefault="006854DA" w:rsidP="006854DA">
      <w:pPr>
        <w:pStyle w:val="TextoNormal"/>
      </w:pPr>
    </w:p>
    <w:p w:rsidR="006854DA" w:rsidRDefault="006854DA" w:rsidP="006854DA">
      <w:pPr>
        <w:pStyle w:val="TextoNormal"/>
      </w:pPr>
      <w:r>
        <w:t>Publíquese este Sentencia en el "Boletín Oficial del Estado".</w:t>
      </w:r>
    </w:p>
    <w:p w:rsidR="006854DA" w:rsidRDefault="006854DA" w:rsidP="006854DA">
      <w:pPr>
        <w:pStyle w:val="TextoNormal"/>
      </w:pPr>
      <w:r>
        <w:t>Dada en Madrid, a quince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7" w:name="SENTENCIA_1997_131"/>
      <w:r>
        <w:lastRenderedPageBreak/>
        <w:t>SENTENCIA 131/1997, de 15 de julio de 1997</w:t>
      </w:r>
    </w:p>
    <w:bookmarkEnd w:id="47"/>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ECLI:ES:TC:1997:131</w:t>
      </w:r>
    </w:p>
    <w:p w:rsidR="006854DA" w:rsidRDefault="006854DA" w:rsidP="006854DA">
      <w:pPr>
        <w:pStyle w:val="SntesisDescriptiva"/>
      </w:pPr>
    </w:p>
    <w:p w:rsidR="006854DA" w:rsidRDefault="006854DA" w:rsidP="006854DA">
      <w:pPr>
        <w:pStyle w:val="SntesisDescriptiva"/>
      </w:pPr>
      <w:r>
        <w:t>Recurso de amparo 3.860/1994. Contra Sentencia de la Audiencia Provincial de Madrid que confirmó en apelación la condena impuesta a los recurrentes en la dictada por el Juzgado de Instrucción núm. 5 de Alcorcón en juicio de faltas.</w:t>
      </w:r>
    </w:p>
    <w:p w:rsidR="006854DA" w:rsidRDefault="006854DA" w:rsidP="006854DA">
      <w:pPr>
        <w:pStyle w:val="SntesisDescriptiva"/>
      </w:pPr>
    </w:p>
    <w:p w:rsidR="006854DA" w:rsidRDefault="006854DA" w:rsidP="006854DA">
      <w:pPr>
        <w:pStyle w:val="SntesisAnaltica"/>
      </w:pPr>
      <w:r>
        <w:t>Vulneración del derecho a la presunción de inocencia: ausencia de prueba de cargo.</w:t>
      </w:r>
    </w:p>
    <w:p w:rsidR="006854DA" w:rsidRDefault="006854DA" w:rsidP="006854DA">
      <w:pPr>
        <w:pStyle w:val="SntesisAnaltica"/>
      </w:pPr>
    </w:p>
    <w:p w:rsidR="006854DA" w:rsidRDefault="006854DA" w:rsidP="006854DA">
      <w:pPr>
        <w:pStyle w:val="Extracto"/>
      </w:pPr>
      <w:r>
        <w:t>1.</w:t>
      </w:r>
      <w:r>
        <w:tab/>
        <w:t>En lo que respecta al derecho a la presunción de inocencia, una reiterada doctrina constitucional exige que la condena penal impuesta se funde en auténticos actos de prueba, obtenidos con estricto respeto de los derechos fundamentales y practicados en el juicio oral bajo la vigencia de los principios de igualdad, contradicción, inmediación y publicidad, y que la actividad probatoria sea suficiente para generar en el Tribunal la evidencia de la existencia, no sólo de un hecho punible, sino también de la responsabilidad penal que en él tuvo el acusado, pues la inocencia ha de entenderse en el sentido de no autoría, no producción del daño o no participación en él (entre otras muchas, SSTC 150/1989, 134/1991 y 76/1993) [F.J. 2].</w:t>
      </w:r>
    </w:p>
    <w:p w:rsidR="006854DA" w:rsidRDefault="006854DA" w:rsidP="006854DA">
      <w:pPr>
        <w:pStyle w:val="Extracto"/>
      </w:pPr>
    </w:p>
    <w:p w:rsidR="006854DA" w:rsidRDefault="006854DA" w:rsidP="006854DA">
      <w:pPr>
        <w:pStyle w:val="Extracto"/>
      </w:pPr>
      <w:r>
        <w:t>2.</w:t>
      </w:r>
      <w:r>
        <w:tab/>
        <w:t>Por lo que atañe a la prueba testifical de referencia, también es doctrina reiterada de este Tribunal la de que la misma constituye uno de los actos de prueba que los Tribunales de la jurisdicción penal pueden tener en consideración en orden a fundar la condena, pues la ley no excluye su validez y eficacia (por todas, STC 217/1989), pero que la prueba testifical indirecta no puede llegar a desplazar o sustituir totalmente a la prueba testifical directa, salvo en el caso de prueba sumarial anticipada o de imposibilidad material de comparecencia del testigo presencial a la llamada del juicio oral, pues cuando existan testigos presenciales de los hechos el órgano judicial debe oírlos directamente en vez de llamar a declarar a quienes oyeron de ellos (SSTC 217/1989, 303/1993, 79/1994 y 35/1995). El Tribunal Europeo de Derechos Humanos ha declarado como contraria a lo dispuesto en el art. 6 del Convenio Europeo de Derechos Humanos la sustitución del testigo directo por el indirecto sin causa legítima que justifique la inasistencia de aquel al juicio oral (entre otras, DELTA c. Francia, 19 de diciembre de 1990; ISGRO c. Italia, 19 de febrero de 1991; ASCH c. Austria, 26 de abril de 1991) [F.J. 2].</w:t>
      </w:r>
    </w:p>
    <w:p w:rsidR="006854DA" w:rsidRDefault="006854DA" w:rsidP="006854DA">
      <w:pPr>
        <w:pStyle w:val="Extracto"/>
      </w:pPr>
    </w:p>
    <w:p w:rsidR="006854DA" w:rsidRDefault="006854DA" w:rsidP="006854DA">
      <w:pPr>
        <w:pStyle w:val="Extracto"/>
      </w:pPr>
      <w:r>
        <w:t>3.</w:t>
      </w:r>
      <w:r>
        <w:tab/>
        <w:t xml:space="preserve">Puede llegarse a la conclusión de que no se ha llevado a cabo en el proceso penal actividad probatoria que pueda entenderse de cargo. En efecto, es evidente que los hoy recurrentes han sido condenados por una falta de daños con base única y exclusivamente en las declaraciones prestadas por el denunciante, quien siempre manifestó, que él no presenció el hecho punible y que fue un amigo, nunca identificado, quien le dijo que los autores de los daños eran los hoy recurrentes. Pero es igualmente evidente que el testigo directo, de existir, ni fue identificado, ni tan </w:t>
      </w:r>
      <w:r>
        <w:lastRenderedPageBreak/>
        <w:t>siquiera se intentó su identificación por el Juez de Instrucción, ni en consecuencia fue llamado a declarar en el proceso. Por ello, el testimonio indirecto o de referencia así prestado no puede entenderse como válido y suficiente para fundar la condena de los hoy recurrentes, pues la prueba testifical indirecta nunca puede llegar a desplazar o sustituir a la prueba testifical directa sin motivo legítimo que lo justifique, dado que no consta la existencia de causa objetiva que impidiera la identificación y ulterior comparecencia en el juicio de faltas del testigo directo [F.J. 4].</w:t>
      </w:r>
    </w:p>
    <w:p w:rsidR="006854DA" w:rsidRDefault="006854DA" w:rsidP="006854DA">
      <w:pPr>
        <w:pStyle w:val="Extracto"/>
      </w:pPr>
    </w:p>
    <w:p w:rsidR="006854DA" w:rsidRDefault="006854DA" w:rsidP="006854DA">
      <w:pPr>
        <w:pStyle w:val="Extracto"/>
      </w:pPr>
    </w:p>
    <w:p w:rsidR="006854DA" w:rsidRDefault="006854DA" w:rsidP="006854DA">
      <w:pPr>
        <w:pStyle w:val="Extracto"/>
      </w:pPr>
      <w:r>
        <w:t xml:space="preserve">T E X T O D E F I N I T I V O </w:t>
      </w:r>
    </w:p>
    <w:p w:rsidR="006854DA" w:rsidRDefault="006854DA" w:rsidP="006854DA">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3.860/94, promovido por don Francisco y don Pedro Ariza Bono, representados por el Procurador de los Tribunales don José Ignacio de Noriega Arquer y asistidos del Letrado don Javier Pinedo Noriega, contra Sentencia, de 13 de octubre de 1994, de la Sección Decimoquinta de la Audiencia Provincial de Madrid, que confirmó en apelación la condena impuesta a los recurrentes en la Sentencia dictada el 26 de mayo de 1994 por el Juzgado de Instrucción núm. 5 de Alcorcón en el juicio de faltas núm. 31/94. Ha comparecido el Ministerio Fiscal. Ha sido Ponente el Magistrado don Pablo García Manzano,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presentado el 30 de noviembre de 1994, el Procurador de los Tribunales don José Ignacio de Noriega Arquer interpone, en nombre y representación de don Francisco y don Pedro Ariza Bono, recurso de amparo contra la Sentencia de 13 de octubre de 1994 de la Sección Decimoquinta de la Audiencia Provincial de Madrid, que confirmó en apelación la condena impuesta a los recurrentes, como autores de una falta de daños del art. 597 del Código Penal, por el Juzgado de Instrucción núm. 5 de Alcorcón en la Sentencia dictada, el 26 de mayo de 1994, en el juicio de faltas núm. 31/94.</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El recurso de amparo versa, en síntesis, sobre los siguientes hechos: </w:t>
      </w:r>
    </w:p>
    <w:p w:rsidR="006854DA" w:rsidRDefault="006854DA" w:rsidP="006854DA">
      <w:pPr>
        <w:pStyle w:val="TextoNormal"/>
      </w:pPr>
      <w:r>
        <w:t xml:space="preserve">a) El Juzgado de Instrucción núm. 5 de Alcorcón, en Sentencia de 26 de mayo de 1994, dictada en el juicio de faltas núm. 31/94, condenó a los hoy recurrentes de amparo como autores de una falta de daños del art. 597 del Código Penal, a la pena de cincuenta mil </w:t>
      </w:r>
      <w:r>
        <w:lastRenderedPageBreak/>
        <w:t xml:space="preserve">pesetas de multa a cada uno de ellos, con arresto sustitutorio de cinco días en caso de impago, y a que indemnizaran de forma solidaria al perjudicado, don Feliciano Carrera Deza, en la cantidad de 16.819 pts. Asimismo, los recurrentes fueron condenados por una falta de desacato a la autoridad del art. 570.2 del Código Penal (Texto Refundido de 1973), pero esta condena no es objeto del recurso. </w:t>
      </w:r>
    </w:p>
    <w:p w:rsidR="006854DA" w:rsidRDefault="006854DA" w:rsidP="006854DA">
      <w:pPr>
        <w:pStyle w:val="TextoNormal"/>
      </w:pPr>
      <w:r>
        <w:t>b) Contra dicha Sentencia interpusieron los condenados recurso de apelación ante la Sección Decimoquinta de la Audiencia Provincial de Madrid (rollo núm. 235/94), alegando, entre otros extremos, la infracción del derecho a la presunción de inocencia. Por Sentencia de 13 de octubre de 1994, la Audiencia desestimó el recurso y confirmó íntegramente la condena de los recurrentes en cuanto a la falta de daños del art. 597 del Código Penal (Texto Refundido de 1973).</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 representación de los recurrentes estima que las Sentencias impugnadas vulneran el derecho a la presunción de inocencia (art. 24.2 C.E.). Al respecto alega que la única prueba de cargo presentada contra los hoy recurrentes fue la declaración del denunciante de los daños, don Feliciano Carrera Deza, quien desde un primer momento y después en el acto del juicio oral declaró expresamente "no haber visto nada" y tener conocimiento de los hechos a través de un amigo suyo, quien le dijo lo que había sucedido y quiénes habían sido los autores. Por ello, el fallo condenatorio se ha basado únicamente en un testimonio de referencia, lo que, a su juicio, vulnera el principio de inmediación y ha privado a la defensa de su derecho a una prueba plena practicada con respeto de los principios de publicidad, oralidad y contradicción consagrados en el art. 24.2 C.E. En el presente caso, además, el testigo directo era perfectamente identificable por tratarse de un amigo del denunciante, sin que por la policía, el Ministerio Fiscal, el Juzgado o el propio denunciante se realizara o instara diligencia alguna para su comparecencia y declaración. </w:t>
      </w:r>
    </w:p>
    <w:p w:rsidR="006854DA" w:rsidRDefault="006854DA" w:rsidP="006854DA">
      <w:pPr>
        <w:pStyle w:val="TextoNormal"/>
      </w:pPr>
      <w:r>
        <w:t>Por lo expuesto, solicita de este Tribunal que otorgue el amparo y declare la nulidad de las Sentencias recurridas en el pronunciamiento relativo a la condena de los recurrentes por la falta de daños del art. 597 del Código Penal. Por otrosí solicita la suspensión de la ejecución de la condena.</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10 de mayo de 1995, la Sección Segunda de la Sala Primera acuerda tener por interpuesto recurso de amparo por el Procurador de los Tribunales don José Ignacio de Noriega Arquer, en nombre y representación de don Francisco y don Pedro Ariza Bono, así como interesar de los órganos judiciales el emplazamiento de quienes fueron parte en las actuaciones, con excepción de los recurrentes, para que en el plazo de diez días puedan comparecer en este proceso constitucional. Posteriormente, por providencia de 12 de junio de 1995, la Sección acuerda, a tenor de lo dispuesto en el art. 52 de la LOTC, dar vista de todas las actuaciones del presente recurso de amparo por un plazo común de veinte días, al Ministerio Fiscal y a los solicitantes de amparo para que puedan alegar lo que a su derecho convenga.</w:t>
      </w:r>
    </w:p>
    <w:p w:rsidR="006854DA" w:rsidRDefault="006854DA" w:rsidP="006854DA">
      <w:pPr>
        <w:pStyle w:val="TextoNormal"/>
      </w:pPr>
    </w:p>
    <w:p w:rsidR="006854DA" w:rsidRDefault="006854DA" w:rsidP="006854DA">
      <w:pPr>
        <w:pStyle w:val="TextoNormal"/>
      </w:pPr>
      <w:r w:rsidRPr="006854DA">
        <w:rPr>
          <w:rStyle w:val="NumeroAFNegritaCaracter"/>
        </w:rPr>
        <w:t>5</w:t>
      </w:r>
      <w:r>
        <w:t>. Por escrito presentado el 20 de junio de 1995, la representación del recurrente da por reproducidas las alegaciones del escrito de demanda.</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En su escrito de alegaciones, presentado el 4 de julio de 1995, el Ministerio Fiscal, luego de recordar la plena vigencia en los juicios de faltas de los principios y garantías constitucionales consagrados en el art. 24 C.E., y de exponer sucintamente la doctrina </w:t>
      </w:r>
      <w:r>
        <w:lastRenderedPageBreak/>
        <w:t xml:space="preserve">constitucional sobre los supuestos en los que es válida la prueba testifical de referencia, concluye que, en el presente caso, carece de validez el testimonio de referencia sobre el que se ha basado la condena de los recurrentes. En concreto, el Fiscal considera, de una parte, que la condena de los recurrentes se ha fundado única y exclusivamente en el testimonio referencial del perjudicado, que no presenció de modo directo los hechos; y, de otra parte que, en contra de lo dispuesto en el art. 710 de la L.E.Crim., ni la Policía ni el Juzgado ni el Fiscal requirieron al perjudicado para que manifestara el origen de su conocimiento respecto de la autoría de los recurrentes, ni se procedió, en suma, a la averiguación de la identidad del testigo directo para dar al testimonio el rigor que la Ley requiere. </w:t>
      </w:r>
    </w:p>
    <w:p w:rsidR="006854DA" w:rsidRDefault="006854DA" w:rsidP="006854DA">
      <w:pPr>
        <w:pStyle w:val="TextoNormal"/>
      </w:pPr>
      <w:r>
        <w:t>En consecuencia, el Fiscal insta, de acuerdo con el art. 53 a) de la LOTC, el otorgamiento del amparo solicitado.</w:t>
      </w:r>
    </w:p>
    <w:p w:rsidR="006854DA" w:rsidRDefault="006854DA" w:rsidP="006854DA">
      <w:pPr>
        <w:pStyle w:val="TextoNormal"/>
      </w:pPr>
    </w:p>
    <w:p w:rsidR="006854DA" w:rsidRDefault="006854DA" w:rsidP="006854DA">
      <w:pPr>
        <w:pStyle w:val="TextoNormal"/>
      </w:pPr>
      <w:r w:rsidRPr="006854DA">
        <w:rPr>
          <w:rStyle w:val="NumeroAFNegritaCaracter"/>
        </w:rPr>
        <w:t>7</w:t>
      </w:r>
      <w:r>
        <w:t>. Por Auto de 5 de junio de 1995, dictado en la pieza separada de suspensión, la Sala acordó suspender la ejecución de la Sentencia de la Sala Decimoquinta de la Audiencia Provincial de Madrid, de 13 de octubre de 1994, respecto a la pena de multa de 50.000 pesetas impuesta a cada uno de los recurrentes por una falta de daños del art. 597 del Código Penal, tan sólo si procediera el arresto sustitutorio por insolvencia de los mismos.</w:t>
      </w:r>
    </w:p>
    <w:p w:rsidR="006854DA" w:rsidRDefault="006854DA" w:rsidP="006854DA">
      <w:pPr>
        <w:pStyle w:val="TextoNormal"/>
      </w:pPr>
    </w:p>
    <w:p w:rsidR="006854DA" w:rsidRDefault="006854DA" w:rsidP="006854DA">
      <w:pPr>
        <w:pStyle w:val="TextoNormal"/>
      </w:pPr>
      <w:r w:rsidRPr="006854DA">
        <w:rPr>
          <w:rStyle w:val="NumeroAFNegritaCaracter"/>
        </w:rPr>
        <w:t>8</w:t>
      </w:r>
      <w:r>
        <w:t>. Por providencia de 14 de julio de 1977 se señaló el día 15 de julio del mismo año para deliberación y fallo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cuestión planteada en el presente recurso de amparo consiste en determinar si en el proceso penal decidido por la Sentencia dictada por la Sección Decimoquinta de la Audiencia Provincial de Madrid, en fecha 13 de octubre de 1994, que confirmó en apelación la condena impuesta a los recurrentes por el Juzgado de Instrucción núm. 5 de Alcorcón en la Sentencia de 26 de mayo de 1994, ha sido violado el derecho a la presunción de inocencia consagrado en el art. 24.2 de la Constitución, al haber sido condenados los hoy recurrentes de amparo como autores de una falta de daños sin la existencia de una actividad probatoria de cargo. Al respecto, en la demanda se denuncia que el fallo condenatorio se ha basado únicamente en un testimonio de referencia y que nunca se procedió a la citación del testigo directo, a pesar de ser fácilmente identificable, para su comparecencia y declaración en la causa.</w:t>
      </w:r>
    </w:p>
    <w:p w:rsidR="006854DA" w:rsidRDefault="006854DA" w:rsidP="006854DA">
      <w:pPr>
        <w:pStyle w:val="TextoNormal"/>
      </w:pPr>
    </w:p>
    <w:p w:rsidR="006854DA" w:rsidRDefault="006854DA" w:rsidP="006854DA">
      <w:pPr>
        <w:pStyle w:val="TextoNormal"/>
      </w:pPr>
      <w:r w:rsidRPr="006854DA">
        <w:rPr>
          <w:rStyle w:val="NumeroAFNegritaCaracter"/>
        </w:rPr>
        <w:t>2</w:t>
      </w:r>
      <w:r>
        <w:t>. Hemos de recordar, a efectos de nuestro enjuiciamiento, la doctrina de este Tribunal que afirma la plena vigencia y aplicabilidad en el juicio de faltas de los principios y garantías constitucionales contenidos en el art. 24 C.E.  y, por consiguiente, del obligado respeto, también en esta clase de procesos penales, del derecho a la presunción de inocencia ex art. 24.2 C.E. (SSTC 54/1985, 150/1989, 319/1994 y 328/1994, entre otras).</w:t>
      </w:r>
    </w:p>
    <w:p w:rsidR="006854DA" w:rsidRDefault="006854DA" w:rsidP="006854DA">
      <w:pPr>
        <w:pStyle w:val="TextoNormal"/>
      </w:pPr>
      <w:r>
        <w:t>En lo que respecta a este último derecho fundamental, que es el concernido en el presente recurso de amparo, una reiterada doctrina constitucional exige que la condena penal impuesta se funde en auténticos actos de prueba, obtenidos con estricto respeto de los derechos fundamentales y practicados en el juicio oral bajo la vigencia de los principios de igualdad, contradicción, inmediación y publicidad, y que la actividad probatoria sea suficiente para generar en el Tribunal la evidencia de la existencia, no sólo de un hecho puni</w:t>
      </w:r>
      <w:r>
        <w:lastRenderedPageBreak/>
        <w:t>ble, sino también de la responsabilidad penal que en él tuvo el acusado, pues la inocencia ha de entenderse en el sentido de no autoría, no producción del daño o no participación en él (entre otras muchas, SSTC 150/1989; 134/1991; y 76/1993).</w:t>
      </w:r>
    </w:p>
    <w:p w:rsidR="006854DA" w:rsidRDefault="006854DA" w:rsidP="006854DA">
      <w:pPr>
        <w:pStyle w:val="TextoNormal"/>
      </w:pPr>
      <w:r>
        <w:t>Por lo que atañe a la prueba testifical de referencia, también es doctrina reiterada de este Tribunal la de que dicha prueba constituye uno de los actos de prueba que los Tribunales de la jurisdicción penal pueden tener en consideración en orden a fundar la condena, pues la ley no excluye su validez y eficacia (por todas, STC 217/1989), pero que la prueba testifical indirecta no puede llegar a desplazar o sustituir totalmente a la prueba testifical directa, salvo en el caso de prueba sumarial anticipada o de imposibilidad material de comparecencia del testigo presencial a la llamada del juicio oral, pues cuando existan testigos presenciales de los hechos el órgano judicial debe oírlos directamente en vez de llamar a declarar a quienes oyeron de ellos (SSTC 217/1989; 303/1993; 79/1994; y 35/1995). Esta doctrina tiene su antecedente en la jurisprudencia del Tribunal Europeo de Derechos Humanos, que ha declarado como contraria a lo dispuesto en el art. 6 del Convenio Europeo de Derechos Humanos la sustitución del testigo directo por el indirecto sin causa legítima que justifique la inasistencia de aquel al juicio oral (entre otras, DELTA c. Francia, 19 de diciembre de 1990; ISGRÓ c.  Italia, 19 de febrero de 1991; ASCH c. Austria, 26 de abril de 1991; en particular, sobre la prohibición de testigos anónimos, WINDISCH c. Austria, de 27 de septiembre de 1990, y LUDI c. Suiza, de 15 de junio de 1992).</w:t>
      </w:r>
    </w:p>
    <w:p w:rsidR="006854DA" w:rsidRDefault="006854DA" w:rsidP="006854DA">
      <w:pPr>
        <w:pStyle w:val="TextoNormal"/>
      </w:pPr>
    </w:p>
    <w:p w:rsidR="006854DA" w:rsidRDefault="006854DA" w:rsidP="006854DA">
      <w:pPr>
        <w:pStyle w:val="TextoNormal"/>
      </w:pPr>
      <w:r w:rsidRPr="006854DA">
        <w:rPr>
          <w:rStyle w:val="NumeroAFNegritaCaracter"/>
        </w:rPr>
        <w:t>3</w:t>
      </w:r>
      <w:r>
        <w:t>. A la luz de la doctrina expuesta, es preciso examinar si en el presente caso ha sido vulnerado o no el derecho a la presunción de inocencia de los recurrentes de amparo y, en concreto, si la prueba testifical indirecta o de referencia puede considerarse válida para desvirtuar la presunción de inocencia.  Pues bien, el examen de las actuaciones judiciales arroja los siguientes resultados:</w:t>
      </w:r>
    </w:p>
    <w:p w:rsidR="006854DA" w:rsidRDefault="006854DA" w:rsidP="006854DA">
      <w:pPr>
        <w:pStyle w:val="TextoNormal"/>
      </w:pPr>
      <w:r>
        <w:t>a) Los hoy recurrentes de amparo, tanto en sus declaraciones ante la policía y ante el Juez de Instrucción como luego en el juicio oral, siempre negaron su participación en los hechos que les eran imputados.</w:t>
      </w:r>
    </w:p>
    <w:p w:rsidR="006854DA" w:rsidRDefault="006854DA" w:rsidP="006854DA">
      <w:pPr>
        <w:pStyle w:val="TextoNormal"/>
      </w:pPr>
      <w:r>
        <w:t>b) El denunciante don Feliciano Carrera Deza manifestó que no había presenciado los hechos y que fue un amigo quien le dijo que los autores habían sido los hoy recurrentes. En concreto, en su declaración ante la policía, luego ratificada ante el Juez, manifestó que se encontraba trabajando en un local y "un amigo suyo le avisó que dos individuos le habían fracturado el espejo retrovisor de su vehículo", que salió y tras indicarle su amigo los individuos que habían sido los autores, los paró y estuvo hablando con ellos hasta la llegada de la policía. Posteriormente, en el acto del juicio oral, declaró que "no vio nada" y que "la persona que le dijo que vió romper el espejo no declaró en la policía y que tampoco está aquí en el juicio".</w:t>
      </w:r>
    </w:p>
    <w:p w:rsidR="006854DA" w:rsidRDefault="006854DA" w:rsidP="006854DA">
      <w:pPr>
        <w:pStyle w:val="TextoNormal"/>
      </w:pPr>
      <w:r>
        <w:t>c) El denunciante nunca fue requerido, ni en el atestado policial ni en la fase preparatoria, así como tampoco en el juicio oral, para identificar a la persona que le avisó y después reconoció a los hoy recurrentes como autores de los hechos.</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De lo expuesto, en aplicación de la doctrina antes mencionada, puede llegarse a la conclusión de que no se ha llevado a cabo en el proceso penal actividad probatoria que pueda entenderse de cargo. En efecto, es evidente que los hoy recurrentes han sido condenados por una falta de daños con base única y exclusivamente en las declaraciones prestadas por el denunciante Sr. Carrera Deza, quien siempre manifestó, como antes quedó apuntado, que él no presenció el hecho punible y que fue un amigo, nunca identificado, quien le dijo que los autores de los daños eran los hoy recurrentes. Pero es igualmente </w:t>
      </w:r>
      <w:r>
        <w:lastRenderedPageBreak/>
        <w:t>evidente que el testigo directo, de existir, ni fue identificado, ni tan siquiera se intentó su identificación por el Juez de Instrucción, ni en consecuencia fue llamado a declarar en el proceso. Por ello, el testimonio indirecto o de referencia así prestado no puede entenderse como válido y suficiente para fundar la condena de los hoy recurrentes, pues la prueba testifical indirecta nunca puede llegar a desplazar o sustituir a la prueba testifical directa sin motivo legítimo que lo justifique, dado que no consta la existencia de causa objetiva que impidiera la identificación y ulterior comparecencia en el juicio de faltas del testigo directo.  En este sentido, además, dar por válida la prueba testifical de referencia, tal y como han hecho los órganos judiciales, supondría privar a la defensa de los acusados, con infracción del art. 24.2 C.E., de su derecho a interrogar al testigo directo, someter a contradicción su testimonio y proponer, en su caso, la correspondiente prueba de descargo.</w:t>
      </w:r>
    </w:p>
    <w:p w:rsidR="006854DA" w:rsidRDefault="006854DA" w:rsidP="006854DA">
      <w:pPr>
        <w:pStyle w:val="TextoNormal"/>
      </w:pPr>
      <w:r>
        <w:t>En consecuencia, ha de concluirse que las Sentencias impugnadas vulneran el derecho a la presunción de inocencia de los recurrentes (art. 24.2 C.E.), por lo que procede estimar el amparo y reponerles en su derecho. Ahora bien, dado que las Sentencias también contienen otro pronunciamiento condenatorio que no ha sido objeto de impugnación, procede acordar la nulidad parcial de las mismas tan sólo en cuanto se refiere a la condena de los recurrentes por la falta de daños del art. 597 del Código Penal, permaneciendo intangible el resto de los pronunciamientos contenidos en las Sentencias recurridas.</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Estimar el recurso de amparo interpuesto por don Francisco y don Pedro Ariza Bono, y en su virtud:</w:t>
      </w:r>
    </w:p>
    <w:p w:rsidR="006854DA" w:rsidRDefault="006854DA" w:rsidP="006854DA">
      <w:pPr>
        <w:pStyle w:val="TextoNormal"/>
      </w:pPr>
      <w:r>
        <w:t>1º. Reconocer el derecho de los recurrentes a la presunción de inocencia.</w:t>
      </w:r>
    </w:p>
    <w:p w:rsidR="006854DA" w:rsidRDefault="006854DA" w:rsidP="006854DA">
      <w:pPr>
        <w:pStyle w:val="TextoNormal"/>
      </w:pPr>
      <w:r>
        <w:t>2º. Declarar la nulidad parcial de las Sentencias dictadas por la Sección Decimoquinta de la Audiencia Provincial de Madrid el 13 de octubre de 1994, en grado de apelación, y por el Juzgado de Instrucción número 5 de los de Alcorcón el 26 de mayo de 1994, recaída en el juicio de faltas número 31/94, únicamente en cuanto al pronunciamiento relativo a la condena a los recurrentes como autores de una falta de daños del art. 597 del Código Penal.</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quince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8" w:name="SENTENCIA_1997_132"/>
      <w:r>
        <w:lastRenderedPageBreak/>
        <w:t>SENTENCIA 132/1997, de 15 de julio de 1997</w:t>
      </w:r>
    </w:p>
    <w:bookmarkEnd w:id="48"/>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ECLI:ES:TC:1997:132</w:t>
      </w:r>
    </w:p>
    <w:p w:rsidR="006854DA" w:rsidRDefault="006854DA" w:rsidP="006854DA">
      <w:pPr>
        <w:pStyle w:val="SntesisDescriptiva"/>
      </w:pPr>
    </w:p>
    <w:p w:rsidR="006854DA" w:rsidRDefault="006854DA" w:rsidP="006854DA">
      <w:pPr>
        <w:pStyle w:val="SntesisDescriptiva"/>
      </w:pPr>
      <w:r>
        <w:t>Recurso de amparo 2.831/1995 3.075/1995 (acumulados). Contra Sentencias de la Sala de lo Social del Tribunal Supremo dictadas en autos sobre conflicto colectivo que desestimaron sendos recursos de casación para la unificación de doctrina.</w:t>
      </w:r>
    </w:p>
    <w:p w:rsidR="006854DA" w:rsidRDefault="006854DA" w:rsidP="006854DA">
      <w:pPr>
        <w:pStyle w:val="SntesisDescriptiva"/>
      </w:pPr>
    </w:p>
    <w:p w:rsidR="006854DA" w:rsidRDefault="006854DA" w:rsidP="006854DA">
      <w:pPr>
        <w:pStyle w:val="SntesisAnaltica"/>
      </w:pPr>
      <w:r>
        <w:t>Supuesta vulneración del principio de igualdad y del derecho a la tutela judicial efectiva: idoneidad de las Sentencias de contraste. Voto particular.</w:t>
      </w:r>
    </w:p>
    <w:p w:rsidR="006854DA" w:rsidRDefault="006854DA" w:rsidP="006854DA">
      <w:pPr>
        <w:pStyle w:val="SntesisAnaltica"/>
      </w:pPr>
    </w:p>
    <w:p w:rsidR="006854DA" w:rsidRDefault="006854DA" w:rsidP="006854DA">
      <w:pPr>
        <w:pStyle w:val="Extracto"/>
      </w:pPr>
      <w:r>
        <w:t>1.</w:t>
      </w:r>
      <w:r>
        <w:tab/>
        <w:t>En la reciente STC 211/1996 el Pleno de este Tribunal ha reiterado que el art. 24.1 C.E. garantiza el acceso a la jurisdicción como elemento esencial del contenido de la tutela judicial, consistente en provocar la actividad jurisdiccional que desemboque en la decisión de un Juez. En cambio,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siendo imaginable, posible y real la eventualidad de que no existan, salvo en lo penal. Respecto al acceso a los recursos establecidos por la Ley, el art. 24 C.E. solamente veda que la vía del recurso sea cerrada arbitrariamente o «intuitu personae». Cuando existen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Y desde la STC 37/1995 se ha matizado el criterio de la interpretación de la ley procesal en el sentido más favorable para la efectividad del acceso al recurso, de modo que la concurrencia de los presupuestos y el cumplimiento de los requisitos procesales exigidos para la admisibilidad de los recursos no son fiscalizables en sede constitucional, salvo que la decisión judicial incurra en arbitrariedad o descanse en un error patente (SSTC 46/1995, 58/1995, 138/1995, 149/1995, 70/1996, 160/1996, 202/1996 y 209/1996) [F.J. 2].</w:t>
      </w:r>
    </w:p>
    <w:p w:rsidR="006854DA" w:rsidRDefault="006854DA" w:rsidP="006854DA">
      <w:pPr>
        <w:pStyle w:val="Extracto"/>
      </w:pPr>
    </w:p>
    <w:p w:rsidR="006854DA" w:rsidRDefault="006854DA" w:rsidP="006854DA">
      <w:pPr>
        <w:pStyle w:val="Extracto"/>
      </w:pPr>
      <w:r>
        <w:t>2.</w:t>
      </w:r>
      <w:r>
        <w:tab/>
        <w:t>La comprobación de los presupuestos procesales exigidos para la viabilidad del recurso puede siempre abordarse o reemprenderse en la Sentencia, de oficio o a instancia de parte. La resolución preliminar de admisión no precluye que las partes personadas o el Ministerio Fiscal denuncien los defectos insubsanables de que pudiera adolecer el recurso en la primera ocasión en que se les faculta para hacerlo, pues de lo contrario se privaría al proponente de ejercer su derecho a oponer todas aquellas objeciones procesales que convengan a su defensa, ni tampoco el deber del órgano judicial de examinarlos de oficio [F.J. 3].</w:t>
      </w:r>
    </w:p>
    <w:p w:rsidR="006854DA" w:rsidRDefault="006854DA" w:rsidP="006854DA">
      <w:pPr>
        <w:pStyle w:val="Extracto"/>
      </w:pPr>
    </w:p>
    <w:p w:rsidR="006854DA" w:rsidRDefault="006854DA" w:rsidP="006854DA">
      <w:pPr>
        <w:pStyle w:val="Extracto"/>
      </w:pPr>
      <w:r>
        <w:t>3.</w:t>
      </w:r>
      <w:r>
        <w:tab/>
        <w:t xml:space="preserve">Como señaló el ATC 22/1996, el acceso al recurso de casación para la unificación de doctrina exige la firmeza de las Sentencias citadas como contradictorias; es un requisito que viene impuesto por la propia finalidad del recurso, pues si éste no </w:t>
      </w:r>
      <w:r>
        <w:lastRenderedPageBreak/>
        <w:t>se apoya en Sentencias firmes como término de comparación, falta la base para la unificación de doctrina, toda vez que la contenida en las Sentencias pendientes de recursos viene condicionada por el resultado de los mismos. De otra parte, en punto al momento procesal en que es exigible la firmeza de la Sentencia contradictoria, la Sala de lo Social del Tribunal Supremo constituida en Sala general dictó la Sentencia de 14 de julio de 1995, fijando mayoritariamente la fecha de apreciación de la firmeza en el momento de la publicación de la Sentencia recurrida, frente al voto particular que la pospone al de la preparación del recurso porque sólo entonces se entabla el debate procesal [F.J. 5].</w:t>
      </w:r>
    </w:p>
    <w:p w:rsidR="006854DA" w:rsidRDefault="006854DA" w:rsidP="006854DA">
      <w:pPr>
        <w:pStyle w:val="Extracto"/>
      </w:pPr>
    </w:p>
    <w:p w:rsidR="006854DA" w:rsidRDefault="006854DA" w:rsidP="006854DA">
      <w:pPr>
        <w:pStyle w:val="Extracto"/>
      </w:pPr>
      <w:r>
        <w:t>4.</w:t>
      </w:r>
      <w:r>
        <w:tab/>
        <w:t>El recurso de casación para la unificación de doctrina cumple una finalidad nomofiláctica de depuración del ordenamiento en su aplicación por los Tribunales, al modo de la casación común. Y tal función de control de legalidad presupone la existencia de un ordenamiento jurídico único a aplicar por los órganos de la jurisdicción social, la articulación de un recurso de casación que, precisamente por estar fundado en la infracción de preceptos constitucionales o de normas estatales o supracomunitarias, justifica la intervención del Tribunal Supremo para asegurar la elaboración de una interpretación y jurisprudencia unitaria sobre dichas normas en todo el territorio nacional (SSTC 56/1990 y 62/1990). Sin embargo, en el caso presente la controversia se caracteriza por su escaso interés casacional; simplemente se discute la interpretación de un extremo concreto de una Resolución dictada por la Administración laboral de la Generalidad de Cataluña que afecta a un restringido círculo de destinatarios. En definitiva, ni siquiera en este peculiar supuesto la inadmisión de los recursos entraña una vulneración del derecho a la tutela judicial efectiva [F.J. 6].</w:t>
      </w:r>
    </w:p>
    <w:p w:rsidR="006854DA" w:rsidRDefault="006854DA" w:rsidP="006854DA">
      <w:pPr>
        <w:pStyle w:val="Extracto"/>
      </w:pPr>
    </w:p>
    <w:p w:rsidR="006854DA" w:rsidRDefault="006854DA" w:rsidP="006854DA">
      <w:pPr>
        <w:pStyle w:val="Extracto"/>
      </w:pPr>
      <w:r>
        <w:t>5.</w:t>
      </w:r>
      <w:r>
        <w:tab/>
        <w:t>Para que pueda hablarse de desigualdad en la aplicación de la ley se necesita que un mismo órgano judicial en supuestos sustancialmente idénticos resuelva en sentido distinto, basándose para ello en criterios que supongan un voluntarismo selectivo a partir de argumentos «ad personam» o «ad casum», es decir, no fundados en criterios de alcance general sino en las concretas circunstancias del caso (por todas, SSTC 160/1993, 375/1993, 196/1994, 205/1994, 34/1995, 47/1995 y 133/1995) [F.J. 7].</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lastRenderedPageBreak/>
        <w:t>SENTENCIA</w:t>
      </w:r>
    </w:p>
    <w:p w:rsidR="006854DA" w:rsidRDefault="006854DA" w:rsidP="006854DA">
      <w:pPr>
        <w:pStyle w:val="TextoNormalCentrado"/>
        <w:keepNext/>
      </w:pPr>
    </w:p>
    <w:p w:rsidR="006854DA" w:rsidRDefault="006854DA" w:rsidP="006854DA">
      <w:pPr>
        <w:pStyle w:val="TextoNormal"/>
      </w:pPr>
      <w:r>
        <w:t>En los recursos de amparo acumulados núms. 2.831/95 y 3.075/95 promovidos, de una parte, por GEC ALSTHOM TRANSPORTE, S.A., representada por la Procuradora de los Tribunales doña Gloria María Rincón Mayoral y asistida de la Letrada doña María Echevarría Arnaiz y, de otra, por el Comité de Empresa de GEC ALSTHOM TRANSPORTE ELECTROMECÁNICA, S.A., representado por el Procurador don Fernando Díaz Zorita-Cantó y asistido de la Letrada doña Anna-María Campa Martínez, contra las Sentencias de la Sala de lo Social del Tribunal Supremo de 3 de mayo de 1995, dictadas en autos sobre conflicto colectivo. Ha intervenido el Ministerio Fiscal y ha sido Ponente el Magistrado don Vicente Gimeno Sendra,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presentado en el Registro General de este Tribunal el día 26 de julio de 1995 la Procuradora de los Tribunales doña Gloria María Rincón Mayoral, en nombre y representación de GEC ALSTHOM TRANSPORTE, S.A., antes denominada Mediterránea de Industrias del Ferrocarril, S.A. (MEINFESA), interpuso recurso de amparo, registrado con el núm. 2.831/95, contra la Sentencia de la Sala de lo Social del Tribunal Supremo de 3 de mayo de 1995, dictada en el recurso de casación para la unificación de doctrina núm. 2.086/94.</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demanda se basa en los siguientes hechos: </w:t>
      </w:r>
    </w:p>
    <w:p w:rsidR="006854DA" w:rsidRDefault="006854DA" w:rsidP="006854DA">
      <w:pPr>
        <w:pStyle w:val="TextoNormal"/>
      </w:pPr>
      <w:r>
        <w:t xml:space="preserve">a) Las empresas Mediterránea de Industrias del Ferrocarril, S.A. (MEINFESA) y La Maquinista Terrestre y Marítima, S.A. -a la que hoy ha sucedido GEC ALSTHOM TRANSPORTE ELECTROMECÁNICA, S.A.-, solicitaron de la autoridad laboral autorización para extinguir por causas económicas y tecnológicas los contratos de trabajo de parte de los trabajadores que integraban sus plantillas. Los expedientes de regulación de empleo se tramitaron conjuntamente y concluyeron con Resolución de la Dirección General de Relaciones Laborales del Departamento de Trabajo de la Generalidad de Cataluña, de 26 de julio de 1991, que entre otras medidas acordó autorizar la extinción del nexo de los trabajadores mayores de cincuenta y dos años o que los cumplieran antes del 31 de marzo de 1994. Las empresas se comprometieron a abonar, como complemento de las prestaciones públicas de desempleo, las cantidades necesarias para garantizarles un determinado porcentaje de la retribución neta percibida en el momento de la baja. </w:t>
      </w:r>
    </w:p>
    <w:p w:rsidR="006854DA" w:rsidRDefault="006854DA" w:rsidP="006854DA">
      <w:pPr>
        <w:pStyle w:val="TextoNormal"/>
      </w:pPr>
      <w:r>
        <w:t xml:space="preserve">b) Para el abono del complemento las empresas, con independencia de la fecha en que se producía el cese del trabajador, efectuaban un cálculo teórico del salario que debía percibir, aplicando la deducción por el I.R.P.F. legalmente establecida para el ejercicio correspondiente, como si hubiera prestado servicios todo el año. Disconformes con tal interpretación, los Comités de ambas empresas formularon sendas demandas de conflicto colectivo, que fueron desestimadas por los Juzgados de lo Social núms. 14 y 4 de Barcelona en Sentencias de 8 de julio y 5 de noviembre de 1993, respectivamente. </w:t>
      </w:r>
    </w:p>
    <w:p w:rsidR="006854DA" w:rsidRDefault="006854DA" w:rsidP="006854DA">
      <w:pPr>
        <w:pStyle w:val="TextoNormal"/>
      </w:pPr>
      <w:r>
        <w:t xml:space="preserve">c) Recurridas en suplicación, la Sala de lo Social del Tribunal Superior de Justicia de Cataluña en Sentencia de 10 de marzo de 1994, desestimó el recurso interpuesto por el Comité de Empresa de La Maquinista Terrestre y Marítima, S.A., y en Sentencia de 6 de abril de 1994 estimó en parte el formulado por el Comité de Empresa de MEINFESA y declaró el derecho de los afectados a que se complemente por la empresa la prestación </w:t>
      </w:r>
      <w:r>
        <w:lastRenderedPageBreak/>
        <w:t xml:space="preserve">pública hasta el porcentaje correspondiente, a las percepciones netas realmente percibidas y reflejadas en las hojas salariales de los últimos doce meses inmediatamente anteriores al cese. </w:t>
      </w:r>
    </w:p>
    <w:p w:rsidR="006854DA" w:rsidRDefault="006854DA" w:rsidP="006854DA">
      <w:pPr>
        <w:pStyle w:val="TextoNormal"/>
      </w:pPr>
      <w:r>
        <w:t>d) Contra las mismas los litigantes en cada caso vencidos articularon recursos de casación para la unificación de doctrina, invocando como contradictoria la Sentencia del Tribunal Superior de Justicia recaída en el otro procedimiento. La Sala de lo Social del Tribunal Supremo en Sentencias de 3 de mayo de 1995, votadas el 24 de abril anterior, los desestimó al no ser firme la Sentencia de comparación aportada, por haber sido impugnada ante la Sala en el recurso que ha sido resuelto por Sentencia de esta misma fecha. En el promovido por GEC ALSTHOM TRANSPORTE, S.A. razonaba además el órgano judicial que "el escrito de interposición del recurso incurre en otra causa de inadmisión -en este momento de desestimación-, porque en él no se determina la infracción que se imputa a la Sentencia recurrida a través del correspondiente motivo de casación (art. 221 de la Ley de Procedimiento Laboral en relación con los arts. 204 de la misma Ley y 1.707 de la Ley de Enjuiciamiento Civil) ..." (fundamento de Derecho tercero).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 demanda de amparo estima violados los arts. 14 y 24.1 C.E. Se ha producido una doble vulneración del principio de igualdad. En primer lugar, por parte del Tribunal Superior de Justicia de Cataluña, ya que al emitir dos pronunciamientos contradictorios en situaciones idénticas, consagra en definitiva una discriminación positiva en la aplicación de las medidas de regulación de empleo para aquellos trabajadores que causaron baja durante los primeros meses del año natural. En segundo lugar, por el propio Tribunal Supremo que, poco sensible a la finalidad última de la creación del recurso de casación para la unificación de doctrina, consiente la situación de evidente desigualdad entre trabajadores de un mismo colectivo. </w:t>
      </w:r>
    </w:p>
    <w:p w:rsidR="006854DA" w:rsidRDefault="006854DA" w:rsidP="006854DA">
      <w:pPr>
        <w:pStyle w:val="TextoNormal"/>
      </w:pPr>
      <w:r>
        <w:t xml:space="preserve">Y a propósito del derecho a la tutela judicial efectiva denuncia una triple queja: </w:t>
      </w:r>
    </w:p>
    <w:p w:rsidR="006854DA" w:rsidRDefault="006854DA" w:rsidP="006854DA">
      <w:pPr>
        <w:pStyle w:val="TextoNormal"/>
      </w:pPr>
      <w:r>
        <w:t xml:space="preserve">- La exigencia de que sea firme la Sentencia aportada como término de comparación en el recurso de casación para la unificación de doctrina se aplica a un supuesto muy especial, en el que la Sentencia alegada no había devenido firme precisamente porque había sido objeto de idéntico medio de impugnación invocando como contradictoria la aquí recurrida. El Tribunal Supremo en vez de rechazar el absurdo a que conduce la aplicación literal y rigorista del requisito de la firmeza, desestima el recurso sin entrar en el fondo del asunto. </w:t>
      </w:r>
    </w:p>
    <w:p w:rsidR="006854DA" w:rsidRDefault="006854DA" w:rsidP="006854DA">
      <w:pPr>
        <w:pStyle w:val="TextoNormal"/>
      </w:pPr>
      <w:r>
        <w:t xml:space="preserve">- Asimismo, la desestimación del recurso por no determinar la infracción cometida por la Sentencia recurrida es excesivamente formalista. En el escrito de interposición se afirmaba claramente que infringía la Resolución administrativa, la propia doctrina de la Sala y la prohibición de discriminación al permitir una interpretación que creaba injustificadas diferencias económicas a favor de un grupo de trabajadores por el mero hecho de haber nacido en los primeros meses del año natural. </w:t>
      </w:r>
    </w:p>
    <w:p w:rsidR="006854DA" w:rsidRDefault="006854DA" w:rsidP="006854DA">
      <w:pPr>
        <w:pStyle w:val="TextoNormal"/>
      </w:pPr>
      <w:r>
        <w:t xml:space="preserve">- Finalmente, ha ocasionado indefensión la omisión del trámite de audiencia previsto en el art. 223 de la L.P.L. cuando pudiera concurrir alguna de las causas de inadmisión del recurso. </w:t>
      </w:r>
    </w:p>
    <w:p w:rsidR="006854DA" w:rsidRDefault="006854DA" w:rsidP="006854DA">
      <w:pPr>
        <w:pStyle w:val="TextoNormal"/>
      </w:pPr>
      <w:r>
        <w:t>Solicita, por ello, la nulidad de la Sentencia impugnada para que el Tribunal Supremo, entrando en el fondo del asunto, case la Sentencia del Tribunal Superior de Justicia y, al amparo del art. 56 de la LOTC, la suspensión de la ejecución de la resolución recurrida y, en consecuencia, la del Tribunal Superior de Justicia.</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La Sección Segunda en providencia de 4 de junio de 1996 acordó, a tenor de lo dispuesto en el art. 50.3 de la LOTC, conceder un plazo común de diez días al solicitante de </w:t>
      </w:r>
      <w:r>
        <w:lastRenderedPageBreak/>
        <w:t xml:space="preserve">amparo y al Ministerio Fiscal para alegar lo que estimaran pertinente en relación con la posible existencia del motivo de inadmisión prevenido en el art. 50.1 c) de la LOTC. Ambos interesaron la admisión a trámite del recurso, el Fiscal ante el Tribunal Constitucional sólo respecto de la vulneración del art. 14 C.E. </w:t>
      </w:r>
    </w:p>
    <w:p w:rsidR="006854DA" w:rsidRDefault="006854DA" w:rsidP="006854DA">
      <w:pPr>
        <w:pStyle w:val="TextoNormal"/>
      </w:pPr>
      <w:r>
        <w:t xml:space="preserve">La Sección en providencia del 15 de julio de 1996 acordó admitir a trámite la demanda de amparo, sin perjuicio de lo que resulte de los antecedentes; a tenor de lo dispuesto en el art. 51 de la LOTC, requerir atentamente a las Salas de lo Social del Tribunal Supremo y del Tribunal Superior de Justicia de Cataluña y al Juzgado de lo Social núm. 14 de Barcelona para que remitan testimonio de las actuaciones y practiquen los correspondientes emplazamientos; formar la oportuna pieza separada de suspensión y otorgar un plazo común de cinco días al Ministerio Fiscal y a la Procuradora Sra. Rincón Mayoral para alegar lo procedente sobre la acumulación al presente recurso del tramitado por la Sala Segunda bajo el núm. 3.075/95. </w:t>
      </w:r>
    </w:p>
    <w:p w:rsidR="006854DA" w:rsidRDefault="006854DA" w:rsidP="006854DA">
      <w:pPr>
        <w:pStyle w:val="TextoNormal"/>
      </w:pPr>
      <w:r>
        <w:t>La Sala Primera en Auto de 22 de julio de 1996 acordó denegar la suspensión de la ejecución de la Sentencia impugnada.</w:t>
      </w:r>
    </w:p>
    <w:p w:rsidR="006854DA" w:rsidRDefault="006854DA" w:rsidP="006854DA">
      <w:pPr>
        <w:pStyle w:val="TextoNormal"/>
      </w:pPr>
    </w:p>
    <w:p w:rsidR="006854DA" w:rsidRDefault="006854DA" w:rsidP="006854DA">
      <w:pPr>
        <w:pStyle w:val="TextoNormal"/>
      </w:pPr>
      <w:r w:rsidRPr="006854DA">
        <w:rPr>
          <w:rStyle w:val="NumeroAFNegritaCaracter"/>
        </w:rPr>
        <w:t>5</w:t>
      </w:r>
      <w:r>
        <w:t>. Mediante escrito registrado en este Tribunal el 9 de agosto de 1995 el Procurador de los Tribunales don Fernando Díaz Zorita-Cantó, en nombre y representación del Comité de Empresa de GEC ALSTHOM TRANSPORTE ELECTROMECÁNICA, S.A., sucesora de La Maquinista Terrestre y Marítima S.A., interpuso recurso de amparo, al que se le asignó el núm. 3.075/95, contra la Sentencia de la Sala de lo Social del Tribunal Supremo de 3 de mayo de 1995, recaída en el recurso de casación para la unificación de doctrina núm. 1.887/94.</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La demanda, basada en la situación fáctica antes descrita en el antecedente 2, considera lesionados los arts. 14 y 24.1 C.E. Argumenta respecto del derecho a la tutela judicial efectiva que la resolución impugnada vulnera los mismos principios que se intentan proteger al establecer el requisito de la firmeza de la decisión aportada como término de contraste, es decir, evitar que se dicten Sentencias contrarias o no coincidentes entre sí, máxime cuando ambos colectivos pertenecen a la misma empresa y la demanda en su día planteada era idéntica. De haber resuelto el Tribunal Supremo en fechas distintas, hubiese devenido firme la Sentencia del Tribunal Superior de Justicia. La inadmisión del recurso se basa en una aplicación desproporcionada de las normas procesales. </w:t>
      </w:r>
    </w:p>
    <w:p w:rsidR="006854DA" w:rsidRDefault="006854DA" w:rsidP="006854DA">
      <w:pPr>
        <w:pStyle w:val="TextoNormal"/>
      </w:pPr>
      <w:r>
        <w:t xml:space="preserve">Y en cuanto al principio de igualdad ante la ley, que provoca sin causa ni razón una desigualdad en las consecuencias jurídicas aplicables a supuestos de hecho idénticos. Ambos conflictos nacen de la interpretación de la misma cláusula o acuerdo del expediente de regulación de empleo y siguieron la misma tramitación. </w:t>
      </w:r>
    </w:p>
    <w:p w:rsidR="006854DA" w:rsidRDefault="006854DA" w:rsidP="006854DA">
      <w:pPr>
        <w:pStyle w:val="TextoNormal"/>
      </w:pPr>
      <w:r>
        <w:t>Interesa, por ello, la estimación del recurso de casación para la unificación de doctrina en su día interpuesto y la declaración del derecho ya reconocido a los compañeros de MEINFESA.</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La Sección Cuarta en providencia de 29 de mayo de 1996 acordó, de conformidad con lo dispuesto en el art. 50.3 de la LOTC, conceder al demandante de amparo y al Ministerio Fiscal el plazo común de diez días para formular las alegaciones que estimaran pertinentes en relación con la carencia manifiesta de contenido constitucional de la demanda. Ambos solicitaron la admisión a trámite del recurso, el Fiscal ante el Tribunal Constitucional sólo en lo relativo a la vulneración del art. 14 C.E. </w:t>
      </w:r>
    </w:p>
    <w:p w:rsidR="006854DA" w:rsidRDefault="006854DA" w:rsidP="006854DA">
      <w:pPr>
        <w:pStyle w:val="TextoNormal"/>
      </w:pPr>
      <w:r>
        <w:lastRenderedPageBreak/>
        <w:t>La Sección, en providencia de 15 de julio de 1996, acordó admitir a trámite la demanda; en aplicación de lo dispuesto en el art. 51 de la LOTC, dirigir atenta comunicación a los órganos judiciales para que remitan certificación o fotocopia adverada de las actuaciones y practiquen los correspondientes emplazamientos, y conceder un plazo de diez días a la parte recurrente y al Ministerio Fiscal para alegar lo que estimaran pertinente sobre la posible acumulación del presente recurso al seguido en la Sala Primera con el núm. 2.831/95.</w:t>
      </w:r>
    </w:p>
    <w:p w:rsidR="006854DA" w:rsidRDefault="006854DA" w:rsidP="006854DA">
      <w:pPr>
        <w:pStyle w:val="TextoNormal"/>
      </w:pPr>
    </w:p>
    <w:p w:rsidR="006854DA" w:rsidRDefault="006854DA" w:rsidP="006854DA">
      <w:pPr>
        <w:pStyle w:val="TextoNormal"/>
      </w:pPr>
      <w:r w:rsidRPr="006854DA">
        <w:rPr>
          <w:rStyle w:val="NumeroAFNegritaCaracter"/>
        </w:rPr>
        <w:t>8</w:t>
      </w:r>
      <w:r>
        <w:t>. La Sala Primera en Auto de 25 de septiembre de 1996 acordó la acumulación de los recursos.</w:t>
      </w:r>
    </w:p>
    <w:p w:rsidR="006854DA" w:rsidRDefault="006854DA" w:rsidP="006854DA">
      <w:pPr>
        <w:pStyle w:val="TextoNormal"/>
      </w:pPr>
    </w:p>
    <w:p w:rsidR="006854DA" w:rsidRDefault="006854DA" w:rsidP="006854DA">
      <w:pPr>
        <w:pStyle w:val="TextoNormal"/>
      </w:pPr>
      <w:r w:rsidRPr="006854DA">
        <w:rPr>
          <w:rStyle w:val="NumeroAFNegritaCaracter"/>
        </w:rPr>
        <w:t>9</w:t>
      </w:r>
      <w:r>
        <w:t>. La Sección Segunda en providencia de 18 de noviembre de 1996 acordó tener por personado y parte al Procurador Sr. Díaz Zorita-Cantó, en nombre y representación del Comité de Empresa de GEC ALSTHOM TRANSPORTE ELECTROMECÁNICA, S.A.; tener por recibidos los testimonios de las actuaciones remitidos y dar vista de todo lo actuado por un plazo común de veinte días al Ministerio Fiscal y a los Procuradores personados para presentar las alegaciones que a su derecho convengan.</w:t>
      </w:r>
    </w:p>
    <w:p w:rsidR="006854DA" w:rsidRDefault="006854DA" w:rsidP="006854DA">
      <w:pPr>
        <w:pStyle w:val="TextoNormal"/>
      </w:pPr>
    </w:p>
    <w:p w:rsidR="006854DA" w:rsidRDefault="006854DA" w:rsidP="006854DA">
      <w:pPr>
        <w:pStyle w:val="TextoNormal"/>
      </w:pPr>
      <w:r w:rsidRPr="006854DA">
        <w:rPr>
          <w:rStyle w:val="NumeroAFNegritaCaracter"/>
        </w:rPr>
        <w:t>10</w:t>
      </w:r>
      <w:r>
        <w:t>. La representación del Comité de Empresa insistió en las consideraciones ya vertidas en su demanda.</w:t>
      </w:r>
    </w:p>
    <w:p w:rsidR="006854DA" w:rsidRDefault="006854DA" w:rsidP="006854DA">
      <w:pPr>
        <w:pStyle w:val="TextoNormal"/>
      </w:pPr>
    </w:p>
    <w:p w:rsidR="006854DA" w:rsidRDefault="006854DA" w:rsidP="006854DA">
      <w:pPr>
        <w:pStyle w:val="TextoNormal"/>
      </w:pPr>
      <w:r w:rsidRPr="006854DA">
        <w:rPr>
          <w:rStyle w:val="NumeroAFNegritaCaracter"/>
        </w:rPr>
        <w:t>11</w:t>
      </w:r>
      <w:r>
        <w:t>. La representación de GEC ALSTHOM TRANSPORTE, S.A. reiteró lo expuesto en la demanda inicial. Añadió que se trata de una situación excepcional que el Tribunal Supremo debió entender y evaluar, admitiendo una excepción al principio general establecido en la L.P.L. Lo contrario supondría que cuando dos Sentencias contradictorias se dicten casi simultáneamente, ninguna de las partes perjudicadas podrá recurrirlas en casación para la unificación de doctrina. De otro lado, la Ley en ningún momento exige que la infracción imputada a la Sentencia recurrida se denuncie con una fórmula concreta o en un lugar determinado del recurso.</w:t>
      </w:r>
    </w:p>
    <w:p w:rsidR="006854DA" w:rsidRDefault="006854DA" w:rsidP="006854DA">
      <w:pPr>
        <w:pStyle w:val="TextoNormal"/>
      </w:pPr>
    </w:p>
    <w:p w:rsidR="006854DA" w:rsidRDefault="006854DA" w:rsidP="006854DA">
      <w:pPr>
        <w:pStyle w:val="TextoNormal"/>
      </w:pPr>
      <w:r w:rsidRPr="006854DA">
        <w:rPr>
          <w:rStyle w:val="NumeroAFNegritaCaracter"/>
        </w:rPr>
        <w:t>12</w:t>
      </w:r>
      <w:r>
        <w:t xml:space="preserve">. El Fiscal ante el Tribunal Constitucional interesó el otorgamiento del amparo. Ante todo y por lo que se refiere al orden de análisis de los derechos fundamentales alegados, señala que en supuestos semejantes el Tribunal ha optado por detenerse en primer lugar en el examen de la posible conculcación del derecho a la tutela judicial efectiva, solución extrapolable al presente caso por una doble razón. El amparo otorgado por defecto de tutela obligaría a la anulación de las Sentencias y al dictado de otra u otras que pudieran dar lugar a la satisfacción del derecho a la igualdad, haciendo innecesario un pronunciamiento al respecto por parte de este Tribunal. El carácter peculiar de las Sentencias impugnadas ha dejado de hecho imprejuzgada la presunta contradicción de las Sentencias del Tribunal Superior de Justicia, con lo que tampoco se puede ejercer crítica sobre un juicio de igualdad que no se ha llevado a cabo. De otro lado, no cabría inferir la infracción del derecho a la igualdad en la aplicación de la ley de la apreciación de un óbice procesal para no penetrar en el fondo de la pretensión. </w:t>
      </w:r>
    </w:p>
    <w:p w:rsidR="006854DA" w:rsidRDefault="006854DA" w:rsidP="006854DA">
      <w:pPr>
        <w:pStyle w:val="TextoNormal"/>
      </w:pPr>
      <w:r>
        <w:t xml:space="preserve">En cuanto a la doctrina constitucional aplicable, aunque no faltan pronunciamientos recientes en que el Tribunal Constitucional se autolimita en su capacidad de control de los requisitos procesales para acceder a la vía del recurso (SSTC 141/1994 y 37/1995), debe prevalecer una inteligencia antiformalista de los mismos que evite resultados no queridos </w:t>
      </w:r>
      <w:r>
        <w:lastRenderedPageBreak/>
        <w:t xml:space="preserve">por el legislador ni por el constituyente y favorezca el principio de tutela judicial efectiva (STC 172/1995). Desde estas premisas la doctrina de la Sala del Tribunal Supremo es enteramente racional y lógica, entendida en sus genéricos términos, pero aplicada al caso aquí contemplado se revela carente de aquellas cualidades. Nunca se podría entrar en el fondo de la contradicción si se juzgaran simultáneamente los recursos, toda vez que la excepción de firmeza afectaría a ambos. Y si se juzgaran separadamente, en distintos tiempos, el señalamiento de la votación y fallo del primero perjudicaría la posición del recurrente que vería apreciada la excepción de falta de firmeza en su pleito, mientras que el segundo se vería beneficiado por la firmeza de la Sentencia de contraste que ya no constituiría óbice procesal. Otras veces la firmeza o no dependería de que la Sala apreciara un motivo de inadmisión, lo que también alteraría el tempus de la firmeza con beneficio del pleito retrasado. En definitiva, conduce a efectos absurdos, cuando no diabólicos, y es contraria a la tutela judicial efectiva que ha de proteger, de un lado, una resolución de fondo y, de otro, la interpretación antiformalista de la norma. </w:t>
      </w:r>
    </w:p>
    <w:p w:rsidR="006854DA" w:rsidRDefault="006854DA" w:rsidP="006854DA">
      <w:pPr>
        <w:pStyle w:val="TextoNormal"/>
      </w:pPr>
      <w:r>
        <w:t>El amparo, pues, ha de otorgarse por lesión del art. 24.1 C.E., lo que excusa abordar la lesión del derecho a la igualdad. Las resoluciones impugnadas deben ser anuladas para que el Tribunal Supremo dicte otra u otras en la que no se aprecie como óbice de enjuiciamiento sobre el fondo la no firmeza de las Sentencias de contraste. Que la dictada en el recurso interpuesto por la empresa haya apreciado otro motivo de inadmisión, consistente en no determinar la infracción legal que se imputa a la Sentencia recurrida, es irrelevante por cuanto ello no limita la reproducción de tal aseveración en la nueva que se dicte.</w:t>
      </w:r>
    </w:p>
    <w:p w:rsidR="006854DA" w:rsidRDefault="006854DA" w:rsidP="006854DA">
      <w:pPr>
        <w:pStyle w:val="TextoNormal"/>
      </w:pPr>
    </w:p>
    <w:p w:rsidR="006854DA" w:rsidRDefault="006854DA" w:rsidP="006854DA">
      <w:pPr>
        <w:pStyle w:val="TextoNormal"/>
      </w:pPr>
      <w:r w:rsidRPr="006854DA">
        <w:rPr>
          <w:rStyle w:val="NumeroAFNegritaCaracter"/>
        </w:rPr>
        <w:t>13</w:t>
      </w:r>
      <w:r>
        <w:t>. Por providencia de 14 de julio de 1997 se acordó señalar el siguiente día 15 de julio para deliberación y votación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Las demandas de amparo formalmente se dirigen contra las referidas Sentencias de la Sala de lo Social del Tribunal Supremo de 3 de mayo de 1995, desestimatorias de los recursos de casación para la unificación de doctrina respectivamente interpuestos por los ahora solicitantes de amparo. La desestimación, aunque en puridad es una decisión de inadmisión no calificada de tal por el estadio procesal en que se adoptó, se basa en una causa común a ambos recursos -la falta de firmeza de la Sentencia invocada como contradictoria- y otra específica del formulado por GEC ALSTHOM TRANSPORTE, S.A. -su escrito no contenía una fundamentación de la infracción legal cometida en la Sentencia impugnada-. Según se ha reflejado en los antecedentes, la Sala de lo Social del Tribunal Superior de Justicia de Cataluña, en Sentencias de 10 de marzo y 6 de abril de 1994, había interpretado de forma diferente cómo debía cuantificarse la retribución anual neta del trabajador, que servía de módulo para determinar el complemento empresarial de las prestaciones públicas por desempleo, en virtud de lo acordado en Resolución de la Administración laboral de la Generalidad de Cataluña de 26 de julio de 1991. E impugnadas en casación para la unificación de doctrina, los recurrentes alegaron como término de contraste la en cada caso favorable a sus contrapuestas pretensiones.</w:t>
      </w:r>
    </w:p>
    <w:p w:rsidR="006854DA" w:rsidRDefault="006854DA" w:rsidP="006854DA">
      <w:pPr>
        <w:pStyle w:val="TextoNormal"/>
      </w:pPr>
      <w:r>
        <w:t xml:space="preserve">Los demandantes de amparo estiman vulnerados los arts. 14 y 24.1 C.E., pero sus quejas no son idénticas. Coinciden en que la inadmisión de la casación al exigir, incluso en este peculiar supuesto, la firmeza de la Sentencia aportada como contradictoria, lesiona el derecho a la tutela judicial efectiva y perpetúa una situación de injustificada desigualdad </w:t>
      </w:r>
      <w:r>
        <w:lastRenderedPageBreak/>
        <w:t>entre trabajadores pertenecientes a un mismo colectivo. La empresa extiende, además, la violación del art. 24.1 C.E. a la apreciación de la segunda causa de inadmisión y a la inobservancia del trámite de audiencia que contempla el art. 223.1 de la L.P.L., y la del art. 14 C.E., en cierto modo a la Sala de lo Social del Tribunal Superior de Justicia por haber emitido dos pronunciamientos contradictorios en casos iguales.</w:t>
      </w:r>
    </w:p>
    <w:p w:rsidR="006854DA" w:rsidRDefault="006854DA" w:rsidP="006854DA">
      <w:pPr>
        <w:pStyle w:val="TextoNormal"/>
      </w:pPr>
      <w:r>
        <w:t>Por su parte, el Ministerio Fiscal, que comparte la existencia de una lesión del art. 24.1 C.E.  porque el requisito de la firmeza impide resolver la contradicción denunciada en casación, atinadamente señala que deviene prioritario el examen del agravio relativo a la inadmisión de los recursos, pues de prosperar, haría innecesario analizar el reproche atinente al art. 14 C.E.</w:t>
      </w:r>
    </w:p>
    <w:p w:rsidR="006854DA" w:rsidRDefault="006854DA" w:rsidP="006854DA">
      <w:pPr>
        <w:pStyle w:val="TextoNormal"/>
      </w:pPr>
    </w:p>
    <w:p w:rsidR="006854DA" w:rsidRDefault="006854DA" w:rsidP="006854DA">
      <w:pPr>
        <w:pStyle w:val="TextoNormal"/>
      </w:pPr>
      <w:r w:rsidRPr="006854DA">
        <w:rPr>
          <w:rStyle w:val="NumeroAFNegritaCaracter"/>
        </w:rPr>
        <w:t>2</w:t>
      </w:r>
      <w:r>
        <w:t>. En la reciente STC 211/1996 el Pleno de este Tribunal ha reiterado que el art. 24.1 C.E.  garantiza el acceso a la jurisdicción como elemento esencial del contenido de la tutela judicial, consistente en provocar la actividad jurisdiccional que desemboque en la decisión de un Juez. En cambio,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siendo imaginable, posible y real la eventualidad de que no existan, salvo en lo penal. Respecto al acceso a los recursos establecidos por la Ley, el art.  24 C.E. solamente veda que la vía del recurso sea cerrada arbitrariamente o intuitu personae. Cuando existen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w:t>
      </w:r>
    </w:p>
    <w:p w:rsidR="006854DA" w:rsidRDefault="006854DA" w:rsidP="006854DA">
      <w:pPr>
        <w:pStyle w:val="TextoNormal"/>
      </w:pPr>
      <w:r>
        <w:t>Y desde la STC 37/1995 se ha matizado el criterio de la interpretación de la ley procesal en el sentido más favorable para la efectividad del acceso al recurso, de modo que la concurrencia de los presupuestos y el cumplimiento de los requisitos procesales exigidos para la admisibilidad de los recursos no son fiscalizables en sede constitucional, salvo que la decisión judicial incurra en arbitrariedad o descanse en un error patente (SSTC 46/1995, 58/1995, 138/1995, 149/1995, 70/1996, 160/1996, 202/1996 y 209/1996).</w:t>
      </w:r>
    </w:p>
    <w:p w:rsidR="006854DA" w:rsidRDefault="006854DA" w:rsidP="006854DA">
      <w:pPr>
        <w:pStyle w:val="TextoNormal"/>
      </w:pPr>
      <w:r>
        <w:t>En concreto, ya la STC 141/1994 había declarado que la apreciación de los presupuestos fácticos y jurídicos exigidos por el art. 216 de la L.P.L. de 1990 y de los requisitos legales relativos a la preparación o interposición del recurso de casación para la unificación de doctrina son cuestiones que pertenecen al ámbito de la legalidad ordinaria y no corresponde revisar a este Tribunal, salvo que la resolución judicial sea inmotivada o manifiestamente arbitraria (fundamento jurídico 4º in fine). Lo reitera la STC 53/1996.</w:t>
      </w:r>
    </w:p>
    <w:p w:rsidR="006854DA" w:rsidRDefault="006854DA" w:rsidP="006854DA">
      <w:pPr>
        <w:pStyle w:val="TextoNormal"/>
      </w:pPr>
      <w:r>
        <w:t>Por otro lado, recuerda la STC 172/1995 que las formalidades procesales no son valores autónomos que tengan sustantividad propia, sino que sólo sirven en la medida en que sean instrumentos para conseguir esa finalidad legítima y, por consiguiente, un recto entendimiento de los requisitos formales, incluidos los de los recursos, impide al legislador establecer exigencias no razonables y a los órganos judiciales efectuar interpretaciones apartadas de la efectividad del derecho en el que tiene su razón de ser.</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Afrontando ya desde estas premisas doctrinales las quejas exclusivas que en torno al art.  24.1 C.E. plantea el amparo interpuesto por la sociedad mercantil, es sabido que ex art.  223.1 de la L.P.L. el Magistrado Ponente dará cuenta a la Sala de la posible concurrencia de alguna de las causas de inadmisión del recurso y ésta, previa audiencia del recurrente y del Ministerio Fiscal, si así lo estima dictará Auto declarando la inadmisión y la </w:t>
      </w:r>
      <w:r>
        <w:lastRenderedPageBreak/>
        <w:t>firmeza de la resolución recurrida. Pero la comprobación de los presupuestos procesales exigidos para la viabilidad del recurso puede siempre abordarse o reemprenderse en la Sentencia, de oficio o a instancia de parte. La resolución preliminar de admisión no precluye que las partes personadas o el Ministerio Fiscal denuncien los defectos insubsanables de que pudiera adolecer el recurso en la primera ocasión en que se les faculta para hacerlo, pues de lo contrario se privaría al proponente de ejercer su derecho a oponer todas aquellas objeciones procesales que convengan a su defensa, ni tampoco el deber del órgano judicial de examinarlos de oficio.</w:t>
      </w:r>
    </w:p>
    <w:p w:rsidR="006854DA" w:rsidRDefault="006854DA" w:rsidP="006854DA">
      <w:pPr>
        <w:pStyle w:val="TextoNormal"/>
      </w:pPr>
      <w:r>
        <w:t>Así aconteció en el caso presente donde tanto el recurrido como el Ministerio Fiscal arguyeron la falta de firmeza de la Sentencia de contraste aportada.  Que las causas de inadmisión se aprecien en el trámite previsto en el art.  223.1 de la L.P.L. o en fase de Sentencia, no genera indefensión constitucionalmente relevante.</w:t>
      </w:r>
    </w:p>
    <w:p w:rsidR="006854DA" w:rsidRDefault="006854DA" w:rsidP="006854DA">
      <w:pPr>
        <w:pStyle w:val="TextoNormal"/>
      </w:pPr>
    </w:p>
    <w:p w:rsidR="006854DA" w:rsidRDefault="006854DA" w:rsidP="006854DA">
      <w:pPr>
        <w:pStyle w:val="TextoNormal"/>
      </w:pPr>
      <w:r w:rsidRPr="006854DA">
        <w:rPr>
          <w:rStyle w:val="NumeroAFNegritaCaracter"/>
        </w:rPr>
        <w:t>4</w:t>
      </w:r>
      <w:r>
        <w:t>. Prescribe el art. 222 de la L.P.L. que el escrito de interposición del recurso deberá contener una fundamentación de la infracción legal cometida en la Sentencia impugnada. Al respecto la Sala Cuarta del Tribunal Supremo viene interpretando que la alusión a la infracción legal como motivo propio de esta excepcional casación supone una implícita remisión al motivo pertinente previsto en el art. 205 de la L.P.L.</w:t>
      </w:r>
    </w:p>
    <w:p w:rsidR="006854DA" w:rsidRDefault="006854DA" w:rsidP="006854DA">
      <w:pPr>
        <w:pStyle w:val="TextoNormal"/>
      </w:pPr>
      <w:r>
        <w:t>Exégesis ésta que en modo alguno puede tildarse de irrazonable o arbitraria, ni tampoco la inadmisión del recurso ahora examinado basada en tal causa. En efecto, el escrito está estructurado en tres apartados: una breve exposición de los hechos y de las dos demandas idénticas enjuiciadas por el Tribunal Superior de Justicia, y un análisis de ambas Sentencias donde se limita a considerar no ajustada a Derecho la recurrida por la propia argumentación vertida en la contradictoria, la cual se ciñe en síntesis a rechazar la infracción de los preceptos relativos a la interpretación de las normas jurídicas y los contratos, denunciada por la parte actora. Por tanto, no contiene ninguno de los motivos propios de la casación, no acusa infracción por la Sentencia recurrida de concretas normas del ordenamiento jurídico o de la jurisprudencia, ni incluye consiguientemente razonamientos dirigidos a fundamentar la pertinencia del recurso.</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En lo referente al agravio compartido tanto por los recurrentes como por el Ministerio Fiscal, importa destacar que la más moderna jurisprudencia de la Sala Cuarta del Tribunal Supremo mantiene, sin fisuras, que únicamente son idóneas para el juicio de contradicción aquellas Sentencias de las Salas de lo Social que hayan ganado firmeza. Algunas resoluciones han explicitado las razones de tal exigencia: "la finalidad que es propia de este excepcional recurso -eludir el quebranto que en la unidad de la interpretación del derecho producen Sentencias de suplicación que resolvieran de manera distinta pretensiones que fueran sustancialmente iguales en la totalidad de sus elementos- determina la necesidad de que la Sentencia que se invoque para cotejo tenga el carácter de firme, pues, de no cumplir esta condición, tal quebranto no habría llegado a consumarse, ya que a través del recurso que cabría interponer contra la Sentencia a comparar podría ser rectificada la doctrina que en ella se sentara. El requisito de firmeza es deducible del art.  225.1 del Texto Articulado de la Ley de Procedimiento Laboral, en tanto que dispone que los pronunciamientos de esta Sala en ningún caso alcanzarán a las situaciones jurídicas creadas por las resoluciones precedentes a la impugnada -las aportadas como término de comparación-, lo cual supone que dichas situaciones jurídicas deben haber sido alcanzadas con carácter irreversible" (Sentencia de 24 de octubre de 1994). "... Ya recurrida la presunta Sentencia contraria a la que es objeto de recurso, la función de éste de unificar la doctrina va a ser </w:t>
      </w:r>
      <w:r>
        <w:lastRenderedPageBreak/>
        <w:t>llevada a cabo con ella..." (Sentencia de 30 de diciembre de 1994). "... De otro lado, el permitir la utilización de Sentencias no firmes a los fines de la contradicción..., supone abrir el campo de posibilidades de que se dicten, en este último estadio procesal, Sentencias contrarias o no coincidentes entre sí, en manifiesta contraposición a los objetivos y finalidades que este especialísimo recurso persigue" (Sentencias de 25 de marzo, 24 de noviembre, 28 de diciembre de 1994 y 12 de junio de 1995).</w:t>
      </w:r>
    </w:p>
    <w:p w:rsidR="006854DA" w:rsidRDefault="006854DA" w:rsidP="006854DA">
      <w:pPr>
        <w:pStyle w:val="TextoNormal"/>
      </w:pPr>
      <w:r>
        <w:t>La jurisprudencia ya la había predicado del recurso de revisión regulado en el antiguo art.  102.1 b) de la L.J.C.A. (por ejemplo, Sentencias del Tribunal Supremo de 6 de noviembre de 1990 y 17 de marzo de 1995), precedente del recurso de casación para la unificación de doctrina que introdujo el art. 102 a) de dicha Ley, en la redacción de la Ley 10/1992. Así se deduce del propio carácter del recurso cuya procedencia no puede depender de un pronunciamiento futuro, y del propio tenor de la Ley, pues para que pueda entenderse que se ha llegado verdaderamente a un pronunciamiento sobre un asunto, es menester que éste sea firme.</w:t>
      </w:r>
    </w:p>
    <w:p w:rsidR="006854DA" w:rsidRDefault="006854DA" w:rsidP="006854DA">
      <w:pPr>
        <w:pStyle w:val="TextoNormal"/>
      </w:pPr>
      <w:r>
        <w:t>Como señaló el ATC 22/1996, se trata de una línea jurisprudencial consolidada que ha de ser considerada razonable; es un requisito que viene impuesto por la propia finalidad del recurso, pues si éste no se apoya en Sentencias firmes como término de comparación, falta la base para la unificación de doctrina, toda vez que la contenida en las Sentencias pendientes de recursos viene condicionada por el resultado de los mismos.</w:t>
      </w:r>
    </w:p>
    <w:p w:rsidR="006854DA" w:rsidRDefault="006854DA" w:rsidP="006854DA">
      <w:pPr>
        <w:pStyle w:val="TextoNormal"/>
      </w:pPr>
      <w:r>
        <w:t>De otra parte, en punto al momento procesal en que es exigible la firmeza de la Sentencia contradictoria, la Sala de lo Social del Tribunal Supremo constituida en Sala general dictó la Sentencia de 14 de julio de 1995, fijando mayoritariamente la fecha de apreciación de la firmeza en el momento de la publicación de la Sentencia recurrida, frente al voto particular que la pospone al de la preparación del recurso porque sólo entonces se entabla el debate procesal.</w:t>
      </w:r>
    </w:p>
    <w:p w:rsidR="006854DA" w:rsidRDefault="006854DA" w:rsidP="006854DA">
      <w:pPr>
        <w:pStyle w:val="TextoNormal"/>
      </w:pPr>
    </w:p>
    <w:p w:rsidR="006854DA" w:rsidRDefault="006854DA" w:rsidP="006854DA">
      <w:pPr>
        <w:pStyle w:val="TextoNormal"/>
      </w:pPr>
      <w:r w:rsidRPr="006854DA">
        <w:rPr>
          <w:rStyle w:val="NumeroAFNegritaCaracter"/>
        </w:rPr>
        <w:t>6</w:t>
      </w:r>
      <w:r>
        <w:t>. Ciertamente esta tesis, en cualquiera de sus variantes temporales, limita el acceso al recurso de casación para la unificación de doctrina, en particular cuando la falta de firmeza deriva de la pendencia de tal medio de impugnación, dado que en la actualidad su sistemática utilización conlleva una práctica imposibilidad de resolverlos dentro del plazo legalmente previsto (art.  225.1 de la L.P.L.). Al margen de este dato, en principio coyuntural, no siempre la formación de la jurisprudencia se llevará a cabo con el recurso previamente articulado, pues no es descartable que concluya con una decisión meramente procesal que no solvente la contradicción doctrinal. Es más, en casos como el ahora enjuiciado, la inadmisión de ambos recursos impide unificar la interpretación del Derecho.</w:t>
      </w:r>
    </w:p>
    <w:p w:rsidR="006854DA" w:rsidRDefault="006854DA" w:rsidP="006854DA">
      <w:pPr>
        <w:pStyle w:val="TextoNormal"/>
      </w:pPr>
      <w:r>
        <w:t>Subsisten, no obstante, las consideraciones de seguridad jurídica y economía procesal en la constitución de la controversia de unificación de doctrina que fundamentan el criterio. Para la Sala de lo Social del Tribunal Supremo, la contradicción es un requisito de recurribilidad y por tanto sólo las Sentencias que la causan de modo efectivo tienen acceso al recurso. Esta contradicción real y efectiva únicamente es apreciable cuando las Sentencias que la acusan tienen la condición de firmes; mientras tanto la contradicción es meramente posible pero no efectiva (Sentencia de 16 de junio de 1995). La tramitación del recurso no puede depender de que sobrevenga o no un presupuesto que la haga viable (Sentencia de 14 de julio de 1995).</w:t>
      </w:r>
    </w:p>
    <w:p w:rsidR="006854DA" w:rsidRDefault="006854DA" w:rsidP="006854DA">
      <w:pPr>
        <w:pStyle w:val="TextoNormal"/>
      </w:pPr>
      <w:r>
        <w:t xml:space="preserve">Un doble razonamiento adicional que engarza con la razón de ser de este medio de impugnación y su función casacional, robustece la inexistencia de lesión del art. 24.1 C.E.  Como se desprende de la Exposición de Motivos de la Ley 7/1989, de Bases de Procedimiento Laboral, la instauración del recurso de casación para la unificación de doctrina </w:t>
      </w:r>
      <w:r>
        <w:lastRenderedPageBreak/>
        <w:t>trata de evitar el peligro de dispersión en la interpretación uniforme de la legislación social, derivado de la existencia de múltiples Tribunales Superiores de Justicia que culminan la organización judicial en el ámbito territorial de las respectivas Comunidades Autónomas (art. 152.1 C.E.).</w:t>
      </w:r>
    </w:p>
    <w:p w:rsidR="006854DA" w:rsidRDefault="006854DA" w:rsidP="006854DA">
      <w:pPr>
        <w:pStyle w:val="TextoNormal"/>
      </w:pPr>
      <w:r>
        <w:t>En estas hipótesis el recurso esencialmente cumple una finalidad nomofiláctica de depuración del ordenamiento en su aplicación por los Tribunales, al modo de la casación común. Y tal función de control de legalidad presupone la existencia de un ordenamiento jurídico único a aplicar por los órganos de la jurisdicción social, la articulación de un recurso de casación que, precisamente por estar fundado en la infracción de preceptos constitucionales o de normas estatales o supracomunitarias, justifica la intervención del Tribunal Supremo para asegurar la elaboración de una interpretación y jurisprudencia unitaria sobre dichas normas en todo el territorio nacional (SSTC 56/1990, fundamento jurídico 35, y 62/1990, fundamento jurídico 11).  Sin embargo, en el caso presente la controversia se caracteriza por su escado interés casacional; simplemente se discute la interpretación de un extremo concreto de una Resolución dictada por la Administración laboral de la Generalidad de Cataluña que afecta a un restringido círculo de destinatarios.</w:t>
      </w:r>
    </w:p>
    <w:p w:rsidR="006854DA" w:rsidRDefault="006854DA" w:rsidP="006854DA">
      <w:pPr>
        <w:pStyle w:val="TextoNormal"/>
      </w:pPr>
      <w:r>
        <w:t>En definitiva, ni siquiera en este peculiar supuesto la inadmisión de los recursos entraña una vulneración del derecho a la tutela judicial efectiva.</w:t>
      </w:r>
    </w:p>
    <w:p w:rsidR="006854DA" w:rsidRDefault="006854DA" w:rsidP="006854DA">
      <w:pPr>
        <w:pStyle w:val="TextoNormal"/>
      </w:pPr>
    </w:p>
    <w:p w:rsidR="006854DA" w:rsidRDefault="006854DA" w:rsidP="006854DA">
      <w:pPr>
        <w:pStyle w:val="TextoNormal"/>
      </w:pPr>
      <w:r w:rsidRPr="006854DA">
        <w:rPr>
          <w:rStyle w:val="NumeroAFNegritaCaracter"/>
        </w:rPr>
        <w:t>7</w:t>
      </w:r>
      <w:r>
        <w:t>. En cuanto al art. 14 C.E. la pretendida desigual aplicación de la Ley en modo alguno puede imputarse a las Sentencias de la Sala de lo Social del Tribunal Supremo porque, siguiendo sus propios precedentes, únicamente han apreciado óbices procesales que impiden el enjuiciamiento de la cuestión de fondo.</w:t>
      </w:r>
    </w:p>
    <w:p w:rsidR="006854DA" w:rsidRDefault="006854DA" w:rsidP="006854DA">
      <w:pPr>
        <w:pStyle w:val="TextoNormal"/>
      </w:pPr>
      <w:r>
        <w:t>La denuncia, pues, debe circunscribirse a las Sentencias de la Sala de lo Social del Tribunal Superior de Justicia de Cataluña, pero de entrada ha de sortearse un obstáculo. Constituye doctrina de este Tribunal que el principio de igualdad en la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de la C.E. o, al menos, entorpecería la necesaria evolución de la jurisprudencia, ante la posibilidad de someter a revisión todas las Sentencias anteriores contradictorias con las más recientes (SSTC 188/1987, 100/1988, 242/1992, 91/1993, 92/1993 y 152/1994).  Por tanto, el término de comparación aportado por la representación procesal del Comité de Empresa no sería idóneo, en la medida en que contrasta la Sentencia dictada el 10 de marzo de 1994 con la pronunciada el 6 de abril siguiente. Sin embargo, puede estimarse la coetaneidad de ambas resoluciones, como ya razonara la STC 2/1983, fundamento jurídico 6º, a la vista de la iniciación y desarrollo simultáneo en el tiempo de cada uno de los procesos que versaban sobre idéntica pretensión.</w:t>
      </w:r>
    </w:p>
    <w:p w:rsidR="006854DA" w:rsidRDefault="006854DA" w:rsidP="006854DA">
      <w:pPr>
        <w:pStyle w:val="TextoNormal"/>
      </w:pPr>
      <w:r>
        <w:t>En segundo lugar, la virtualidad del principio se circunscribe al ámbito normativo, se limita a eventuales desigualdades surgidas en la aplicación de una norma (STC 207/1992), a la modificación arbitraria por el mismo órgano judicial de sus precedentes, precedente entendido como línea jurisprudencial que constituye una doctrina ya consolidada (STC 63/1984), como concreta y definida orientación jurisprudencial de la que sean predicables los rasgos de generalidad, continuidad y firmeza (SSTC 142/1985 y 121/1986). Pero no se extiende al juicio sobre la interpretación y calificación de los hechos o de otros elementos jurídicamente relevantes (SSTC 183/1985, 13/1987 y 134/1991).</w:t>
      </w:r>
    </w:p>
    <w:p w:rsidR="006854DA" w:rsidRDefault="006854DA" w:rsidP="006854DA">
      <w:pPr>
        <w:pStyle w:val="TextoNormal"/>
      </w:pPr>
      <w:r>
        <w:t xml:space="preserve">En fin, para que pueda hablarse de desigualdad en la aplicación de la ley se necesita que un mismo órgano judicial en supuestos sustancialmente idénticos resuelva en sentido </w:t>
      </w:r>
      <w:r>
        <w:lastRenderedPageBreak/>
        <w:t>distinto, basándose para ello en criterios que supongan un voluntarismo selectivo a partir de argumentos ad personam o ad casum, es decir, no fundados en criterios de alcance general sino en las concretas circunstancias del caso (por todas, SSTC 160/1993, 375/1993, 196/1994, 205/1994, 34/1995, 47/1995 y 133/1995).</w:t>
      </w:r>
    </w:p>
    <w:p w:rsidR="006854DA" w:rsidRDefault="006854DA" w:rsidP="006854DA">
      <w:pPr>
        <w:pStyle w:val="TextoNormal"/>
      </w:pPr>
    </w:p>
    <w:p w:rsidR="006854DA" w:rsidRDefault="006854DA" w:rsidP="006854DA">
      <w:pPr>
        <w:pStyle w:val="TextoNormal"/>
      </w:pPr>
      <w:r w:rsidRPr="006854DA">
        <w:rPr>
          <w:rStyle w:val="NumeroAFNegritaCaracter"/>
        </w:rPr>
        <w:t>8</w:t>
      </w:r>
      <w:r>
        <w:t>. A la luz de esta doctrina tampoco se vislumbra una lesión del art. 14 C.E.  El órgano judicial no se ha apartado de un precedente firme y consolidado, sino que examina un problema novedoso que arranca de las discrepancias surgidas a la hora de aplicar lo resuelto por la Administración laboral autonómica en unos expedientes de regulación de empleo. De otra parte, las Sentencias no se basan en una distinta interpretación de la ley considerada aplicable, sino en un diverso entendimiento de cómo debe calcularse la retribución neta del trabajador que sirve de módulo al complemento empresarial -ha de computarse la realmente percibida o la que teóricamente hubiera percibido de haber prestado servicios todo el año-, divergencia que no puede ser corregida por la vía del art. 14 C.E. Por último, tampoco los fallos descansan en criterios intuitu personae.</w:t>
      </w:r>
    </w:p>
    <w:p w:rsidR="006854DA" w:rsidRDefault="006854DA" w:rsidP="006854DA">
      <w:pPr>
        <w:pStyle w:val="TextoNormal"/>
      </w:pPr>
    </w:p>
    <w:p w:rsidR="006854DA" w:rsidRDefault="006854DA" w:rsidP="006854DA">
      <w:pPr>
        <w:pStyle w:val="TextoNormal"/>
      </w:pPr>
      <w:r w:rsidRPr="006854DA">
        <w:rPr>
          <w:rStyle w:val="NumeroAFNegritaCaracter"/>
        </w:rPr>
        <w:t>9</w:t>
      </w:r>
      <w:r>
        <w:t>. Finalmente, reprochan los recurrentes que no se ha reparado la discriminación entre trabajadores pertenecientes a un mismo colectivo.  Olvidan, sin embargo, que para poder afirmar que una situación de desigualdad fáctica no imputable directamente a la norma -en nuestro caso, la fecha de cese de cada trabajador y su incidencia en la retención del I.R.P.F.-tiene relevancia jurídica, es preciso demostrar que existe en el ordenamiento un principio o norma del que deriva la necesidad de igualdad entre los desigualmente tratados, regla o criterio igualatorio que puede ser deducible de la Constitución o dimanar de las restantes fuentes del Derecho de rango legal o infralegal (SSTC 59/1982, 236/1994, 237/1994 y 9/1995 y AATC 221/1985, 541/1985, 675/1985 y 2/1989). Desde luego las partes nada argumentan a este respecto y, en lo tocante a la sociedad recurrente, conviene recordar que el recurso de amparo tiene por objeto la defensa de derechos fundamentales propios y no ajenos (por todos, AATC 350/1984 y 460/1986), y en este punto está defendiendo derechos cuya titularidad en su caso correspondería a los trabajadores afectados, no a la empresa, que carecería por ello de legitimación activa, al ni siquiera acreditar un interés legítimo en su preservación.</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los presentes recursos de amparo acumulados.</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quince de julio de mil novecientos noventa y siete.</w:t>
      </w:r>
    </w:p>
    <w:p w:rsidR="006854DA" w:rsidRDefault="006854DA" w:rsidP="006854DA">
      <w:pPr>
        <w:pStyle w:val="ParrafoNormal"/>
      </w:pPr>
    </w:p>
    <w:p w:rsidR="006854DA" w:rsidRDefault="006854DA" w:rsidP="006854DA">
      <w:pPr>
        <w:pStyle w:val="TextoNormalNegritaCentrado"/>
        <w:keepNext/>
      </w:pPr>
      <w:r>
        <w:t xml:space="preserve">Voto particular que formula el magistrado don Pablo García Manzano y al que se adhiere el magistrado don Manuel Jiménez de Parga y Cabrera a la </w:t>
      </w:r>
      <w:r>
        <w:lastRenderedPageBreak/>
        <w:t>sentencia recaída en los recursos de amparo acumulados núms.  2.831/95 Y 3.075/95.</w:t>
      </w:r>
    </w:p>
    <w:p w:rsidR="006854DA" w:rsidRDefault="006854DA" w:rsidP="006854DA">
      <w:pPr>
        <w:pStyle w:val="TextoNormalNegritaCentrado"/>
        <w:keepNext/>
      </w:pPr>
    </w:p>
    <w:p w:rsidR="006854DA" w:rsidRDefault="006854DA" w:rsidP="006854DA">
      <w:pPr>
        <w:pStyle w:val="TextoNormal"/>
      </w:pPr>
      <w:r>
        <w:t>1. Mi respetuosa discrepancia a la decisión mayoritaria recaída en los recursos de amparo acumulados números 2.831/95 y 3.075/95, que desestimó las correspondientes quejas, se centra en la argumentación que sustenta los fundamentos jurídicos 4º, 5º y 6º, núcleo del problema debatido en lo atinente a una diversa inteligencia del requisito del art.  222 de la Ley de Procedimiento Laboral y en la concurrencia en el caso -que la Sentencia niega, al igual que lo apreciara la Sala Cuarta del Tribunal Supremo-, del requisito de firmeza de una de las Sentencias impugnadas en suplicación (la dictada por la Sala de lo Social del T.S.J. de Cataluña el 10 de marzo de 1994).</w:t>
      </w:r>
    </w:p>
    <w:p w:rsidR="006854DA" w:rsidRDefault="006854DA" w:rsidP="006854DA">
      <w:pPr>
        <w:pStyle w:val="TextoNormal"/>
      </w:pPr>
      <w:r>
        <w:t>Entiendo, tal como expuse en la deliberación en Sala, que el recurso de casación para unificación de doctrina intentado (preparado e interpuesto) por los recurrentes en amparo ante dicha Sala del Tribunal Supremo, debió ser admitido y decidido en cuanto a la pretensión unificadora que ejercitaba.</w:t>
      </w:r>
    </w:p>
    <w:p w:rsidR="006854DA" w:rsidRDefault="006854DA" w:rsidP="006854DA">
      <w:pPr>
        <w:pStyle w:val="TextoNormal"/>
      </w:pPr>
      <w:r>
        <w:t>2. La casación unificadora de referencia, en el proceso laboral, no se articula sobre concretos y tasados motivos impugnatorios, a diferencia de la casación común u ordinaria. No hay aquí, en esta modalidad casacional, infracciones o quebrantamientos de forma o infracciones de ley. Lo que se recaba de la función jurisprudencial del Tribunal Supremo es que ante dos Sentencias dictadas en suplicación que, bajo los mismos hechos y causa petendi, y ante litigantes en igual situación, han llegado a fallos divergentes, los armonice y unifique estableciendo la doctrina correcta, disipando de tal modo la incertidumbre jurídica que tal desigualdad en la aplicación de la ley comporta. Cumple así la Sala Cuarta del Tribunal Supremo una función de certeza en el Derecho cuando éste se ha traducido en conflicto y en diversidad aplicativa, por los órganos jurisdiccionales de dicho orden jurisdiccional, el social o laboral.</w:t>
      </w:r>
    </w:p>
    <w:p w:rsidR="006854DA" w:rsidRDefault="006854DA" w:rsidP="006854DA">
      <w:pPr>
        <w:pStyle w:val="TextoNormal"/>
      </w:pPr>
      <w:r>
        <w:t>Por ello, con el máximo respeto, no comparto la apreciación sobre el requisito procesal del art. 222 de la L.P.L., relativo a la fundamentación de la infracción legal cometida en la Sentencia impugnada. No hay implícita remisión al motivo pertinente del art. 205 de dicha Ley procesal, porque casación ordinaria y unificadora no son reguladas en igual forma en cuanto a los motivos: el motivo de la casación laboral para unificación de doctrina es único, el de la contradicción entre Sentencias dictadas en suplicación, en la hipótesis de homologación antes sucintamente descrita, que exige, de un lado, mostrar la contradicción, y de otra parte, argüir sobre la infracción legal (normas del ordenamiento jurídico o jurisprudencia) cometida en la Sentencia que se recurre. Entiendo que ambas cosas concurrían en el recurso promovido por la Empresa "GEC ALSTHOM TRANSPORTE,S.A.", que, si formalmente no citaba preceptos concretos, ofrecía una mayor y más extensa fundamentación que el interpuesto en el otro recurso de casación. Se razonaba sobre la infracción legal aduciendo los argumentos de la Sentencia contradictoria o de contraste (la antecedente de 10 de marzo de 1994) y, en definitiva, la Sala Cuarta, al conocer del otro recurso, similar en todo al interpuesto por la citada Empresa, pudo conocer que la infracción no podía ser otra que la de los preceptos del Código Civil sobre interpretación de normas y de contratos, ya que la común discrepancia giraba en torno a la exégesis de la Resolución de la Administración Laboral autonómica que puso fin al expediente de regulación de empleo, origen del litigio. No debió, en mi criterio, apreciarse la inadmisión por ausencia de este requisito procesal, y al hacerlo se lesiona, con formalismo rigorista y opuesto al art. 24.1 CE, el derecho a la tutela judicial efectiva en la modalidad de acceso al recurso.</w:t>
      </w:r>
    </w:p>
    <w:p w:rsidR="006854DA" w:rsidRDefault="006854DA" w:rsidP="006854DA">
      <w:pPr>
        <w:pStyle w:val="TextoNormal"/>
      </w:pPr>
      <w:r>
        <w:lastRenderedPageBreak/>
        <w:t>3. Comparto el criterio de la Sentencia en torno a la exigencia del requisito de firmeza de la Sentencia de contraste para que pueda ser admitido este recurso de casación para la unificación de doctrina, y ello aunque no venga exigido por los preceptos de la L.P.L. Es una exigencia lógica, razonada por la jurisprudencia y que ya venía siendo reclamado por el antecedente remoto de esta modalidad casacional, como es el recurso de revisión contencioso-administrativo del art.  102.1 b) de la L.J., en la versión anterior a la reforma introducida por la Ley 10/1992, como la Sentencia mayoritaria viene con acierto a reconocer.</w:t>
      </w:r>
    </w:p>
    <w:p w:rsidR="006854DA" w:rsidRDefault="006854DA" w:rsidP="006854DA">
      <w:pPr>
        <w:pStyle w:val="TextoNormal"/>
      </w:pPr>
      <w:r>
        <w:t>Mi discrepancia se produce porque entiendo que la singularidad del caso en examen conducía a entender que la Sentencia invocada como de contraste en el recurso promovido por la antes citada empresa, es decir, la Sentencia de 10 de marzo de 1994, dictada por la Sala de lo Social del Tribunal Superior de Justicia de Cataluña, reunía el requisito de firmeza y así debió ser apreciado por las Sentencias impugnadas mediante los correspondientes recursos de amparo.</w:t>
      </w:r>
    </w:p>
    <w:p w:rsidR="006854DA" w:rsidRDefault="006854DA" w:rsidP="006854DA">
      <w:pPr>
        <w:pStyle w:val="TextoNormal"/>
      </w:pPr>
      <w:r>
        <w:t>4. Han de traerse a colación las singulares circunstancias del caso enjuiciado:</w:t>
      </w:r>
    </w:p>
    <w:p w:rsidR="006854DA" w:rsidRDefault="006854DA" w:rsidP="006854DA">
      <w:pPr>
        <w:pStyle w:val="TextoNormal"/>
      </w:pPr>
      <w:r>
        <w:t>A) En primer término, el simultáneo enjuiciamiento por la Sala Cuarta del Tribunal Supremo de los dos recursos de casación para la unificación de doctrina, en los que recayó Sentencia de la misma fecha, 3 de mayo de 1995.</w:t>
      </w:r>
    </w:p>
    <w:p w:rsidR="006854DA" w:rsidRDefault="006854DA" w:rsidP="006854DA">
      <w:pPr>
        <w:pStyle w:val="TextoNormal"/>
      </w:pPr>
      <w:r>
        <w:t>B) La Sentencia impugnada en dicha vía casacional, por don Miguel Jorba Benedicto y don Antonio Calvo Cucarella, dirigida contra la Sentencia de 10 de marzo de 1994, invocaba como Sentencia de contraste, a efectos de la exigible contradicción, la pronunciada por la misma Sala de lo Social del T.S.J. de Cataluña el 6 de abril de 1994, siendo así que mal puede hablarse de contradicción con una Sentencia de fecha posterior a la impugnada, tal como ha venido exigiendo, con rigor lógico, la jurisprudencia laboral (cfr. por todas la Sentencia de la Sala Cuarta del Tribunal Supremo de 24 de enero de 1994, dictada en el recurso núm. 983/92, con cita de la de 8 de marzo de 1993); no era, pues, Sentencia apta para la contradicción la invocada de 6 de abril de 1994, y como el único recurso o medio impugnativo frente a las Sentencias recaídas en suplicación es el de casación unificadora que nos ocupa, la citada Sentencia de la Sala de lo Social del Tribunal Superior de Cataluña de 10 de marzo de 1994 era una Sentencia firme ope legis, al ser claramente inadmisible por dicha razón el recurso de casación unificadora contra ella promovido.</w:t>
      </w:r>
    </w:p>
    <w:p w:rsidR="006854DA" w:rsidRDefault="006854DA" w:rsidP="006854DA">
      <w:pPr>
        <w:pStyle w:val="TextoNormal"/>
      </w:pPr>
      <w:r>
        <w:t>C) La firmeza en el caso que nos ocupa, ha de entenderse en la faceta de correlación entre las dos Sentencias de suplicación a que venimos aludiendo.  Existió contradicción, en los términos procesales expuestos, al recaer un pronunciamiento divergente en caso idéntico, en la anterior o de contraste de 10 de marzo anterior, firme por la razón antes expuesta. Debió así, en la respetuosa apreciación de este criterio disidente, resolverse una clara y patente divergencia interpretativa producida en el seno de una misma Sala de lo Social, al resolver en suplicación, y debió, en consecuencia, ser admitido el recurso de casación para unificación de doctrina interpuesto por la Empresa GEC ALSTHOM TRANSPORTE, S.A., contra la Sentencia dictada, por la Sala de lo Social del Tribunal Superior de Justicia de Cataluña el 6 de abril de 1994, en el recurso de suplicación núm. 5.379/93, porque dicho recurso de casación se atenía a las exigencias formales de dicha modalidad casacional, exigidas por los arts. 216 y siguientes de la L.P.L., y la contradicción reclamaba la solución unificadora que inspira dicho extraordinario medio impugnatorio, para que dos colectivos de trabajadores afectados por un mismo expediente de regulación de empleo no se vean entre sí sujetos, respecto a lo que ha de entenderse por salario neto anual (a efectos de la prestación complementaria a cargo de la Empresa), a dos criterios aplicativos diversos.</w:t>
      </w:r>
    </w:p>
    <w:p w:rsidR="006854DA" w:rsidRDefault="006854DA" w:rsidP="006854DA">
      <w:pPr>
        <w:pStyle w:val="TextoNormal"/>
      </w:pPr>
      <w:r>
        <w:lastRenderedPageBreak/>
        <w:t>5. Por todo ello, con el mayor respeto tanto al criterio mayoritario de la Sala, como a la tarea jurisprudencial del Tribunal Supremo, y, reconociendo que incumbe a éste la apreciación sobre si se observan o no los presupuestos procesales que abren el acceso a la función casacional, las razones expuestas justifican que, dada la singularidad del caso, la decisión de inadmisión -traducida en desestimación por llevarse a cabo en Sentencia- no se acomodó a las exigencias del derecho a la tutela judicial efectiva ex art. 24.1 C.E., por lo que procedía, a mi entender, la anulación de las Sentencias impugnadas para que se dictase nueva Sentencia mediante la que, con examen sobre el fondo, se solventase la contradicción que sustentaban los recursos de casación que han dado origen a los presentes recursos de amparo.</w:t>
      </w:r>
    </w:p>
    <w:p w:rsidR="006854DA" w:rsidRDefault="006854DA" w:rsidP="006854DA">
      <w:pPr>
        <w:pStyle w:val="TextoNormal"/>
      </w:pPr>
      <w:r>
        <w:t>Madrid, a quince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49" w:name="SENTENCIA_1997_133"/>
      <w:r>
        <w:lastRenderedPageBreak/>
        <w:t>SENTENCIA 133/1997, de 16 de julio de 1997</w:t>
      </w:r>
    </w:p>
    <w:bookmarkEnd w:id="49"/>
    <w:p w:rsidR="006854DA" w:rsidRDefault="006854DA" w:rsidP="006854DA">
      <w:pPr>
        <w:pStyle w:val="TtuloResolucin"/>
      </w:pPr>
      <w:r>
        <w:t>Pleno</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ECLI:ES:TC:1997:133</w:t>
      </w:r>
    </w:p>
    <w:p w:rsidR="006854DA" w:rsidRDefault="006854DA" w:rsidP="006854DA">
      <w:pPr>
        <w:pStyle w:val="SntesisDescriptiva"/>
      </w:pPr>
    </w:p>
    <w:p w:rsidR="006854DA" w:rsidRDefault="006854DA" w:rsidP="006854DA">
      <w:pPr>
        <w:pStyle w:val="SntesisDescriptiva"/>
      </w:pPr>
      <w:r>
        <w:t>Recurso de inconstitucionalidadConflicto positivo de competencia 1.712/1988 1.716/1988 1.724/1988 1.527/1989 1.924/1989 (acumulados). Promovidos, los tres primeros, por el Gobierno Vasco, el Parlamento de Cataluña y el Consejo Ejecutivo de la Generalidad de Cataluña, respectivamente, contra la Ley 24/1988. de 28 de julio, del Mercado de Valores, y los dos siguientes por el Gobierno Vasco en relación con los Reales Decretos 276/1989, de 22 de junio, de Sociedades y Agencias de Valores, y 726/1989, de 23 de junio, sobre Sociedades Rectoras y miembros de las Bolsas de Valores, Sociedad de Bolsas y Fianza Colectiva, respectivamente.</w:t>
      </w:r>
    </w:p>
    <w:p w:rsidR="006854DA" w:rsidRDefault="006854DA" w:rsidP="006854DA">
      <w:pPr>
        <w:pStyle w:val="SntesisDescriptiva"/>
      </w:pPr>
    </w:p>
    <w:p w:rsidR="006854DA" w:rsidRDefault="006854DA" w:rsidP="006854DA">
      <w:pPr>
        <w:pStyle w:val="SntesisAnaltica"/>
      </w:pPr>
    </w:p>
    <w:p w:rsidR="006854DA" w:rsidRDefault="006854DA" w:rsidP="006854DA">
      <w:pPr>
        <w:pStyle w:val="SntesisAnaltica"/>
      </w:pPr>
    </w:p>
    <w:p w:rsidR="006854DA" w:rsidRDefault="006854DA" w:rsidP="006854DA">
      <w:pPr>
        <w:pStyle w:val="Extracto"/>
      </w:pPr>
      <w:r>
        <w:t>1.</w:t>
      </w:r>
      <w:r>
        <w:tab/>
        <w:t>El concepto de mercado de valores no se entiende si no es integrado en el concepto más amplio de «sistema financiero», del que forma parte. Si por sistema financiero se tiene al conjunto de instituciones, entidades y operaciones a través de los cuales se canaliza el ahorro hacia la inversion, suministrando (oferta) dinero u otros medios de pago para financiar las actividades de los operadores económicos (demanda), el mercado de valores no es sino un elemento o parte integrante del sistema financiero. En concreto, aquél que comprende las operaciones de colocación y de financiación a largo plazo así como las instituciones que efectúan principalmente estas operaciones. Más específicamente aún, el elemento definidor del mercado de valores lo constituyen los valores negociables -representados por medio de anotaciones en cuenta o por medio de títulos- emitidos por personas o entidades, públicas o privadas, y agrupados en emisiones [F.J. 3].</w:t>
      </w:r>
    </w:p>
    <w:p w:rsidR="006854DA" w:rsidRDefault="006854DA" w:rsidP="006854DA">
      <w:pPr>
        <w:pStyle w:val="Extracto"/>
      </w:pPr>
    </w:p>
    <w:p w:rsidR="006854DA" w:rsidRDefault="006854DA" w:rsidP="006854DA">
      <w:pPr>
        <w:pStyle w:val="Extracto"/>
      </w:pPr>
      <w:r>
        <w:t>2.</w:t>
      </w:r>
      <w:r>
        <w:tab/>
        <w:t>Ordenar el mercado de valores es mucho más que crear una Bolsa o mercado secundario equivalente, por cuanto supone disciplinar el tráfico jurídico de la oferta de ahorro y la demanda de inversión, a través de los activos financieros negociables, velando por la seguridad jurídica para que las transmisiones de esos activos sean efectivas, así como por la seguridad económica, para garantizar la solvencia a quienes acudan al mercado de valores, y atendiendo siempre a la transparencia de esas operaciones, para lo cual resulta necesario proporcionar una información adecuada sobre las mismas [F.J. 3].</w:t>
      </w:r>
    </w:p>
    <w:p w:rsidR="006854DA" w:rsidRDefault="006854DA" w:rsidP="006854DA">
      <w:pPr>
        <w:pStyle w:val="Extracto"/>
      </w:pPr>
    </w:p>
    <w:p w:rsidR="006854DA" w:rsidRDefault="006854DA" w:rsidP="006854DA">
      <w:pPr>
        <w:pStyle w:val="Extracto"/>
      </w:pPr>
      <w:r>
        <w:t>3.</w:t>
      </w:r>
      <w:r>
        <w:tab/>
        <w:t>Por lo que se refiere a los títulos competenciales del Estado, tres son los que principal -aunque no exclusivamente- confluyen en la regulación que contiene esta Ley: Legislación mercantil (art. 149.1.6 C.E.), bases de la ordenación del crédito (art. 149.1.11 C.E.) y bases y coordinación de la planificación general de la actividad económica (art. 149.1.13 C.E.) [F.J. 4].</w:t>
      </w:r>
    </w:p>
    <w:p w:rsidR="006854DA" w:rsidRDefault="006854DA" w:rsidP="006854DA">
      <w:pPr>
        <w:pStyle w:val="Extracto"/>
      </w:pPr>
    </w:p>
    <w:p w:rsidR="006854DA" w:rsidRDefault="006854DA" w:rsidP="006854DA">
      <w:pPr>
        <w:pStyle w:val="Extracto"/>
      </w:pPr>
      <w:r>
        <w:t>4.</w:t>
      </w:r>
      <w:r>
        <w:tab/>
        <w:t xml:space="preserve">Resulta poco discutible la relación con la legislación mercantil de una Ley que, como la que aquí se impugna, tiene por objeto la regulación del tráfico jurídico </w:t>
      </w:r>
      <w:r>
        <w:lastRenderedPageBreak/>
        <w:t>de los valores negociables -concepto este típicamente mercantil-, de los mercados en que tiene lugar dicho tráfico y de la actividad de los sujetos y entidades que en ellos intervienen [F.J. 4].</w:t>
      </w:r>
    </w:p>
    <w:p w:rsidR="006854DA" w:rsidRDefault="006854DA" w:rsidP="006854DA">
      <w:pPr>
        <w:pStyle w:val="Extracto"/>
      </w:pPr>
    </w:p>
    <w:p w:rsidR="006854DA" w:rsidRDefault="006854DA" w:rsidP="006854DA">
      <w:pPr>
        <w:pStyle w:val="Extracto"/>
      </w:pPr>
      <w:r>
        <w:t>5.</w:t>
      </w:r>
      <w:r>
        <w:tab/>
        <w:t>Este Tribunal ha precisado en reiteradas ocasiones desde nuestra STC 1/1982, que las bases de ordenación del crédito deben contener tanto las normas reguladoras de la estructura, organización interna y funciones de los diferentes intermediarios financieros, como aquellas otras que regulen aspectos fundamentales de la actividad de tales intermediarios [F.J. 4].</w:t>
      </w:r>
    </w:p>
    <w:p w:rsidR="006854DA" w:rsidRDefault="006854DA" w:rsidP="006854DA">
      <w:pPr>
        <w:pStyle w:val="Extracto"/>
      </w:pPr>
    </w:p>
    <w:p w:rsidR="006854DA" w:rsidRDefault="006854DA" w:rsidP="006854DA">
      <w:pPr>
        <w:pStyle w:val="Extracto"/>
      </w:pPr>
      <w:r>
        <w:t>6.</w:t>
      </w:r>
      <w:r>
        <w:tab/>
        <w:t>Una de las manifestaciones de la unidad del orden económico es el principio de unidad del mercado -y, por lo tanto, del mercado de capitales-, reconocido implícitamente por el art. 139.2 C.E., al disponer que «ninguna autoridad podrá adoptar medidas que directa o indirectamente obstaculicen (...) la libre circulación de bienes en todo el territorio español». Otra manifestación de esa unidad del orden económico es la exigencia (...) de la adopción de medidas de política económica aplicables, con carácter general, a todo el territorio nacional, al servicio de una serie de objetivos de carácter económico fijados por la propia C.E. [F.J. 4].</w:t>
      </w:r>
    </w:p>
    <w:p w:rsidR="006854DA" w:rsidRDefault="006854DA" w:rsidP="006854DA">
      <w:pPr>
        <w:pStyle w:val="Extracto"/>
      </w:pPr>
    </w:p>
    <w:p w:rsidR="006854DA" w:rsidRDefault="006854DA" w:rsidP="006854DA">
      <w:pPr>
        <w:pStyle w:val="Extracto"/>
      </w:pPr>
      <w:r>
        <w:t>7.</w:t>
      </w:r>
      <w:r>
        <w:tab/>
        <w:t>Desde nuestra STC 1/1982 hemos venido manteniendo reiteradamente, en relación con la materia de ordenación del crédito (SSTC 96/1984, 48/1988, 49/1988, 86/1989, 135/1992, 178/1992, 87/1993, 37/1997, entre otras), que aun cuando se trate de supuestos excepcionales que sólo pueden admitirse cuando sean realmente imprescindibles para el ejercicio efectivo de la competencia estatal en la materia, no cabe descartar de antemano que las bases comprendan regulaciones detalladas de aspectos concretos de las materias o que, incluso, incluyan la potestad de realizar actos de ejecución [F.J. 4].</w:t>
      </w:r>
    </w:p>
    <w:p w:rsidR="006854DA" w:rsidRDefault="006854DA" w:rsidP="006854DA">
      <w:pPr>
        <w:pStyle w:val="Extracto"/>
      </w:pPr>
    </w:p>
    <w:p w:rsidR="006854DA" w:rsidRDefault="006854DA" w:rsidP="006854DA">
      <w:pPr>
        <w:pStyle w:val="Extracto"/>
      </w:pPr>
      <w:r>
        <w:t>8.</w:t>
      </w:r>
      <w:r>
        <w:tab/>
        <w:t>En nuestra STC 29/1986 declaramos que «parece claro que, cuando para conseguir objetivos de la política económica nacional, se precise una acción unitaria en el conjunto del territorio del Estado, por la necesidad de asegurar un tratamiento uniforme de determinados problemas económicos o por la estrecha interdependencia de las actuaciones a realizar en distintas partes del territorio nacional, el Estado, en el ejercicio de la competencia de ordenación de la actuación económica general, podrá efectuar una planificación de detalle, siempre, y sólo en tales supuestos, que la necesaria coherencia de la política económica general exija decisiones unitarias y no pueda articularse sin riesgo para la unidad económica del Estado a través de la fijación de bases y de medidas de coordinación». Ahora bien, también hemos advertido que esta competencia estatal -que abarca la definición de las líneas de actuación tendentes a alcanzar los objetivos de política global o sectorial fijados por la Constitución, así como las medidas precisas para garantizar la realización de los mismos (STC 186/1988)- no puede conducir, sin embargo, a un vaciamiento de las competencias asumidas por las Comunidades Autónomas, ya que dicho título sólo debe llegar hasta donde lo exija el principio que instrumenta [F.J. 4].</w:t>
      </w:r>
    </w:p>
    <w:p w:rsidR="006854DA" w:rsidRDefault="006854DA" w:rsidP="006854DA">
      <w:pPr>
        <w:pStyle w:val="Extracto"/>
      </w:pPr>
    </w:p>
    <w:p w:rsidR="006854DA" w:rsidRDefault="006854DA" w:rsidP="006854DA">
      <w:pPr>
        <w:pStyle w:val="Extracto"/>
      </w:pPr>
      <w:r>
        <w:t>9.</w:t>
      </w:r>
      <w:r>
        <w:tab/>
        <w:t xml:space="preserve">Conviene dejar sentado que las expresiones empleadas por uno y otro Estatuto de Autonomía («Bolsas de comercio y demás centros de contratación de valores», </w:t>
      </w:r>
      <w:r>
        <w:lastRenderedPageBreak/>
        <w:t>en el caso del País Vasco, y «Centros de contratación de valores» sin más, en el de Cataluña) encierran una referencia abierta a la diversidad de espacios dentro de los cuales puede tener lugar la negociación de activos financieros. Las Bolsas constituyen un tipo dentro de tales posibles ámbitos de negociabilidad de los valores, pero no el único. Por eso el Estatuto de Autonomía del País Vasco habla de «Bolsas de comercio y demás centros de contratación de valores», porque las Bolsas son uno más entre los posibles centros o mercados de contratación de valores. Buen ejemplo de esta realidad, plural y superadora del concepto material y físico del mercado de valores que se identifica sólo con la Bolsa, lo constituye la propia clasificación de la Ley que habla de mercado primario y mercados secundarios y, dentro de estos últimos, distingue entre Bolsas, Mercado de Deuda Pública y aquellos otros mercados que puedan crearse en el futuro [F.J. 5].</w:t>
      </w:r>
    </w:p>
    <w:p w:rsidR="006854DA" w:rsidRDefault="006854DA" w:rsidP="006854DA">
      <w:pPr>
        <w:pStyle w:val="Extracto"/>
      </w:pPr>
    </w:p>
    <w:p w:rsidR="006854DA" w:rsidRDefault="006854DA" w:rsidP="006854DA">
      <w:pPr>
        <w:pStyle w:val="Extracto"/>
      </w:pPr>
      <w:r>
        <w:t>10.</w:t>
      </w:r>
      <w:r>
        <w:tab/>
        <w:t>No parece dudoso que a estas Comunidades Autónomas les corresponde no sólo el desarrollo legislativo y ejecución en materia de ordenación del crédito, sino otra más específica y exclusiva también para el establecimiento y regulación de las Bolsas y Centros de contratación de valores de su territorio, conceptos que, como ya ha quedado expuesto, no coinciden con el más amplio y global de mercado de valores. Esa competencia, aun siendo exclusiva, ha de ponerse en relación con otras estatales ya conocidas, ya que los Centros de contratación de valores, en general, y las Bolsas, en particular, forman parte integrante del mercado de valores, regido por el principio de unidad (STC 96/1984), sobre el cual el Estado tiene competencias, también exclusivas, para establecer las bases, en virtud de los títulos competenciales de los apartados 11 (ordenación del crédito) y 13 (planificación general de la actividad económica) del art. 149.1 C.E., más la competencia también exclusiva sobre la legislación mercantil «ex» art. 149.1. 6 C.E. [F.J. 5].</w:t>
      </w:r>
    </w:p>
    <w:p w:rsidR="006854DA" w:rsidRDefault="006854DA" w:rsidP="006854DA">
      <w:pPr>
        <w:pStyle w:val="Extracto"/>
      </w:pPr>
    </w:p>
    <w:p w:rsidR="006854DA" w:rsidRDefault="006854DA" w:rsidP="006854DA">
      <w:pPr>
        <w:pStyle w:val="Extracto"/>
      </w:pPr>
      <w:r>
        <w:t>11.</w:t>
      </w:r>
      <w:r>
        <w:tab/>
        <w:t>En el presente caso la Ley impugnada cumple con las exigencias del principio formal para el establecimiento de las bases por parte del Estado, tanto por las declaraciones explícitas que hace en relación con el carácter básico de la misma, y de los títulos competenciales que la amparan, como por su estructura y contenido, que permiten inferir la vocación y pretensión de norma básica del mercado de valores de la Ley 24/1988 [F.J. 6].</w:t>
      </w:r>
    </w:p>
    <w:p w:rsidR="006854DA" w:rsidRDefault="006854DA" w:rsidP="006854DA">
      <w:pPr>
        <w:pStyle w:val="Extracto"/>
      </w:pPr>
    </w:p>
    <w:p w:rsidR="006854DA" w:rsidRDefault="006854DA" w:rsidP="006854DA">
      <w:pPr>
        <w:pStyle w:val="Extracto"/>
      </w:pPr>
      <w:r>
        <w:t>12.</w:t>
      </w:r>
      <w:r>
        <w:tab/>
        <w:t>Por cuanto se refiere al apartado primero del art. 13 de la Ley, esto es, a la supervisión, inspección y sanción de los mercados de valores y de la actividad de cuantas personas físicas y jurídicas se relacionan en el tráfico de los mismos, es evidente la conformidad del precepto impugnado con la Constitución y los Estatutos de Autonomía de las Comunidades Autónomas, por cuanto que es la propia Ley la que explícitamente ha salvado las competencias autonómicas al decir, en el apartado 2. del art. 84, que la atribución de esas funciones a la Comisión Nacional «se entenderá sin perjuicio de las competencias de supervisión, inspección y sanción que correspondan a las Comunidades Autónomas que las tengan atribuidas...» [F.J. 7].</w:t>
      </w:r>
    </w:p>
    <w:p w:rsidR="006854DA" w:rsidRDefault="006854DA" w:rsidP="006854DA">
      <w:pPr>
        <w:pStyle w:val="Extracto"/>
      </w:pPr>
    </w:p>
    <w:p w:rsidR="006854DA" w:rsidRDefault="006854DA" w:rsidP="006854DA">
      <w:pPr>
        <w:pStyle w:val="Extracto"/>
      </w:pPr>
      <w:r>
        <w:t>13.</w:t>
      </w:r>
      <w:r>
        <w:tab/>
        <w:t xml:space="preserve">Los tres objetivos asignados a la Comisión Nacional del Mercado de Valores ( transparencia en los mercados, correcta formación de los precios y protección de </w:t>
      </w:r>
      <w:r>
        <w:lastRenderedPageBreak/>
        <w:t>los inversores) sirven a la finalidad común de garantizar la unidad del mercado donde ha de insertarse el comercio de los valores [F.J. 7].</w:t>
      </w:r>
    </w:p>
    <w:p w:rsidR="006854DA" w:rsidRDefault="006854DA" w:rsidP="006854DA">
      <w:pPr>
        <w:pStyle w:val="Extracto"/>
      </w:pPr>
    </w:p>
    <w:p w:rsidR="006854DA" w:rsidRDefault="006854DA" w:rsidP="006854DA">
      <w:pPr>
        <w:pStyle w:val="Extracto"/>
      </w:pPr>
      <w:r>
        <w:t>14.</w:t>
      </w:r>
      <w:r>
        <w:tab/>
        <w:t>La Comisión Nacional del Mercado de Valores es un ente de Derecho público a quien la Ley encomienda la supervisión e inspección de los mercados de valores, así como el asesoramiento al Gobierno, al Ministerio de Economía y Hacienda, y, en su caso, a los órganos equivalentes de las Comunidades Autónomas, en las materias relacionadas con los mercados de valores. Nada hay que oponer, pues, desde la perspectiva del art. 97 C.E. al hecho de que el legislador estatal haya dotado a la Comisión Nacional del Mercado de Valores de una serie de potestades, incluida la reglamentaria, para que pueda cumplir adecuadamente sus funciones [F. J. 7].</w:t>
      </w:r>
    </w:p>
    <w:p w:rsidR="006854DA" w:rsidRDefault="006854DA" w:rsidP="006854DA">
      <w:pPr>
        <w:pStyle w:val="Extracto"/>
      </w:pPr>
    </w:p>
    <w:p w:rsidR="006854DA" w:rsidRDefault="006854DA" w:rsidP="006854DA">
      <w:pPr>
        <w:pStyle w:val="Extracto"/>
      </w:pPr>
      <w:r>
        <w:t>15.</w:t>
      </w:r>
      <w:r>
        <w:tab/>
        <w:t>Una de las manifestaciones de la unidad del orden económico es el principio de unidad de mercado, incluido el mercado de valores, reconocido implícitamente por el art. 139.2 C.E. Pues bien, la construcción de un mercado de valores regido por el principio de unidad, esto es, de un «mercado único», exige un mínimo normativo, presupuesto necesario para que el reparto de competencias entre el Estado y las distintas Comunidades Autónomas en materias económicas no conduzca a resultados disfuncionales o disgregadores (STC 1/1982). Este planteamiento, aceptado explícitamente por el Gobierno Vasco, ha de llevarnos a concluir que el Estado -que es a quien corresponde garantizar la unidad del mercado de valores- es competente para crear un ente público y para encomendarle el ejercicio de las facultades que sean necesarias para preservar dicha unidad ( velar por la transparencia de los mercados, la correcta formación de los precios en ellos y la protección de los inversores). Por las mismas razones, es igualmente competente para dotar a ese ente público de la organización que estime más conveniente para atender a dicho cometido, sin perjuicio de que, habida cuenta de su transcendencia y de la intercomunicabilidad del mercado primario de valores, hubiera sido igualmente legítimo constitucionalmente dar entrada a las Comunidades Autónomas con competencias en el mercado secundario para la composición de dicho Consejo [F.J. 7].</w:t>
      </w:r>
    </w:p>
    <w:p w:rsidR="006854DA" w:rsidRDefault="006854DA" w:rsidP="006854DA">
      <w:pPr>
        <w:pStyle w:val="Extracto"/>
      </w:pPr>
    </w:p>
    <w:p w:rsidR="006854DA" w:rsidRDefault="006854DA" w:rsidP="006854DA">
      <w:pPr>
        <w:pStyle w:val="Extracto"/>
      </w:pPr>
      <w:r>
        <w:t>16.</w:t>
      </w:r>
      <w:r>
        <w:tab/>
        <w:t>La llevanza de los Registros enumerados en el art. 92 de la Ley por la Comisión Nacional del Mercado de Valores responde a la necesidad de poner en conocimiento de los inversores todos los elementos necesarios para que éstos puedan tomar la decisión de invertir en los mercados de valores conociendo la entidad del emisor, sus estados financieros, así como todas las características de los valores que se emiten; extremos todos ellos que influyen en la rentabilidad de la operación realizada por los ahorradores [F.J. 8].</w:t>
      </w:r>
    </w:p>
    <w:p w:rsidR="006854DA" w:rsidRDefault="006854DA" w:rsidP="006854DA">
      <w:pPr>
        <w:pStyle w:val="Extracto"/>
      </w:pPr>
    </w:p>
    <w:p w:rsidR="006854DA" w:rsidRDefault="006854DA" w:rsidP="006854DA">
      <w:pPr>
        <w:pStyle w:val="Extracto"/>
      </w:pPr>
      <w:r>
        <w:t>17.</w:t>
      </w:r>
      <w:r>
        <w:tab/>
        <w:t xml:space="preserve">La determinación de los requisitos que deben acompañar a una emisión de obligaciones (comunicación del proyecto de emisión; aportación de los documentos que acrediten el acuerdo de emisión, las características de los valores emitidos y los derechos y obligaciones de sus tenedores; Registro de una auditoría de cuentas de los estados financieros del emisor y presentación y Registro del folleto informativo sobre la emisión proyectada) es una decisión básica que corresponde adoptar al Estado por cuanto que con ello se pretende preservar la unidad del </w:t>
      </w:r>
      <w:r>
        <w:lastRenderedPageBreak/>
        <w:t>mercado de capitales. Para alcanzar los objetivos inherentes al principio de unidad del mercado es necesario, en efecto, que las condiciones de emisión de valores sean homogéneas, pues en caso contrario se pondría en riesgo la igualdad y la seguridad de los inversores en todo el territorio nacional. Una vez sentado que fijar esos requisitos es competencia del Estado, es fácil concluir que los Registros cuya llevanza se encomienda a la tan citada Comisión no son más que un instrumento del que el Estado puede dotarse legítimamente para el ejercicio eficaz de dicha competencia. En efecto, y en aplicación de la doctrina de nuestra STC 157/1985, reiterada luego en otras tres, las SSTC 243/1994, 102/1995 y 197/1996, hay que decir que la inscripción registral está al servicio del correcto y eficaz cumplimiento de los fines a que sirve la Comisión Nacional del Mercado de Valores y se presenta, así, como el ejercicio de una facultad estrictamente auxiliar o instrumental respecto de la competencia estatal de garantizar la unidad del mercado de capitales, a través de la difusión de la información necesaria para asegurar, en términos de igualdad, la protección de los inversores en todo el territorio nacional [F.J. 8].</w:t>
      </w:r>
    </w:p>
    <w:p w:rsidR="006854DA" w:rsidRDefault="006854DA" w:rsidP="006854DA">
      <w:pPr>
        <w:pStyle w:val="Extracto"/>
      </w:pPr>
    </w:p>
    <w:p w:rsidR="006854DA" w:rsidRDefault="006854DA" w:rsidP="006854DA">
      <w:pPr>
        <w:pStyle w:val="Extracto"/>
      </w:pPr>
      <w:r>
        <w:t>18.</w:t>
      </w:r>
      <w:r>
        <w:tab/>
        <w:t>Las bases, por su propia esencia, tienen vocación de estabilidad, pero en ningún caso son inamovibles ni puede predicarse de ellas la petrificación, incompatible no sólo con el talante evolutivo del Derecho, sino con el propio dinamismo del sector de la economía en el cual se insertan [F.J. 8].</w:t>
      </w:r>
    </w:p>
    <w:p w:rsidR="006854DA" w:rsidRDefault="006854DA" w:rsidP="006854DA">
      <w:pPr>
        <w:pStyle w:val="Extracto"/>
      </w:pPr>
    </w:p>
    <w:p w:rsidR="006854DA" w:rsidRDefault="006854DA" w:rsidP="006854DA">
      <w:pPr>
        <w:pStyle w:val="Extracto"/>
      </w:pPr>
      <w:r>
        <w:t>19.</w:t>
      </w:r>
      <w:r>
        <w:tab/>
        <w:t>No puede la Comunidad Autónoma seguir reivindicando la competencia de autorización del folleto con fundamento en lo dicho en la STC 96/1984, pues siendo cierto que este Tribunal reconoció en ella la titularidad autonómica sobre aquella autorización, no lo es menos que el legislador estatal, en una decisión que participa, sin duda, de la naturaleza de básica, ha suprimido la autorización administrativa previa, dando por ello mayor realce al folleto informativo [F.J. 8].</w:t>
      </w:r>
    </w:p>
    <w:p w:rsidR="006854DA" w:rsidRDefault="006854DA" w:rsidP="006854DA">
      <w:pPr>
        <w:pStyle w:val="Extracto"/>
      </w:pPr>
    </w:p>
    <w:p w:rsidR="006854DA" w:rsidRDefault="006854DA" w:rsidP="006854DA">
      <w:pPr>
        <w:pStyle w:val="Extracto"/>
      </w:pPr>
      <w:r>
        <w:t>20.</w:t>
      </w:r>
      <w:r>
        <w:tab/>
        <w:t>Si bien es cierto que -la verificación del cumplimiento de las exigencias que el art. 26 impone a las emisiones de valores es un acto de ejecución, no lo es menos que ello no puede impedir que el Estado, a través de la Comisión Nacional del Mercado de Valores, sea quien haya de asumir esa competencia de verificación como condición cronológicamente previa y necesaria a la posterior inscripción en los respectivos Registros de una información, mínima y homogénea, que resulta indispensable para garantizar, en términos de igualdad, la protección de los inversores [F.J. 8].</w:t>
      </w:r>
    </w:p>
    <w:p w:rsidR="006854DA" w:rsidRDefault="006854DA" w:rsidP="006854DA">
      <w:pPr>
        <w:pStyle w:val="Extracto"/>
      </w:pPr>
    </w:p>
    <w:p w:rsidR="006854DA" w:rsidRDefault="006854DA" w:rsidP="006854DA">
      <w:pPr>
        <w:pStyle w:val="Extracto"/>
      </w:pPr>
      <w:r>
        <w:t>21.</w:t>
      </w:r>
      <w:r>
        <w:tab/>
        <w:t xml:space="preserve">Los arts. 31 c) y 59 de la Ley invadirían las competencias autonómicas si se entendiera que impiden a las Comunidades Autónomas recurrentes establecer y ordenar otro tipo de mercado que no sean las Bolsas de Valores, ya que las Comunidades Autónomas han asumido la competencia exclusiva para el establecimiento y regulación no sólo de las Bolsas, sino de los centros de contratación de valores. La denominación «centros de contratación de valores» engloba, como ha quedado dicho, la diversidad de tipos de mercados que, con independencia de su materialización o no en espacios físicos concretos, puedan existir en el sistema financiero. De acuerdo con ello, la competencia exclusiva de las Comunidades Autónomas no puede quedar limitada al establecimiento y regulación de las Bolsas </w:t>
      </w:r>
      <w:r>
        <w:lastRenderedPageBreak/>
        <w:t>de Valores y, en consecuencia, debe entenderse que los arts. 31 c) y 59 se refieren sólo y exclusivamente a los mercados secundarios oficiales de ámbito estatal, cuya creación, establecimiento y regulación corresponde al Gobierno por disposición expresa de la Ley, pero no afectan a los mercados de ámbito autonómico [F.J. 9].</w:t>
      </w:r>
    </w:p>
    <w:p w:rsidR="006854DA" w:rsidRDefault="006854DA" w:rsidP="006854DA">
      <w:pPr>
        <w:pStyle w:val="Extracto"/>
      </w:pPr>
    </w:p>
    <w:p w:rsidR="006854DA" w:rsidRDefault="006854DA" w:rsidP="006854DA">
      <w:pPr>
        <w:pStyle w:val="Extracto"/>
      </w:pPr>
      <w:r>
        <w:t>22.</w:t>
      </w:r>
      <w:r>
        <w:tab/>
        <w:t>El art. 32, párrafo 1., no vulnera las competencias de las Comunidades Autónomas recurrentes por atribuir a la Comisión Nacional del Mercado de Valores la facultad de verificar el cumplimiento de los requisitos exigidos para la admisión de valores a negociación. La naturaleza ejecutiva del acto de verificación no es suficiente para determinar, por sí sola, la competencia autonómica para llevar a cabo dicha actividad. En primer lugar, porque es doctrina reiterada de este Tribunal Constitucional que, aun cuando en principio la aplicación de la norma a cada supuesto de hecho individualizado parezca quedar extramuros de la ordenación básica de una materia, es posible que queden comprendidos en el ámbito de lo básico meros actos de ejecución, esto es, actos administrativos singulares, en cuanto resulten necesarios para la preservación de lo básico o para garantizar, con carácter complementario, la consecución de los fines inherentes a la regulación básica. Esta posibilidad tiene su fundamento en las exigencias de la unidad del sistema económico financiero, para cuya preservación no bastan los denominadores comunes de naturaleza normativa. En definitiva, las competencias para el desarrollo legislativo o la ejecución de las Comunidades Autónomas quedan vinculadas a una política monetaria y crediticia que no es solamente susceptible de ser establecida por vía normativa ( por todas, STC 135/1992). Es posible, e incluso necesaria, y así lo hemos reconocido (SSTC 1/1982, 96/1984, 178/1992 y 155/1996), la existencia de actuaciones de ejecución en el ámbito de ordenación del crédito y de la política monetaria y financiera que tengan la consideración de básicas [F.J. 9].</w:t>
      </w:r>
    </w:p>
    <w:p w:rsidR="006854DA" w:rsidRDefault="006854DA" w:rsidP="006854DA">
      <w:pPr>
        <w:pStyle w:val="Extracto"/>
      </w:pPr>
    </w:p>
    <w:p w:rsidR="006854DA" w:rsidRDefault="006854DA" w:rsidP="006854DA">
      <w:pPr>
        <w:pStyle w:val="Extracto"/>
      </w:pPr>
      <w:r>
        <w:t>23.</w:t>
      </w:r>
      <w:r>
        <w:tab/>
        <w:t>Si partimos -como expresamente admite en su demanda el Gobierno Vasco- de que la garantía de la creación de un mercado único de valores reside en el establecimiento, de modo unitario, de los requisitos que deben reunir los valores para su admisión a negociación, hemos de concluir que también de modo unitario ha de llevarse a cabo la supervisión del cumplimiento de dichos requisitos, que afectan a todos los mercados secundarios oficiales. Con ello se está velando por la correcta incorporación al tráfico mercantil de los valores de que se trate, con lo que ello supone de seguridad y confianza para los futuros inversores y de garantía de la unidad del sistema financiero. Esa función de verificación, que por otra parte no es automática y totalmente reglada al integrarse en ella aspectos con un margen de apreciación (v.gr., solvencia y honorabilidad del emisor), tiene carácter básico y por tanto exige su atribución a un órgano único, la Comisión Nacional del Mercado de Valores [F. J. 9].</w:t>
      </w:r>
    </w:p>
    <w:p w:rsidR="006854DA" w:rsidRDefault="006854DA" w:rsidP="006854DA">
      <w:pPr>
        <w:pStyle w:val="Extracto"/>
      </w:pPr>
    </w:p>
    <w:p w:rsidR="006854DA" w:rsidRDefault="006854DA" w:rsidP="006854DA">
      <w:pPr>
        <w:pStyle w:val="Extracto"/>
      </w:pPr>
      <w:r>
        <w:t>24.</w:t>
      </w:r>
      <w:r>
        <w:tab/>
        <w:t>La facultad de suspender la negociación de un valor en todos los mercados secundarios oficiales se integra dentro de las facultades de ejecución de naturaleza básica, por cuanto que con ello se trata de garantizar la solvencia de los valores que son objeto del tráfico mercantil y, en último término, cumple una función de garantizar la estabilidad y confianza del sistema financiero [F.J. 9].</w:t>
      </w:r>
    </w:p>
    <w:p w:rsidR="006854DA" w:rsidRDefault="006854DA" w:rsidP="006854DA">
      <w:pPr>
        <w:pStyle w:val="Extracto"/>
      </w:pPr>
    </w:p>
    <w:p w:rsidR="006854DA" w:rsidRDefault="006854DA" w:rsidP="006854DA">
      <w:pPr>
        <w:pStyle w:val="Extracto"/>
      </w:pPr>
      <w:r>
        <w:t>25.</w:t>
      </w:r>
      <w:r>
        <w:tab/>
        <w:t>La facultad atribuida a la Comisión por el art. 34 tiene por finalidad proteger a los inversores, titulares de dichos valores, tanto frente a la pérdida de liquidez, por bajo de los índices que expresan el estándar de la normalidad de la negociación, como frente a la lesión que pueden sufrir como consecuencia de la exclusión de la negociación de valores por voluntad de la entidad emisora. La protección de los inversores y la garantía de la estabilidad del mercado que esta medida persigue serían ineficaces si no pudiesen procurarse desde una instancia central cual es la Comisión Nacional del Mercado de Valores [ F.J. 9].</w:t>
      </w:r>
    </w:p>
    <w:p w:rsidR="006854DA" w:rsidRDefault="006854DA" w:rsidP="006854DA">
      <w:pPr>
        <w:pStyle w:val="Extracto"/>
      </w:pPr>
    </w:p>
    <w:p w:rsidR="006854DA" w:rsidRDefault="006854DA" w:rsidP="006854DA">
      <w:pPr>
        <w:pStyle w:val="Extracto"/>
      </w:pPr>
      <w:r>
        <w:t>26.</w:t>
      </w:r>
      <w:r>
        <w:tab/>
        <w:t>La difusión, a través de un Registro público, de las auditorías de cuentas de las entidades emisoras de valores admitidos a negociación en los mercados secundarios oficiales, permite a los titulares de valores y a los futuros inversores conocer el estado económico y financiero de la entidad emisora, dato esencial para la rentabilidad de las operaciones que pretendan realizar [F.J. 9].</w:t>
      </w:r>
    </w:p>
    <w:p w:rsidR="006854DA" w:rsidRDefault="006854DA" w:rsidP="006854DA">
      <w:pPr>
        <w:pStyle w:val="Extracto"/>
      </w:pPr>
    </w:p>
    <w:p w:rsidR="006854DA" w:rsidRDefault="006854DA" w:rsidP="006854DA">
      <w:pPr>
        <w:pStyle w:val="Extracto"/>
      </w:pPr>
      <w:r>
        <w:t>27.</w:t>
      </w:r>
      <w:r>
        <w:tab/>
        <w:t>La regulación del art. 36 entra plenamente en el ámbito de la legislación mercantil al definir los elementos -objetivos y subjetivos- que convierten a una transmisión de valores en una operación de un mercado secundario oficial, así como la sanción legal que corresponde a una transmisión realizada sin observar dichos requisitos [F.J. 9].</w:t>
      </w:r>
    </w:p>
    <w:p w:rsidR="006854DA" w:rsidRDefault="006854DA" w:rsidP="006854DA">
      <w:pPr>
        <w:pStyle w:val="Extracto"/>
      </w:pPr>
    </w:p>
    <w:p w:rsidR="006854DA" w:rsidRDefault="006854DA" w:rsidP="006854DA">
      <w:pPr>
        <w:pStyle w:val="Extracto"/>
      </w:pPr>
      <w:r>
        <w:t>28.</w:t>
      </w:r>
      <w:r>
        <w:tab/>
        <w:t>El deber de información a la Comisión que el art. 40 impone a todos los miembros del mercado es inseparable de la difusión que, de acuerdo con los criterios establecidos reglamentariamente, la misma haga de dicha información para conocimiento de los operadores del mercado. Comunicación de información de los miembros del mercado a la Comisión y su difusión por ésta al mercado no son, stricto sensu, competencias que hayan de distribuirse, sino facultades instrumentales de la competencia de velar por la transparencia de aquél y por la protección del inversor, ejes básicos de la regulación del mercado de valores y piezas claves de la unidad del mismo, que forman parte, como ha quedado dicho, de la competencia del Estado, que éste ejerce a través de la Comisión Nacional del Mercado de Valores [F.J. 9].</w:t>
      </w:r>
    </w:p>
    <w:p w:rsidR="006854DA" w:rsidRDefault="006854DA" w:rsidP="006854DA">
      <w:pPr>
        <w:pStyle w:val="Extracto"/>
      </w:pPr>
    </w:p>
    <w:p w:rsidR="006854DA" w:rsidRDefault="006854DA" w:rsidP="006854DA">
      <w:pPr>
        <w:pStyle w:val="Extracto"/>
      </w:pPr>
      <w:r>
        <w:t>29.</w:t>
      </w:r>
      <w:r>
        <w:tab/>
        <w:t>Admitida la constitucionalidad de la facultad del Gobierno de fijar, para los casos previstos en el art. 42, topes máximos en las retribuciones de los miembros del mercado por las operaciones que realicen en él, no podemos sino considerar como una facultad meramente instrumental de dicha potestad -básica- la exigencia de su publicación y comunicación a la Comisión Nacional del Mercado de Valores, para que esta Comisión pueda ejercitar sus potestades de supervisión e inspección del mercado de valores, en definitiva, para que pueda cumplir su función de guardián y garante de dicho mercado así como para asegurar la transparencia del mismo, dando publicidad y difusión a datos como el que nos ocupa [F.J. 9].</w:t>
      </w:r>
    </w:p>
    <w:p w:rsidR="006854DA" w:rsidRDefault="006854DA" w:rsidP="006854DA">
      <w:pPr>
        <w:pStyle w:val="Extracto"/>
      </w:pPr>
    </w:p>
    <w:p w:rsidR="006854DA" w:rsidRDefault="006854DA" w:rsidP="006854DA">
      <w:pPr>
        <w:pStyle w:val="Extracto"/>
      </w:pPr>
      <w:r>
        <w:t>30.</w:t>
      </w:r>
      <w:r>
        <w:tab/>
        <w:t>Exigir la conformidad del Gobierno de la Nación para la creación de una Bolsa de Valores en el territorio de la Comunidad Autónoma recurrente no es una norma básica, pues su finalidad no es establecer un común denominador norma</w:t>
      </w:r>
      <w:r>
        <w:lastRenderedPageBreak/>
        <w:t>tivo en todo el territorio nacional que sirva de límite a la potestad normativa de la Comunidad Autónoma, sino una norma que atribuye al Estado una competencia, la de participar en el establecimiento de las Bolsas ubicadas en el territorio de Cataluña, que no le ha sido atribuida por la Constitución [F.J. 9].</w:t>
      </w:r>
    </w:p>
    <w:p w:rsidR="006854DA" w:rsidRDefault="006854DA" w:rsidP="006854DA">
      <w:pPr>
        <w:pStyle w:val="Extracto"/>
      </w:pPr>
    </w:p>
    <w:p w:rsidR="006854DA" w:rsidRDefault="006854DA" w:rsidP="006854DA">
      <w:pPr>
        <w:pStyle w:val="Extracto"/>
      </w:pPr>
      <w:r>
        <w:t>31.</w:t>
      </w:r>
      <w:r>
        <w:tab/>
        <w:t>La determinación de las categorías de valores que pueden ser objeto de negociación en las Bolsas supone delimitar el objeto de la contratación bursátil, esto es, el ámbito objetivo del negocio jurídico que se realiza en las Bolsas de Valores, lo cual incide plenamente en la regulación del tipo de contrato mercantil que son las operaciones bursátiles. Dicha regulación entra, pues, de lleno en el ámbito propio de la legislación mercantil reservada al Estado por el art. 149.1.6 C.E. y que, según hemos mantenido desde nuestra STC 37/1981 [F.J. 9].</w:t>
      </w:r>
    </w:p>
    <w:p w:rsidR="006854DA" w:rsidRDefault="006854DA" w:rsidP="006854DA">
      <w:pPr>
        <w:pStyle w:val="Extracto"/>
      </w:pPr>
    </w:p>
    <w:p w:rsidR="006854DA" w:rsidRDefault="006854DA" w:rsidP="006854DA">
      <w:pPr>
        <w:pStyle w:val="Extracto"/>
      </w:pPr>
      <w:r>
        <w:t>32.</w:t>
      </w:r>
      <w:r>
        <w:tab/>
        <w:t>Las normas organizativas de las Bolsas de Valores pueden quedar comprendidas en las bases de la ordenación del crédito por cuanto que una organización existe para realizar una determinada actividad y no es, pues, indiferente a la realización de dicha actividad la forma en que se integran los centros de decisión. El art. 48 de la Ley es básico porque establece un mínimo orgánico común a todas las Bolsas que está íntimamente relacionado con la actividad que en ellas se desarrolla [F.J. 9].</w:t>
      </w:r>
    </w:p>
    <w:p w:rsidR="006854DA" w:rsidRDefault="006854DA" w:rsidP="006854DA">
      <w:pPr>
        <w:pStyle w:val="Extracto"/>
      </w:pPr>
    </w:p>
    <w:p w:rsidR="006854DA" w:rsidRDefault="006854DA" w:rsidP="006854DA">
      <w:pPr>
        <w:pStyle w:val="Extracto"/>
      </w:pPr>
      <w:r>
        <w:t>33.</w:t>
      </w:r>
      <w:r>
        <w:tab/>
        <w:t>No puede decirse lo mismo, sin embargo, del último apartado del art. 48 que atribuye la aprobación y modificación de los Estatutos de las Sociedades rectoras conjuntamente a la Comisión Nacional del Mercado de Valores y a la Comunidad Autónoma. correspondiente. Hay que convenir con las Comunidades Autónomas recurrentes que dicha actividad -aprobación y modificación de los Estatutos- es de naturaleza ejecutiva y, al no existir razón alguna que justifique su carácter básico, debe corresponder exclusivamente, esto es, sin el concurso de la Comisión, a la Comunidad Autónoma en cuyo territorio esté ubicada la Bolsa de cuya Sociedad Rectora se trate. La atribución de la competencia establecida en el art. 48, de aprobación y modificación de los Estatutos a la Comisión Nacional del Mercado de Valores, vulnera las competencias de las Comunidades Autónomas recurrentes [F.J. 9].</w:t>
      </w:r>
    </w:p>
    <w:p w:rsidR="006854DA" w:rsidRDefault="006854DA" w:rsidP="006854DA">
      <w:pPr>
        <w:pStyle w:val="Extracto"/>
      </w:pPr>
    </w:p>
    <w:p w:rsidR="006854DA" w:rsidRDefault="006854DA" w:rsidP="006854DA">
      <w:pPr>
        <w:pStyle w:val="Extracto"/>
      </w:pPr>
      <w:r>
        <w:t>34.</w:t>
      </w:r>
      <w:r>
        <w:tab/>
        <w:t>El Sistema de Interconexión Bursátil es un sistema de contratación, concretamente, el de contratación continuada, que se utiliza en nuestras Bolsas junto con otros como son el denominado de viva voz, el de cajas y el de oposiciones. Al ser un sistema que descansa en la interconexión de los distintos operadores por cauces informáticos, refleja una actividad que desborda, por definición, el ámbito territorial intracomunitario [F.J. 9].</w:t>
      </w:r>
    </w:p>
    <w:p w:rsidR="006854DA" w:rsidRDefault="006854DA" w:rsidP="006854DA">
      <w:pPr>
        <w:pStyle w:val="Extracto"/>
      </w:pPr>
    </w:p>
    <w:p w:rsidR="006854DA" w:rsidRDefault="006854DA" w:rsidP="006854DA">
      <w:pPr>
        <w:pStyle w:val="Extracto"/>
      </w:pPr>
      <w:r>
        <w:t>35.</w:t>
      </w:r>
      <w:r>
        <w:tab/>
        <w:t>El establecimiento de dicho Sistema, como una forma de contratación que permite el cruce de operaciones a través de un sistema de interconexión informatizado, es una decisión básica con la que se pretende servir a la transparencia de los mercados, a la igualdad en el acceso de los operadores a los mismos y, en una palabra, a la unidad del mercado. Por todo lo dicho, resulta evidente que el legislador estatal es competente para establecer un sistema de contratación continuada por cuanto que con dicho sistema pretende dar al mercado mayor fluidez y efica</w:t>
      </w:r>
      <w:r>
        <w:lastRenderedPageBreak/>
        <w:t>cia, permitiendo también un mayor volumen de contratación, con la repercusión que ello tiene en el sistema financiero nacional [F.J. 9].</w:t>
      </w:r>
    </w:p>
    <w:p w:rsidR="006854DA" w:rsidRDefault="006854DA" w:rsidP="006854DA">
      <w:pPr>
        <w:pStyle w:val="Extracto"/>
      </w:pPr>
    </w:p>
    <w:p w:rsidR="006854DA" w:rsidRDefault="006854DA" w:rsidP="006854DA">
      <w:pPr>
        <w:pStyle w:val="Extracto"/>
      </w:pPr>
      <w:r>
        <w:t>36.</w:t>
      </w:r>
      <w:r>
        <w:tab/>
        <w:t>La decisión de concentrar en una entidad, el Servicio de Compensación y Liquidación de Valores, la liquidación de las operaciones hechas sobre valores admitidos a negociación en más de una Bolsa, interpretación esta que comparten los recurrentes y el Abogado del Estado, no invade las competencias autonómicas, por cuanto que la finalidad que se pretende alcanzar con ello es garantizar la eficiencia del mercado, aumentando así su competitividad en el plano internacional. Ello constituye una decisión que, aun cuando no sea la única posible constitucionalmente, ha de considerarse básica dado que incide frontalmente en la construcción de un mercado único de valores, objetivo principal de la Ley que encuentra su respaldo constitucional, como ya se ha dicho, en el principio de unidad del mercado del que constituye una mera concreción [F.J. 9].</w:t>
      </w:r>
    </w:p>
    <w:p w:rsidR="006854DA" w:rsidRDefault="006854DA" w:rsidP="006854DA">
      <w:pPr>
        <w:pStyle w:val="Extracto"/>
      </w:pPr>
    </w:p>
    <w:p w:rsidR="006854DA" w:rsidRDefault="006854DA" w:rsidP="006854DA">
      <w:pPr>
        <w:pStyle w:val="Extracto"/>
      </w:pPr>
      <w:r>
        <w:t>37.</w:t>
      </w:r>
      <w:r>
        <w:tab/>
        <w:t>La decisión de prescindir de la figura del agente mediador individual y sustituirlo por unas entidades financieras especializadas es una decisión básica que corresponde adoptar al Estado [F.J. 10].</w:t>
      </w:r>
    </w:p>
    <w:p w:rsidR="006854DA" w:rsidRDefault="006854DA" w:rsidP="006854DA">
      <w:pPr>
        <w:pStyle w:val="Extracto"/>
      </w:pPr>
    </w:p>
    <w:p w:rsidR="006854DA" w:rsidRDefault="006854DA" w:rsidP="006854DA">
      <w:pPr>
        <w:pStyle w:val="Extracto"/>
      </w:pPr>
      <w:r>
        <w:t>38.</w:t>
      </w:r>
      <w:r>
        <w:tab/>
        <w:t>La inscripción en los Registros correspondientes de la Comisión Nacional del Mercado de Valores es un acto posterior y distinto a la creación de las Sociedades y Agencias, esto es, posterior a la obtención de la autorización [F.J. 10].</w:t>
      </w:r>
    </w:p>
    <w:p w:rsidR="006854DA" w:rsidRDefault="006854DA" w:rsidP="006854DA">
      <w:pPr>
        <w:pStyle w:val="Extracto"/>
      </w:pPr>
    </w:p>
    <w:p w:rsidR="006854DA" w:rsidRDefault="006854DA" w:rsidP="006854DA">
      <w:pPr>
        <w:pStyle w:val="Extracto"/>
      </w:pPr>
      <w:r>
        <w:t>39.</w:t>
      </w:r>
      <w:r>
        <w:tab/>
        <w:t>Nada hay que oponer, y nada oponen las Comunidades Autónomas, al hecho de que el Estado cree un Registro único que garantice la concentración de todos los datos relativos a las Sociedades y Agencias de Valores, ya que con ello cumple una función de información y publicidad que entra en el terreno de sus competencias sobre el mercado único de valores. Sin embargo, no puede decirse lo mismo sobre la actividad consistente en verificar el cumplimiento de los requisitos necesarios para que puedan ser considerados miembros de una o varias Bolsas. Siendo básica, y así lo hemos declarado en relación con el art. 47 de la Ley, la fijación de los requisitos necesarios para alcanzar la condición de miembro de las Bolsas, la certificación del cumplimiento de dichos requisitos es un acto reglado, de estricta comprobación de las condiciones fijadas por la Ley que posee naturaleza ejecutiva [F.J. 10].</w:t>
      </w:r>
    </w:p>
    <w:p w:rsidR="006854DA" w:rsidRDefault="006854DA" w:rsidP="006854DA">
      <w:pPr>
        <w:pStyle w:val="Extracto"/>
      </w:pPr>
    </w:p>
    <w:p w:rsidR="006854DA" w:rsidRDefault="006854DA" w:rsidP="006854DA">
      <w:pPr>
        <w:pStyle w:val="Extracto"/>
      </w:pPr>
      <w:r>
        <w:t>40.</w:t>
      </w:r>
      <w:r>
        <w:tab/>
        <w:t xml:space="preserve">El requisito que establece el art. 66 (que la Sociedad o Agencia de Valores disponga del capital social mínimo que reglamentariamente se establezca, desembolsado en efectivo en la proporción exigida, y, posteriormente, de los niveles mínimos de recursos propios, proporcionados al volumen de actividad y a los riesgos asumidos que, de forma análoga, se determinen) es, sin lugar a dudas, una norma de carácter básico por cuanto la finalidad de la misma es garantizar la solvencia de unas entidades -las Sociedades y Agencias de Valores- que actúan como mediadoras en las operaciones bursátiles, constituyendo su participación requisito de validez de las mismas. Exigir una cantidad mínima de capital social y unos niveles mínimos de recursos propios, proporcionados al volumen de actividad que lleven a cabo estas entidades, es una medida de seguridad que redunda en beneficio de los inversores y, que garantiza la igualdad entre los operadores </w:t>
      </w:r>
      <w:r>
        <w:lastRenderedPageBreak/>
        <w:t>del mercado, condiciones todas ellas que afectan, en último término, a la estabilidad del sistema financiero [F.J. 10].</w:t>
      </w:r>
    </w:p>
    <w:p w:rsidR="006854DA" w:rsidRDefault="006854DA" w:rsidP="006854DA">
      <w:pPr>
        <w:pStyle w:val="Extracto"/>
      </w:pPr>
    </w:p>
    <w:p w:rsidR="006854DA" w:rsidRDefault="006854DA" w:rsidP="006854DA">
      <w:pPr>
        <w:pStyle w:val="Extracto"/>
      </w:pPr>
      <w:r>
        <w:t>41.</w:t>
      </w:r>
      <w:r>
        <w:tab/>
        <w:t>Las normas de incompatibilidades que se establecen en el art. 69 han de considerarse como bases de la ordenación del crédito (art. 149.1.11 C.E.) por cuanto pretenden ser una garantía de la transparencia de los sujetos que intervienen en operaciones relacionadas con el mercado de valores [F.J. 10].</w:t>
      </w:r>
    </w:p>
    <w:p w:rsidR="006854DA" w:rsidRDefault="006854DA" w:rsidP="006854DA">
      <w:pPr>
        <w:pStyle w:val="Extracto"/>
      </w:pPr>
    </w:p>
    <w:p w:rsidR="006854DA" w:rsidRDefault="006854DA" w:rsidP="006854DA">
      <w:pPr>
        <w:pStyle w:val="Extracto"/>
      </w:pPr>
      <w:r>
        <w:t>42.</w:t>
      </w:r>
      <w:r>
        <w:tab/>
        <w:t>La atribución al Gobierno para que desarrolle estas reglas básicas no menoscaba ni tampoco impide que la Generalidad de Cataluña haga lo propio en el ejercicio de su propia competencia al respecto (art. 9.20 de su Estatuto de Autonomía) y, por ello, el art. 78 de la Ley no contradice el orden constitucional de competencias si se interpreta en el sentido que aquí acaba de exponerse [F.J. 11].</w:t>
      </w:r>
    </w:p>
    <w:p w:rsidR="006854DA" w:rsidRDefault="006854DA" w:rsidP="006854DA">
      <w:pPr>
        <w:pStyle w:val="Extracto"/>
      </w:pPr>
    </w:p>
    <w:p w:rsidR="006854DA" w:rsidRDefault="006854DA" w:rsidP="006854DA">
      <w:pPr>
        <w:pStyle w:val="Extracto"/>
      </w:pPr>
      <w:r>
        <w:t>43.</w:t>
      </w:r>
      <w:r>
        <w:tab/>
        <w:t>Las facultades de supervisión, inspección y sanción se ejercerán en relación con las conductas de las entidades y personas que se relacionan en el art. 84, esto es, aquéllas que operan, de forma muy diversa, en los mercados de valores. La necesidad de imponer, con carácter unitario en todo el territorio del Estado, un sistema corrector de las posibles infracciones de la Ley del Mercado de Valores no queda garantizada por la sujeción de esas entidades y personas al régimen de supervisión, inspección y sanción que, con carácter básico, define el Titulo VIII de la Ley. Es necesaria, además, una unitaria ejecución cuando se trata de valores admitidos a negociación en Bolsas ubicadas en territorios de distintas Comunidades Autónomas. Las facultades de supervisión, inspección y sanción no pueden separarse de la competencia sustantiva a la que sirven. Desde esta óptica, es lícito que una Comunidad Autónoma no pueda ejercer funciones de supervisión, inspección y sanción sobre entidades y personas físicas y jurídicas en relación con valores que además de operar en las Bolsas de su territorio, lo hacen también en Bolsas situadas en otras Comunidades Autónomas e, incluso, fuera del territorio nacional [F.J. 12].</w:t>
      </w:r>
    </w:p>
    <w:p w:rsidR="006854DA" w:rsidRDefault="006854DA" w:rsidP="006854DA">
      <w:pPr>
        <w:pStyle w:val="Extracto"/>
      </w:pPr>
    </w:p>
    <w:p w:rsidR="006854DA" w:rsidRDefault="006854DA" w:rsidP="006854DA">
      <w:pPr>
        <w:pStyle w:val="Extracto"/>
      </w:pPr>
      <w:r>
        <w:t>44.</w:t>
      </w:r>
      <w:r>
        <w:tab/>
        <w:t>Es evidente que una situación de excepcional gravedad que pueda poner en peligro la efectividad de los recursos o la estabilidad de los organismos rectores de los mercados secundarios, del Sistema de Interconexión Bursátil o de las Sociedades y Agencias de Valores, o su liquidez o solvencia, es una situación que puede afectar al mercado de valores, globalmente considerado, y, más en general a la estabilidad del sistema financiero. Estas facultades de intervención y sustitución de los órganos rectores de estas entidades están directamente vinculadas a la ordenación básica del crédito, más concretamente, al mantenimiento de la regularidad y seguridad de las entidades que conforma: El mercado de valores que constituye una pieza clave del sistema financiero [F.J. 12].</w:t>
      </w:r>
    </w:p>
    <w:p w:rsidR="006854DA" w:rsidRDefault="006854DA" w:rsidP="006854DA">
      <w:pPr>
        <w:pStyle w:val="Extracto"/>
      </w:pPr>
    </w:p>
    <w:p w:rsidR="006854DA" w:rsidRDefault="006854DA" w:rsidP="006854DA">
      <w:pPr>
        <w:pStyle w:val="Extracto"/>
      </w:pPr>
      <w:r>
        <w:t>45.</w:t>
      </w:r>
      <w:r>
        <w:tab/>
        <w:t xml:space="preserve">Ni la unidad del mercado, ni la seguridad jurídica de los que operan en Bolsa se quebrantan por el hecho de que la Bolsas que en la actualidad existen en las Comunidades Autónomas recurrentes, únicas a las que se refiere la disposición adicional primera, sigan denominándose «Bolsas Oficiales de Comercio». Si el cambio de denominación no es por lo que acaba de decirse, una necesidad para alcanzar las finalidades propias de la ordenación básica, hay que concluir que la </w:t>
      </w:r>
      <w:r>
        <w:lastRenderedPageBreak/>
        <w:t>previsión de la disposición adicional primera vulnera las competencias de los recurrentes [F.J 13].</w:t>
      </w:r>
    </w:p>
    <w:p w:rsidR="006854DA" w:rsidRDefault="006854DA" w:rsidP="006854DA">
      <w:pPr>
        <w:pStyle w:val="Extracto"/>
      </w:pPr>
    </w:p>
    <w:p w:rsidR="006854DA" w:rsidRDefault="006854DA" w:rsidP="006854DA">
      <w:pPr>
        <w:pStyle w:val="Extracto"/>
      </w:pPr>
      <w:r>
        <w:t>46.</w:t>
      </w:r>
      <w:r>
        <w:tab/>
        <w:t>Si la finalidad del requerimiento previsto en el art. 63 LOTC es la de apurar las posibilidades de resolución convencional o negociada de las diferencias entre el Estado y las Comunidades Autónomas, dando al Gobierno de la Nación la oportunidad de evitar, si lo estima necesario y conveniente, la impugnación de sus actos y disposiciones y el consiguiente enfrentamiento en un proceso constitucional (STC 104/1989), es evidente que en el caso tal finalidad fue satisfecha en la medida en que, requerido de incompetencia en relación con la integridad de los dos Reales Decretos, ha de entenderse que lo fue también respecto de todos y cada uno de los actos de ejecución disciplinados en los artículos que el Gobierno Vasco trae ahora a colación, máxime si se tiene presente que los títulos competenciales entonces invocados son los mismos que se esgrimen en esta sede (arts. 10.29 y 12.3 E.A.P.V.), pues, en definitiva, lo decisivo es el efectivo planteamiento de la controversia competencial, que el trámite de requerimiento no ha logrado hacer desaparecer con la actividad desplegada por el requerido mediante la invocación de unos títulos competenciales con los que pretende atraer para sí la totalidad de las competencias ejercitadas en las disposiciones impugnadas (STC 209/1989) o, al menos, algunas de ellas [F.J. 14].</w:t>
      </w:r>
    </w:p>
    <w:p w:rsidR="006854DA" w:rsidRDefault="006854DA" w:rsidP="006854DA">
      <w:pPr>
        <w:pStyle w:val="Extracto"/>
      </w:pPr>
    </w:p>
    <w:p w:rsidR="006854DA" w:rsidRDefault="006854DA" w:rsidP="006854DA">
      <w:pPr>
        <w:pStyle w:val="Extracto"/>
      </w:pPr>
      <w:r>
        <w:t>47.</w:t>
      </w:r>
      <w:r>
        <w:tab/>
        <w:t>Ya que la competencia del País Vasco para el establecimiento y regulación de las Bolsas y centros de contratación de valores de su territorio -conceptos que no coinciden con el más amplio de «mercado de valores»- es compartida en la medida en que los centros de contratación de valores, en general, y las Bolsas, en particular, son parte integrante de dicho mercado de valores, regido por el principio de unidad (STC 96/1984), sobre el que el Estado tiene competencia para establecer las bases, en virtud de los títulos competenciales del art. 149.1.11 y 13 C.E., al margen de la competencia exclusiva sobre legislación mercantil «ex» art. 149.1.6 C.E. [F.J. 15].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lastRenderedPageBreak/>
        <w:t>SENTENCIA</w:t>
      </w:r>
    </w:p>
    <w:p w:rsidR="006854DA" w:rsidRDefault="006854DA" w:rsidP="006854DA">
      <w:pPr>
        <w:pStyle w:val="TextoNormalCentrado"/>
        <w:keepNext/>
      </w:pPr>
    </w:p>
    <w:p w:rsidR="006854DA" w:rsidRDefault="006854DA" w:rsidP="006854DA">
      <w:pPr>
        <w:pStyle w:val="TextoNormal"/>
      </w:pPr>
      <w:r>
        <w:t>En los recursos de inconstitucionalidad acumulados núms. 1.712/88, 1.716/88 y 1.724/88 promovidos, respectivamente, por el Gobierno Vasco, el Parlamento de Cataluña y el Consejo Ejecutivo de la Generalidad de Cataluña, contra la Ley 24/1988, de 28 de julio, del Mercado de Valores así como en los conflictos positivos de competencia núms. 1.527/89 y 1.924/89, planteados por el Gobierno Vasco contra los Reales Decretos 276/1989, de 22 de marzo, de Sociedades y Agencias de Valores, y 717/1.989, de 23 de junio (núm. 726/89, conforme a corrección de erratas publicada en el B.O.E. nº 152, de 27 de junio de 1.989), sobre Sociedades Rectoras y miembros de las Bolsas de Valores, Sociedad de Bolsas y Fianza Colectiva, respectivamente. Ha comparecido el Gobierno de la Nación, representado y defendido por el Abogado del Estado, y ha sido Ponente el Magistrado don Rafael de Mendizábal Allende, quien expresa el parecer del Tribunal.</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A) El Gobierno Vasco, en escrito registrado el 28 de octubre de 1988, interpuso recurso de inconstitucionalidad contra la Disposición adicional primera de la Ley 24/1988, del Mercado de Valores, así como contra los arts. 31, 59 y contra el párrafo del art. 84 que declara el carácter básico de ciertos preceptos de esta Ley. Subsidiariamente, impugna la totalidad de la Ley y los siguientes artículos: 13, 17, 26, 27, 28, 31, 32, 33, 34, 35, 46, 47, 48, 51, 59, 62, 64, 66 e), 67, 84, 87, 92, 107, además de la Disposición adicional primera, por considerar que la mencionada Ley no respeta el reparto competencial que en la materia ha establecido el llamado bloque de constitucionalidad, en detrimento de las competencias de la Comunidad Autónoma del País Vasco. </w:t>
      </w:r>
    </w:p>
    <w:p w:rsidR="006854DA" w:rsidRDefault="006854DA" w:rsidP="006854DA">
      <w:pPr>
        <w:pStyle w:val="TextoNormal"/>
      </w:pPr>
      <w:r>
        <w:t xml:space="preserve">B) En la misma fecha se recibió el recurso de inconstitucionalidad formulado por el Parlamento de Cataluña, siendo numerado con el 1.716/88, en solicitud de que fuera declarada la inconstitucionalidad y nulidad de los arts. 15, 17, 19, 20, 28.4, 32.1, 33, 34, 36, 46, 47, 48, 49, 50, 51, 52, 54, 62, 64, 67, 69, 84, último párrafo, 95.3, 97, 98, 107 y de la Disposición adicional primera de la misma Ley. </w:t>
      </w:r>
    </w:p>
    <w:p w:rsidR="006854DA" w:rsidRDefault="006854DA" w:rsidP="006854DA">
      <w:pPr>
        <w:pStyle w:val="TextoNormal"/>
      </w:pPr>
      <w:r>
        <w:t xml:space="preserve">C) Simultáneamente, el Consejo Ejecutivo de la Generalidad de Cataluña promovió recurso de inconstitucionalidad contra la totalidad de la citada Ley y, subsidiariamente, contra sus arts. 13, 17, 20, 31.d, 59, 45, 49, 50, 51, 52, 54, 36, Disposición transitoria décima, en relación con el art. 46, arts. 48, 62, 64, 66, 67, 92, y por conexión con él los arts. 6.2, 7.2 y 3, 26.a), b) y d), 27.2, 28.4, 62.3 y 63.1; los arts. 28.4, 27.2, 32.1, 33, 34, 40.2, 42, 53.1, 62.1, 64.1, 67, 78, 84, 107 y las Disposiciones adicionales primera y segunda. </w:t>
      </w:r>
    </w:p>
    <w:p w:rsidR="006854DA" w:rsidRDefault="006854DA" w:rsidP="006854DA">
      <w:pPr>
        <w:pStyle w:val="TextoNormal"/>
      </w:pPr>
      <w:r>
        <w:t>D) El Gobierno Vasco, en escrito presentado el 22 de julio de 1989, suscitó conflicto positivo de competencia en relación con el Real Decreto 276/1989, de 22 de marzo, sobre Sociedades y Agencias de Valores, y en otro que lo fue el 29 de septiembre del mismo año, frente al Real Decreto 717/1.989, de 23 de junio (núm. 726/89, conforme a corrección de erratas publicada en el B.O.E. nº 152, de 27 de junio de 1.989), sobre Sociedades Rectoras y miembros de las Bolsas de Valores, Sociedad de Bolsas y Fianza Colectiva.</w:t>
      </w:r>
    </w:p>
    <w:p w:rsidR="006854DA" w:rsidRDefault="006854DA" w:rsidP="006854DA">
      <w:pPr>
        <w:pStyle w:val="TextoNormal"/>
      </w:pPr>
    </w:p>
    <w:p w:rsidR="006854DA" w:rsidRDefault="006854DA" w:rsidP="006854DA">
      <w:pPr>
        <w:pStyle w:val="TextoNormal"/>
      </w:pPr>
      <w:r w:rsidRPr="006854DA">
        <w:rPr>
          <w:rStyle w:val="NumeroAFNegritaCaracter"/>
        </w:rPr>
        <w:t>2</w:t>
      </w:r>
      <w:r>
        <w:t>. Las Secciones a quienes fueron correspondiendo por reparto los tres mencionados recursos de inconstitucionalidad (Primera, Segunda y Tercera) dictaron, el 7 de noviembre de 1988, tres providencias admitiendo a trámite las demandas respectivas, a la vez que se daba traslado de ellas al Congreso de los Diputados y al Senado, por conducto de sus Pre</w:t>
      </w:r>
      <w:r>
        <w:lastRenderedPageBreak/>
        <w:t xml:space="preserve">sidentes, así como al Gobierno de la Nación, a través del Ministro de Justicia para que, en el plazo de quince días, pudieran personarse en los procesos y formular las alegaciones que estimaran oportunas y mandando publicar en el Boletín Oficial del Estado los edictos donde se anunciaba la interposición de los tres recursos. El Presidente del Congreso comunicó que no haría uso de las facultades de personarse y formular alegaciones, aun cuando pusiera a disposición de este Tribunal las actuaciones parlamentarias que pudiere necesitar. </w:t>
      </w:r>
    </w:p>
    <w:p w:rsidR="006854DA" w:rsidRDefault="006854DA" w:rsidP="006854DA">
      <w:pPr>
        <w:pStyle w:val="TextoNormal"/>
      </w:pPr>
      <w:r>
        <w:t>Por su parte, el Abogado del Estado se personó en los tres recursos mediante escrito de 17 de noviembre de 1988, solicitando su acumulación. Una vez oídas las demás partes respecto de tal petición, el Pleno de este Tribunal en Auto de 17 de enero de 1989 acordó que los dos últimos por su numeración fueran acumulados al primero, el núm. 1.712/88, y concedió al Abogado del Estado un plazo de quince días para que pudiera formular las alegaciones conducentes a la defensa de su posición procesal.</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Los dos conflictos positivos de competencia fueron admitidos en sendas providencias que el 10 de agosto y 16 de octubre de 1989 dictaron la Secciones de Vacaciones y Tercera, respectivamente, en las que se dio traslado de las demandas al Gobierno de la Nación para que en el plazo de veinte días pudiera aportar los documentos y alegaciones que considerase convenientes, se acordó dirigir oficio al Presidente del Tribunal Supremo para conocimiento de la Sala de lo Contencioso- Administrativo por si ante ella estuvieran impugnados o se impugnasen los Reales Decretos objeto de los mismos y se ordenó publicar su incoación en los Boletines Oficiales del Estado y del País Vasco. </w:t>
      </w:r>
    </w:p>
    <w:p w:rsidR="006854DA" w:rsidRDefault="006854DA" w:rsidP="006854DA">
      <w:pPr>
        <w:pStyle w:val="TextoNormal"/>
      </w:pPr>
      <w:r>
        <w:t xml:space="preserve">Una vez personado el Abogado del Estado y a su instancia, en otras dos providencias de 27 de noviembre, se acordó seguir la tramitación de cada uno de ellos en la forma prevista para los recursos de inconstitucionalidad, dando traslado de las demandas y de los documentos acompañados al Congreso de los Diputados y al Senado. El Presidente del Congreso comunicó que no haría uso de las facultades de personarse y formular alegaciones, aun cuando pusiera a disposición de este Tribunal las actuaciones parlamentarias que pudiere necesitar y el del Senado se personó ofreciendo su colaboración a los efectos del art. 88.1 LOTC. </w:t>
      </w:r>
    </w:p>
    <w:p w:rsidR="006854DA" w:rsidRDefault="006854DA" w:rsidP="006854DA">
      <w:pPr>
        <w:pStyle w:val="TextoNormal"/>
      </w:pPr>
      <w:r>
        <w:t>Por iniciativa también del Abogado del Estado, expresada en su escrito de alegaciones del conflicto 1.904/89, se oyó a las demás partes sobre la acumulación de dicho conflicto y del núm. 1.527/89 al recurso de inconstitucionalidad 1.712/88, al cual ya habían sido acumulados los también recursos de inconstitucionalidad 1.716/88 y 1.724/88. El Pleno del Tribunal, en Auto de 30 de enero de 1990, acordó la acumulación interesada.</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El Gobierno Vasco, en la demanda del recurso de inconstitucionalidad núm. 1.712/88, después de poner de relieve la ambigüedad de la Ley a la hora de identificar los títulos competenciales en virtud de los cuales se dicta, así como en determinar qué es lo que corresponde al Estado y qué a las Comunidades Autónomas, se refiere al reparto competencial en la materia que, según él, está presidido por los arts. 10.29 y 12.3 del Estatuto de Autonomía del País Vasco (E.A.P.V.), de un lado, y por el art. 149.1.6 C.E. de otro. En virtud del art. 10.29 del Estatuto de Autonomía del País Vasco, la Comunidad Autónoma tiene competencia exclusiva en materia de establecimiento y regulación de Bolsas de Comercio y demás centros de contratación de mercancías y de valores conforme a la legislación mercantil. El art. 12.3 del Estatuto le atribuye la competencia para la ejecución de la legislación del Estado en materia de nombramiento de Registradores de la Propiedad, </w:t>
      </w:r>
      <w:r>
        <w:lastRenderedPageBreak/>
        <w:t xml:space="preserve">Agentes de Cambio y Bolsa y Corredores de Comercio. Finalmente, el art. 149.1.6 C.E. reserva al Estado la competencia exclusiva sobre la legislación mercantil. </w:t>
      </w:r>
    </w:p>
    <w:p w:rsidR="006854DA" w:rsidRDefault="006854DA" w:rsidP="006854DA">
      <w:pPr>
        <w:pStyle w:val="TextoNormal"/>
      </w:pPr>
      <w:r>
        <w:t xml:space="preserve">Una primera lectura del art. 10.29 del Estatuto de Autonomía del País Vasco, que haga abstracción del inciso último que requiere la conformidad con la legislación mercantil, revela que la Comunidad Autónoma del País Vasco tiene potestad legislativa para establecer Bolsas de Comercio y otros centros de contratación de valores, esto es, para fundar e instituir tales centros; además tiene potestad legislativa para regular su funcionamiento. Esta primera lectura nos remite al Código de Comercio cuyo art. 66 establece que la creación de Bolsas es función del Gobierno. En principio, pues, aquí se apunta una contradicción aparente con la formulación del art. 10.29 del Estatuto de Autonomía del País Vasco, ya que atribuye a la Comunidad Autónoma competencia exclusiva en una materia que no puede ser sino calificada de mercantil y a continuación afirma que el ejercicio de la citada competencia ha de hacerse de conformidad con la legislación mercantil, para la que el único competente es el Estado en virtud del art. 149.1.6 C.E.. </w:t>
      </w:r>
    </w:p>
    <w:p w:rsidR="006854DA" w:rsidRDefault="006854DA" w:rsidP="006854DA">
      <w:pPr>
        <w:pStyle w:val="TextoNormal"/>
      </w:pPr>
      <w:r>
        <w:t xml:space="preserve">El Tribunal Constitucional ha tenido ocasión de interpretar el alcance del título competencial del art. 10.29 del Estatuto de Autonomía del País Vasco. Su doctrina (SSTC 37/1981 y 14/1986) puede quedar resumida en los términos siguientes: la reserva del art. 149.1.6 C.E. se extiende a las reglas de Derecho privado que disciplinan la actividad mercantil; la competencia del art. 10.29 del Estatuto de Autonomía del País Vasco se extiende, por tanto, exclusivamente a las reglas de Derecho público encuadrables en la materia mercantil; y el ejercicio de dicha competencia encuentra límites en las que corresponden al Estado en virtud del art. 149.1.C.E. y, principalmente, en los principios básicos de la llamada Constitución económica. </w:t>
      </w:r>
    </w:p>
    <w:p w:rsidR="006854DA" w:rsidRDefault="006854DA" w:rsidP="006854DA">
      <w:pPr>
        <w:pStyle w:val="TextoNormal"/>
      </w:pPr>
      <w:r>
        <w:t xml:space="preserve">De acuerdo con lo dicho, el presente recurso se ciñe a las normas de la Ley 24/1988 que siendo Derecho público inciden en el ámbito material al que alude el art. 10.29 del Estatuto de Autonomía del País Vasco La lectura de los preceptos del Código de Comercio relativos a las Bolsas de Comercio y otros lugares públicos de contratación, pone de relieve que nos encontramos ante normas de Derecho público que ordenan un establecimiento público para el servicio y utilidad de los comerciantes, que además está administrado por funcionarios públicos. Por tanto, la Comunidad Autónoma del País Vasco tiene competencia para el establecimiento y regulación de Bolsas de Comercio y otros centros públicos de contratación de valores, encontrando el ejercicio de dicha competencia el límite de la regulación de las relaciones entre los particulares y su ámbito de libertad, que queda reservado al Estado. </w:t>
      </w:r>
    </w:p>
    <w:p w:rsidR="006854DA" w:rsidRDefault="006854DA" w:rsidP="006854DA">
      <w:pPr>
        <w:pStyle w:val="TextoNormal"/>
      </w:pPr>
      <w:r>
        <w:t xml:space="preserve">Por lo que respecta a los principios básicos de la llamada Constitución económica, el Gobierno Vasco afirma que la unidad del orden económico nacional es un principio que juega un papel informador del reparto competencial, y en esa medida no debe usarse como criterio para precisar el alcance de una competencia autonómica, sino como regla para enjuiciar la constitucionalidad o no del ejercicio que los entes territoriales hagan de las competencias que les atribuye el ordenamiento jurídico. Por ello, el Estado no puede incidir en las Bolsas de Valores de la Comunidad Autónoma en virtud de la garantía de la unidad del mercado, sino que podrá hacerlo sólo al amparo de un título competencial que esté expresamente previsto en la C.E. Pues bien, no se encuentra en la lista de la Constitución un precepto que atribuya específicamente al Estado la competencia en materia de Bolsas de comercio o regulación del mercado de valores. Ello no obstante, el Estado tendría competencia en virtud de la cláusula de cierre del art. 149.3 C.E. </w:t>
      </w:r>
    </w:p>
    <w:p w:rsidR="006854DA" w:rsidRDefault="006854DA" w:rsidP="006854DA">
      <w:pPr>
        <w:pStyle w:val="TextoNormal"/>
      </w:pPr>
      <w:r>
        <w:t xml:space="preserve">Así pues, concluye el Gobierno Vasco, las reglas que presiden el reparto competencial en el presente caso son las siguientes: 1) La Comunidad Autónoma en virtud del art. 10.29 </w:t>
      </w:r>
      <w:r>
        <w:lastRenderedPageBreak/>
        <w:t xml:space="preserve">del Estatuto de Autonomía del País Vasco tiene competencia exclusiva para el establecimiento y regulación de Bolsas de Comercio y demás centros de contratación de valores. En su actividad legislativa no podrá dictar normas de Derecho privado que disciplinen la actividad mercantil y habrá de respetar la unidad del mercado nacional, así como las competencias del Estado ex art. 149.1 C.E., especialmente las integrantes de la Constitución económica; 2) En virtud de la cláusula del art. 149.3 C.E., el Estado tiene competencia para establecer la regulación de la Ley 24/1988 respecto de las Bolsas de Valores, pero con carácter de Derecho supletorio, de tal manera que si la Comunidad Autónoma ejerciera su competencia en la materia se produciría el desplazamiento de la legislación estatal. Podría invocarse como título que legitima al legislador estatal para incidir en esta materia el previsto en el art. 149.1.13 C.E., esto es, las bases y coordinación de la planificación general de la actividad económica. Sin embargo, debe rechazarse esta tesis, en primer lugar porque requeriría una interpretación excesivamente forzada del título competencial mencionado, ya que poco o nada tiene que ver la planificación general de la economía con el establecimiento y regulación de centros públicos de contratación de valores, y, en segundo término, porque la garantía de la unidad de mercado no requiere inexcusablemente que el Estado fije las bases o, como ocurre en la Ley 24/1988, regule acabadamente la materia de las Bolsas de Valores. </w:t>
      </w:r>
    </w:p>
    <w:p w:rsidR="006854DA" w:rsidRDefault="006854DA" w:rsidP="006854DA">
      <w:pPr>
        <w:pStyle w:val="TextoNormal"/>
      </w:pPr>
      <w:r>
        <w:t xml:space="preserve">Por lo que respecta al art. 12.3 del Estatuto de Autonomía del País Vasco el Gobierno Vasco invoca la STC 81/1984 según la cual corresponde a la Comunidad Autónoma del País Vasco el acto de nombramiento de los fedatarios a que alude el citado precepto, con exclusión de otras intervenciones administrativas propias del proceso de selección. </w:t>
      </w:r>
    </w:p>
    <w:p w:rsidR="006854DA" w:rsidRDefault="006854DA" w:rsidP="006854DA">
      <w:pPr>
        <w:pStyle w:val="TextoNormal"/>
      </w:pPr>
      <w:r>
        <w:t xml:space="preserve">Refiriéndose al contraste de la Ley 24/1988 con las normas del reparto competencial en la materia, argumenta que la Constitución no ha reservado al Estado específicamente ningún nivel competencial sobre creación y regulación del funcionamiento de Bolsas y Mercados de Valores, lo que significa que tal materia no es relevante a efectos de preservar la unidad del mercado. De acuerdo con ello, debe concluirse que por carecer el Estado de un título específico en esta materia, la Disposición Adicional primera de la Ley 24/1988 resulta plenamente inconstitucional al prescribir la aplicación íntegra de las normas contenidas en la misma a la Bolsa de Comercio de Bilbao. Con ello se produce un vaciamiento del título competencial del art. 10.29 del Estatuto de Autonomía del País Vasco que queda reducido a meros aspectos de ejecución. </w:t>
      </w:r>
    </w:p>
    <w:p w:rsidR="006854DA" w:rsidRDefault="006854DA" w:rsidP="006854DA">
      <w:pPr>
        <w:pStyle w:val="TextoNormal"/>
      </w:pPr>
      <w:r>
        <w:t xml:space="preserve">Tampoco respetan el nivel competencial de la Comunidad Autónoma recurrente los arts. 31 y 59 de la Ley que cierran definitivamente la posibilidad de que la Comunidad Autónoma pueda crear otros centros de contratación de valores distintos de la Bolsa de Comercio. Idéntico vicio de inconstitucionalidad pesa sobre el art. 84 que, por cierto, es el único que menciona el carácter básico de ciertos preceptos de la misma. Dicho precepto viene a salvaguardar las competencias de supervisión, inspección y sanción de las Comunidad Autónoma respecto de las Sociedades rectoras de las Bolsas de su territorio. La tacha de inconstitucionalidad que se opone al art. 84 es que el legislador estatal no tiene competencia para señalar base alguna en relación con la Comunidad Autónoma del País Vasco y con la competencia que a la misma le atribuye el art. 10.29 del Estatuto de Autonomía del País Vasco. </w:t>
      </w:r>
    </w:p>
    <w:p w:rsidR="006854DA" w:rsidRDefault="006854DA" w:rsidP="006854DA">
      <w:pPr>
        <w:pStyle w:val="TextoNormal"/>
      </w:pPr>
      <w:r>
        <w:t xml:space="preserve">Alternativamente, y para el caso de que no fuera estimado el anterior motivo, que propugna la inaplicabilidad de los preceptos de la Ley 24/1988 relativos a las Bolsas de Valores en el ámbito de la Comunidad Autónoma recurrente, el Gobierno Vasco sostiene que sobre la Ley 24/1988 pesa un vicio de inconstitucionalidad formal por no haber expresado el carácter básico o parcialmente básico de la misma. </w:t>
      </w:r>
    </w:p>
    <w:p w:rsidR="006854DA" w:rsidRDefault="006854DA" w:rsidP="006854DA">
      <w:pPr>
        <w:pStyle w:val="TextoNormal"/>
      </w:pPr>
      <w:r>
        <w:lastRenderedPageBreak/>
        <w:t xml:space="preserve">También desde el concepto material de bases se postula la inconstitucionalidad de diversos preceptos de la Ley, bien por contener normas de detalle, bien por contener normas que no responden a la finalidad constitucional de las normas básicas, esto es, el establecimiento de un mínimo común denominador normativo que venga exigido por la protección de intereses generales. En este sentido, para el Gobierno Vasco, son inconstitucionales los artículos siguientes: </w:t>
      </w:r>
    </w:p>
    <w:p w:rsidR="006854DA" w:rsidRDefault="006854DA" w:rsidP="006854DA">
      <w:pPr>
        <w:pStyle w:val="TextoNormal"/>
      </w:pPr>
      <w:r>
        <w:t xml:space="preserve">Art. 13: La constitucionalidad del art. 13 solamente queda salvada en el supuesto de que sea interpretado sin perjuicio de las competencias que ostentan las Comunidades Autónomas, o, más específicamente, sin perjuicio de las competencias que ostenta la Comunidad Autónoma del País Vasco en virtud del art. 10.29 del Estatuto de Autonomía del País Vasco, de supervisión, inspección, ejercicio de la potestad sancionadora, protección de los inversores y vigilancia de la correcta formación de los precios y transparencia del mercado. La atribución genérica de todas estas funciones a la Comisión Nacional del Mercado de Valores no viene exigida por la garantía de intereses generales y, por tanto, no puede formar parte de lo básico, máxime cuando se trata de meros actos de ejecución. </w:t>
      </w:r>
    </w:p>
    <w:p w:rsidR="006854DA" w:rsidRDefault="006854DA" w:rsidP="006854DA">
      <w:pPr>
        <w:pStyle w:val="TextoNormal"/>
      </w:pPr>
      <w:r>
        <w:t xml:space="preserve">Art. 17: Este precepto, al configurar la composición del Consejo de la Comisión Nacional del Mercado de Valores, excluye a la Comunidad Autónoma del País Vasco del mismo, sin que se pueda considerar que la exigencia de participación quede colmada con la exigua presencia que se le reconoce en el seno de su Comité consultivo. Y ello fundamentalmente porque, como su propio nombre indica, se trata de un Comité consultivo y no ejecutivo. </w:t>
      </w:r>
    </w:p>
    <w:p w:rsidR="006854DA" w:rsidRDefault="006854DA" w:rsidP="006854DA">
      <w:pPr>
        <w:pStyle w:val="TextoNormal"/>
      </w:pPr>
      <w:r>
        <w:t xml:space="preserve">Arts. 26, 27 y 28: Estos preceptos presuponen la exclusiva competencia de la Comisión Nacional del Mercado de Valores para la llevanza de los Registros a que alude el art. 92, siendo evidente que tal función no constituye sino una actividad de mera ejecución para la que resulta competente la Comunidad Autónoma del País Vasco en virtud del art. 10.29 de su Estatuto de Autonomía. Por tanto, las alusiones contenidas en los citados preceptos a la Comisión Nacional del Mercado de Valores deben ser entendidas como referidas al órgano al que en la Comunidad Autónoma recurrente se atribuya el ejercicio de aquella función. </w:t>
      </w:r>
    </w:p>
    <w:p w:rsidR="006854DA" w:rsidRDefault="006854DA" w:rsidP="006854DA">
      <w:pPr>
        <w:pStyle w:val="TextoNormal"/>
      </w:pPr>
      <w:r>
        <w:t xml:space="preserve">Arts. 31 y 59: La lectura de ambos preceptos pone de relieve que la Ley 24/1988 cierra el paso a la existencia de cualquier otro mercado secundario que no sea uno de los definidos por el art. 31. Si tenemos en cuenta que el art. 10.29 del Estatuto de Autonomía del País Vasco atribuye a la Comunidad Autónoma la competencia exclusiva en materia de establecimiento y regulación de Bolsas de Comercio y demás centros de contratación de valores es preciso concluir que los arts. 39 y 59 infringen claramente el precepto estatutario al impedir que por la Comunidad Autónoma puedan crearse otros mercados secundarios distintos de las Bolsas de Comercio, cual pudiera ser el de la Deuda Pública de la Comunidad Autónoma representada por anotaciones en cuenta. Ello reviste mayor gravedad si se toma en consideración que, además, el art. 55 requiere la autorización del Ministerio de Economía y Hacienda para que la Deuda Pública emitida por la Comunidad Autónoma pueda tener acceso al mercado de la Deuda Pública representada por anotaciones en cuenta. </w:t>
      </w:r>
    </w:p>
    <w:p w:rsidR="006854DA" w:rsidRDefault="006854DA" w:rsidP="006854DA">
      <w:pPr>
        <w:pStyle w:val="TextoNormal"/>
      </w:pPr>
      <w:r>
        <w:t xml:space="preserve">Art. 32: La atribución a la Comisión Nacional del Mercado de Valores de la función de verificar el cumplimiento de los requisitos que deben reunir los valores para su admisión a negociación atenta contra la competencia del art. 10.29 del Estatuto de Autonomía del País Vasco, ya que no viene exigida por razón de la construcción de un mercado único, con el que es desde luego plenamente compatible el que la verificación del cumplimiento de los requisitos se haga por cada autoridad autonómica con valor y efecto en las demás Bolsas </w:t>
      </w:r>
      <w:r>
        <w:lastRenderedPageBreak/>
        <w:t xml:space="preserve">de Valores, tal como hoy ocurre a tenor del art. 34 del Reglamento de las Bolsas de Comercio. Las instituciones comunitarias han entendido en la Directiva 79/279/CEE que la garantía de la creación de un mercado único reside en el establecimiento de modo unitario de los requisitos que deben reunir los valores para su admisión a negociación. El acto concreto de verificación del cumplimiento de los mismos no tiene por qué ser realizado por una autoridad central, por ser ello innecesario a los expresados fines. </w:t>
      </w:r>
    </w:p>
    <w:p w:rsidR="006854DA" w:rsidRDefault="006854DA" w:rsidP="006854DA">
      <w:pPr>
        <w:pStyle w:val="TextoNormal"/>
      </w:pPr>
      <w:r>
        <w:t xml:space="preserve">Tampoco cabe justificar la centralización de los actos de verificación del cumplimiento de requisitos exigidos para la admisión a cotización de los valores en una supuesta extra- territorialidad. De un lado, porque el art. 31 residencia en la Comisión Nacional del Mercado de Valores la competencia de verificación, tanto respecto de los valores que negocian en varias Bolsas, como respecto de los que sólo negocien en una Bolsa. De otro, porque, como el Tribunal Constitucional ha admitido, la limitación territorial de eficacia de las normas y actos no puede significar que las Comunidades Autónomas en uso de sus competencias no puedan adoptar decisiones que produzcan consecuencias de hecho en otros lugares del territorio nacional. </w:t>
      </w:r>
    </w:p>
    <w:p w:rsidR="006854DA" w:rsidRDefault="006854DA" w:rsidP="006854DA">
      <w:pPr>
        <w:pStyle w:val="TextoNormal"/>
      </w:pPr>
      <w:r>
        <w:t xml:space="preserve">Art. 33: Este precepto incide en idéntico vicio de inconstitucionalidad que el anterior porque atribuye a un órgano estatal la competencia para llevar a cabo un mero acto de ejecución (la suspensión de la cotización de un valor) aun cuando negocie exclusivamente en una Bolsa de Valores. </w:t>
      </w:r>
    </w:p>
    <w:p w:rsidR="006854DA" w:rsidRDefault="006854DA" w:rsidP="006854DA">
      <w:pPr>
        <w:pStyle w:val="TextoNormal"/>
      </w:pPr>
      <w:r>
        <w:t xml:space="preserve">Art. 34: Este precepto vulnera la doctrina del Tribunal Constitucional sobre las bases, según la cual sólo excepcionalmente pueden ser declarados básicos meros actos de ejecución cuando, por la naturaleza de la materia, resultan complemento necesario para garantizar la consecución de la finalidad objetiva a que responde la competencia estatal sobre las bases. Ni el logro de un mercado único, ni la preparación de nuestro mercado de valores para 1992, ni finalmente la protección de los inversionistas justifican la centralización en la Comisión Nacional del Mercado de Valores de un acto como el contemplado en el art. 34., que es un mero acto de ejecución cuyo interés no transciende siquiera al propio ámbito interno de funcionamiento de la Bolsa de Valores en la que el valor en cuestión estuviera negociándose. </w:t>
      </w:r>
    </w:p>
    <w:p w:rsidR="006854DA" w:rsidRDefault="006854DA" w:rsidP="006854DA">
      <w:pPr>
        <w:pStyle w:val="TextoNormal"/>
      </w:pPr>
      <w:r>
        <w:t xml:space="preserve">Art. 35: El vicio de inconstitucionalidad de este precepto no reside en la exigencia de la auditoría de cuentas de los estados financieros de las entidades emisoras de valores admitidos a negociación en algún mercado secundario oficial, sino en que postula la ampliación del art. 92 de la Ley, precepto que sí resulta inconstitucional como se verá más adelante. </w:t>
      </w:r>
    </w:p>
    <w:p w:rsidR="006854DA" w:rsidRDefault="006854DA" w:rsidP="006854DA">
      <w:pPr>
        <w:pStyle w:val="TextoNormal"/>
      </w:pPr>
      <w:r>
        <w:t xml:space="preserve">Art. 46: Podría admitirse que fuese el legislador estatal quien señalara con carácter vinculante a la Comunidad Autónoma del País Vasco qué valores podrán ser objeto de negociación en las Bolsas. Sin embargo, no resulta constitucionalmente admisible que tal determinación se atribuya a un órgano administrativo central con la máxima amplitud y libertad a la hora de tomar tales decisiones. Esta disposición resulta contraria al principio de ley formal que se exige para el señalamiento de lo básico, pues, según la STC 69/1988, sólo a través de este instrumento normativo se alcanzará una determinación cierta y estable de los ámbitos respectivos de ordenación de las materias en las que concurren y se articulan las competencias básicas estatales y las legislativas y reglamentarias autonómicas. No resulta, por tanto, constitucionalmente admisible una remisión en blanco como la que efectúa el art. 46. </w:t>
      </w:r>
    </w:p>
    <w:p w:rsidR="006854DA" w:rsidRDefault="006854DA" w:rsidP="006854DA">
      <w:pPr>
        <w:pStyle w:val="TextoNormal"/>
      </w:pPr>
      <w:r>
        <w:t xml:space="preserve">Arts. 47, 48, 51, 62, 64, 66.e) y 67 y Disposición adicional primera: Estos preceptos establecen una organización acabada de las Bolsas de Valores que invade claramente la competencia que a la Comunidad Autónoma recurrente atribuyen el art. 10.29 de su E.A.. Existe un riesgo importante de que en la Comunidad Autónoma del País Vasco no sea </w:t>
      </w:r>
      <w:r>
        <w:lastRenderedPageBreak/>
        <w:t xml:space="preserve">autorizada la creación de ninguna Sociedad o Agencia de Valores, así como de que, dada la existencia del Sistema de Interconexión Bursátil (S.I.B.), ninguna de las Sociedades y Agencias de Valores que sean autorizadas por el Ministerio de Economía y Hacienda suscriban capital de la Sociedad Rectora de la Bolsa de Bilbao. Se está así poniendo en manos del Ministerio la propia existencia de la Bolsa de Bilbao, para cuya preservación las autoridades económicas de la Comunidad Autónoma del País Vasco no encuentran camino alguno en la Ley 24/1988. Este peligro, que en términos competenciales se plasma en un vaciamiento del título competencial del art. 10.29 del Estatuto de Autonomía del País Vasco, sólo tiene solución haciendo posibles otras formas organizativas, como puede ser la propia continuidad de la gestión a través del Colegio Oficial de Agentes de Cambio y Bolsa, o atribuyendo a las autoridades autonómicas la autorización a la que alude el art. 62.1 y el desarrollo reglamentario a que se refiere el art. 66 e), así como la competencia del art. 67. </w:t>
      </w:r>
    </w:p>
    <w:p w:rsidR="006854DA" w:rsidRDefault="006854DA" w:rsidP="006854DA">
      <w:pPr>
        <w:pStyle w:val="TextoNormal"/>
      </w:pPr>
      <w:r>
        <w:t xml:space="preserve">De otro lado, la organización de la Bolsa de Bilbao, o de otras que puedan crearse en la Comunidad Autónoma del País Vasco, bajo el sistema rígido del art. 48, supone igualmente el vaciamiento del art. 10.29 del Estatuto de Autonomía del País Vasco, tanto por imponer la propia existencia de la Sociedad Rectora como sociedad anónima, como por imponer la existencia concreta de un Director General. </w:t>
      </w:r>
    </w:p>
    <w:p w:rsidR="006854DA" w:rsidRDefault="006854DA" w:rsidP="006854DA">
      <w:pPr>
        <w:pStyle w:val="TextoNormal"/>
      </w:pPr>
      <w:r>
        <w:t xml:space="preserve">En otro orden de cosas, la negociación exclusiva de valores en el S.I.B. no puede ser una decisión ajena a las autoridades económicas del País Vasco. La actual redacción del art. 51 supone un total desconocimiento del título competencial del art. 10.29 del Estatuto de Autonomía del País Vasco, por cuanto además los valores susceptibles de ser centralizados en el S.I.B. constituyen el grueso de la actividad de las Bolsas de Valores actuales. </w:t>
      </w:r>
    </w:p>
    <w:p w:rsidR="006854DA" w:rsidRDefault="006854DA" w:rsidP="006854DA">
      <w:pPr>
        <w:pStyle w:val="TextoNormal"/>
      </w:pPr>
      <w:r>
        <w:t xml:space="preserve">Art. 84: Tratándose del ejercicio de la actividad sancionadora en una materia en la que la Comunidad Autónoma tiene competencia de desarrollo legislativo, resulta verdaderamente arbitraria e injustificada la retención en manos del Estado de los actos de ejecución a que se refiere este precepto, por la circunstancia de que los valores en relación con cuyas operaciones se vayan a ejercitar las potestades de supervisión, inspección y sanción se negocien en otras Bolsas de Valores además de en la de la Comunidad en que se haya producido. El hecho de que la infracción se cometa en relación con una operación de un valor que negocia en varias Bolsas de Valores no tiene por qué implicar necesariamente extraterritorialidad, como lo pone de relieve el supuesto tipificado en el art. 100.d) de la Ley. </w:t>
      </w:r>
    </w:p>
    <w:p w:rsidR="006854DA" w:rsidRDefault="006854DA" w:rsidP="006854DA">
      <w:pPr>
        <w:pStyle w:val="TextoNormal"/>
      </w:pPr>
      <w:r>
        <w:t xml:space="preserve">Además, el modo en que está formulado el precepto excluye la competencia de la Comunidad Autónoma en materia de supervisión, inspección y sanción sobre las demás personas y entidades intervinientes en el mercado de valores, distintas de la Sociedad Rectora de la Bolsa de Valores, en relación con todas aquellas infracciones que no estén relacionadas con operaciones de valores. Finalmente, el art. 84 es inconstitucional por la ambigüedad con que se expresa a la hora de señalar cuáles de los preceptos del Título VIII son básicos. </w:t>
      </w:r>
    </w:p>
    <w:p w:rsidR="006854DA" w:rsidRDefault="006854DA" w:rsidP="006854DA">
      <w:pPr>
        <w:pStyle w:val="TextoNormal"/>
      </w:pPr>
      <w:r>
        <w:t xml:space="preserve">Art. 87: La atribución al Banco de España de las facultades de supervisión e inspección en relación con las entidades financieras a que se refiere el art. 76 desconoce que, además de la competencia del art. 10.29 del Estatuto de Autonomía del País Vasco, la Comunidad Autónoma tiene competencia de desarrollo legislativo en materia de ordenación del crédito [art. 11.2 a) E.A.P.V], por lo que la atribución al Banco de España de tales funciones menoscaba las funciones que la Comunidad Autónoma ostenta en la materia, ya que, tratándose de meros actos de ejecución, sólo excepcionalmente pueden considerarse básicos. </w:t>
      </w:r>
    </w:p>
    <w:p w:rsidR="006854DA" w:rsidRDefault="006854DA" w:rsidP="006854DA">
      <w:pPr>
        <w:pStyle w:val="TextoNormal"/>
      </w:pPr>
      <w:r>
        <w:t>A pesar de lo dicho, el art. 87 puede tener una lectura respetuosa con las competencias de la Comunidad Autónoma recurrente, si, como dice el art. 84, es básico "salvo las refe</w:t>
      </w:r>
      <w:r>
        <w:lastRenderedPageBreak/>
        <w:t xml:space="preserve">rencias contenidas en ellos a órganos o entidades estatales". En tal caso, la referencia al Banco de España habría de entenderse hecha a la autoridad económica de la Comunidad Autónoma que ejerza sus funciones. </w:t>
      </w:r>
    </w:p>
    <w:p w:rsidR="006854DA" w:rsidRDefault="006854DA" w:rsidP="006854DA">
      <w:pPr>
        <w:pStyle w:val="TextoNormal"/>
      </w:pPr>
      <w:r>
        <w:t xml:space="preserve">Art. 92: Este precepto atribuye a la Comisión Nacional del Mercado de Valores la llevanza de una serie de Registros que nada tienen que ver con el Registro Mercantil. Todos ellos son Registros administrativos directamente relacionados con el mercado de valores, cuya finalidad estriba en contribuir al logro de una mayor transparencia del mercado y a una mayor protección de los inversionistas, por lo que debe convenirse que en el ámbito territorial de la Comunidad Autónoma corresponde a las autoridades autonómicas el mantenimiento de tales Registros. Sólo por razones de extraterritorialidad cabría admitir la existencia de tales Registros en un órgano central como la Comisión Nacional del Mercado de Valores, ello sin perjuicio de la necesaria coordinación entre todos los Registros de las distintas Bolsas con el central y de éste con aquéllos. </w:t>
      </w:r>
    </w:p>
    <w:p w:rsidR="006854DA" w:rsidRDefault="006854DA" w:rsidP="006854DA">
      <w:pPr>
        <w:pStyle w:val="TextoNormal"/>
      </w:pPr>
      <w:r>
        <w:t xml:space="preserve">Art. 107: Este precepto atribuye a la Comisión Nacional del Mercado de Valores la competencia para llevar a cabo meros actos de ejecución, tales como la adopción de medidas de intervención o sustitución en relación con las Sociedades Rectoras de las Bolsas, su Servicio de compensación y liquidación y Sociedades y Agencias de Valores. No obstante, el precepto puede tener una lectura constitucional si se entiende, de conformidad con el art. 84, que tiene carácter básico a excepción de la referencia a la Comisión Nacional del Mercado de Valores, que habría de entenderse hecha al órgano que en cada Comunidad Autónoma tenga atribuida tales funciones. </w:t>
      </w:r>
    </w:p>
    <w:p w:rsidR="006854DA" w:rsidRDefault="006854DA" w:rsidP="006854DA">
      <w:pPr>
        <w:pStyle w:val="TextoNormal"/>
      </w:pPr>
      <w:r>
        <w:t>Por todo lo expuesto, el Gobierno Vasco solicita de este Tribunal que declare la inconstitucionalidad de la Disposición adicional primera, así como de los arts. 31, 59 y del art. 84, en el párrafo que declara el carácter básico de la Ley 24/1988, por invadir competencias reservadas a la Comunidad Autónoma del País Vasco por el art. 10.29 de su Estatuto. Subsidiariamente, solicita que se declare la inconstitucionalidad de la Ley 24/1988 por infracción del principio de ley formal en el señalamiento de las bases, así como de los siguientes artículos: 13, 17, 26, 27, 28, 31, 32, 33, 34, 35, 46, 47, 48, 51, 59, 62, 64, 66 e, 67, 84, 87, 92, 107 y Disposición adicional primera, por infracción del concepto material de lo básico, invadiendo la competencia que a la Comunidad Autónoma le atribuye el art. 10.29 de su Estatuto de Autonomía.</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El Parlamento de Cataluña argumenta en su demanda del recurso de inconstitucionalidad núm. 1.716/88 que el marco competencial de la materia de referencia lo constituyen los arts. 9.20 y 11.4 del Estatuto de Autonomía de Cataluña (E.A.C.), de un lado, y 149.1 C.E., de otro. El art. 9.20 del Estatuto de Autonomía de Cataluña otorga a la Generalidad competencia exclusiva para el establecimiento y ordenación de centros de contratación de mercaderías y valores, de conformidad con la legislación mercantil. Por su parte, el art. 11.4 le atribuye la ejecución de la legislación estatal en el nombramiento de Agentes de Cambio y Bolsa, Corredores de Comercio, así como en la intervención, en su caso, en la delimitación de las demarcaciones correspondientes. Los límites que el Estado puede oponer a la exclusividad de la competencia del art. 9.20 del Estatuto de Autonomía de Cataluña son tres: la legislación mercantil, la planificación de la economía general y las bases de la ordenación del crédito. </w:t>
      </w:r>
    </w:p>
    <w:p w:rsidR="006854DA" w:rsidRDefault="006854DA" w:rsidP="006854DA">
      <w:pPr>
        <w:pStyle w:val="TextoNormal"/>
      </w:pPr>
      <w:r>
        <w:t xml:space="preserve">En cuanto a la legislación mercantil, es doctrina reiterada del Tribunal Constitucional (SSTC 37/1981, 14/1986 y 72/1983) que la reserva estatal en esta materia alcanza sólo a las reglas de Derecho privado, pero no comprende las de Derecho público. Por otro lado, </w:t>
      </w:r>
      <w:r>
        <w:lastRenderedPageBreak/>
        <w:t xml:space="preserve">la legislación mercantil incluye la ordenación del Registro Mercantil, pero no de los múltiples Registros administrativos que puedan existir relacionados con la actividad mercantil. </w:t>
      </w:r>
    </w:p>
    <w:p w:rsidR="006854DA" w:rsidRDefault="006854DA" w:rsidP="006854DA">
      <w:pPr>
        <w:pStyle w:val="TextoNormal"/>
      </w:pPr>
      <w:r>
        <w:t xml:space="preserve">En relación con los otros dos títulos (planificación económica general y bases de la ordenación del crédito), alega el Parlamento catalán que las bases únicamente pueden establecer denominadores comunes sin llegar a tal grado de desarrollo que vacíen de contenido la correlativa competencia autonómica o sean en realidad meras normas de desarrollo. El interés nacional comporta asimismo el respeto a los intereses peculiares de las Comunidades con competencia en la materia y la CEE no impone la obligación de una organización uniforme en todas las Bolsas, sino únicamente el respeto a determinados principios y unas obligaciones concretas y puntuales como la interconexión de las Bolsas. </w:t>
      </w:r>
    </w:p>
    <w:p w:rsidR="006854DA" w:rsidRDefault="006854DA" w:rsidP="006854DA">
      <w:pPr>
        <w:pStyle w:val="TextoNormal"/>
      </w:pPr>
      <w:r>
        <w:t xml:space="preserve">Sobre la base de lo dicho, el Parlamento de Cataluña analiza los distintos preceptos de la Ley 24/1988 que impugna, dividiéndolos en varios apartados. </w:t>
      </w:r>
    </w:p>
    <w:p w:rsidR="006854DA" w:rsidRDefault="006854DA" w:rsidP="006854DA">
      <w:pPr>
        <w:pStyle w:val="TextoNormal"/>
      </w:pPr>
      <w:r>
        <w:t xml:space="preserve">Arts. 15, 17, 19, 20 y 28: Todos ellos hacen referencia a la organización y composición de la Comisión Nacional del Mercado de Valores, y su mera lectura pone de manifiesto la naturaleza ejecutiva de las funciones de esta Comisión. Ello significa, pues, que al Estado se le atribuyen competencias ejecutivas y de desarrollo cuando únicamente podría tener competencia sobre las bases. Se concede a la Comisión Nacional del Mercado de Valores potestad reglamentaria, infringiendo claramente, además del art. 9.20 del Estatuto de Autonomía de Cataluña, el art. 97 C.E., que residencia dicha potestad en el Gobierno, inventándose, por lo demás, una nueva fuente del Derecho. </w:t>
      </w:r>
    </w:p>
    <w:p w:rsidR="006854DA" w:rsidRDefault="006854DA" w:rsidP="006854DA">
      <w:pPr>
        <w:pStyle w:val="TextoNormal"/>
      </w:pPr>
      <w:r>
        <w:t xml:space="preserve">El art. 17, que regula el Consejo de la Comisión Nacional del Mercado de Valores, establece que todos sus miembros sean designados por el Gobierno Central. Dado que las funciones que se encomiendan a la Comisión Nacional del Mercado de Valores son, sin lugar a dudas, ejecutivas, hay que concluir que la Comunidad Autónoma no puede quedar ausente en este órgano de ejecución del Estado. Aun en el supuesto de que dicha Comisión únicamente ejerciese competencias en cuestiones de índole básica, se debería reconocer cierta presencia a la Comunidad Autónoma con competencia sobre el mercado de valores, tal y como lo reconoció el Tribunal Constitucional en su STC 29/1986. </w:t>
      </w:r>
    </w:p>
    <w:p w:rsidR="006854DA" w:rsidRDefault="006854DA" w:rsidP="006854DA">
      <w:pPr>
        <w:pStyle w:val="TextoNormal"/>
      </w:pPr>
      <w:r>
        <w:t xml:space="preserve">Aunque es cierto que el art. 17 prevé la presencia de las Comunidades Autónomas en el Comité consultivo de la Comisión Nacional del Mercado de Valores, también lo es que lo hace de tal forma que en dicho Comité el Estado puede tener la mayoría absoluta. Pero, lo importante, en cualquier caso, no es la composición del Comité consultivo, sino el del Consejo de la Comisión Nacional del Mercado de Valores que es el que realmente posee facultades decisorias, y en este Consejo las Comunidades Autónomas no tiene absolutamente ningún representante. </w:t>
      </w:r>
    </w:p>
    <w:p w:rsidR="006854DA" w:rsidRDefault="006854DA" w:rsidP="006854DA">
      <w:pPr>
        <w:pStyle w:val="TextoNormal"/>
      </w:pPr>
      <w:r>
        <w:t xml:space="preserve">El art. 28.4 dispone que la Comisión Nacional del Mercado de Valores verificará que el folleto informativo que necesariamente deben editar los emisores de valores regulados en el art. 25 de la Ley, cumple los requisitos establecidos, procediendo en caso afirmativo a incorporarlo al correspondiente Registro oficial previsto en el art. 92 y, en otro caso, a requerir dicho cumplimiento. El Tribunal Constitucional ha tenido ocasión de pronunciarse sobre este tema en su STC 96/1984, en la que ha declarado que la autorización del folleto es un acto de ejecución, puesto que no es más que la aplicación a un supuesto concreto de una normativa preexistente y que, por tanto, sin lugar a dudas corresponde dicha autorización a la Comunidad Autónoma Así pues, estando ya perfectamente establecido por el Tribunal Constitucional que la autorización de folletos de emisión de valores no es una norma básica y que la competencia corresponde a la Comunidad Autónoma, la consecuencia inevitable es que el art. 28.4 vulnera la Constitución y el Estatuto de Autonomía </w:t>
      </w:r>
      <w:r>
        <w:lastRenderedPageBreak/>
        <w:t xml:space="preserve">de Cataluña por cuanto otorga a un órgano íntegramente estatal la autorización de estos folletos informativos. </w:t>
      </w:r>
    </w:p>
    <w:p w:rsidR="006854DA" w:rsidRDefault="006854DA" w:rsidP="006854DA">
      <w:pPr>
        <w:pStyle w:val="TextoNormal"/>
      </w:pPr>
      <w:r>
        <w:t xml:space="preserve">Arts. 32, 33, 34 y 36: En estos preceptos se regulan los mercados secundarios oficiales de valores y se establecen competencias a favor de la Comisión Nacional del Mercado de Valores sobre admisión, suspensión y exclusión de negociación. Concretamente, en el art. 32 se dispone que la admisión de valores en estos mercados requerirá la verificación previa de la Comisión, cuando la verificación previa no es más que un acto de ejecución que debería ejercer, por tanto, la Generalidad. Lo mismo cabe decir respecto a la suspensión de negociación y a la exclusión de negociación. Podría admitirse que es básica la regulación de estos supuestos, pero nunca el acto administrativo de ejecución que es la suspensión o la exclusión, los cuales deberían corresponder a la Generalidad y no a la Comisión Nacional del Mercado de Valores. Respecto del art. 36, se trata de un aspecto puramente organizativo y de desarrollo al establecer qué transmisiones se consideran operaciones de un mercado secundario oficial, regulándolas con detalle. Al margen de que este artículo califica de operaciones bursátiles algunas operaciones realizadas fuera de los centros de contratación y, por tanto, las excluye de la ordenación y reglamentación que corresponde a este tipo de operaciones y que es competencia de la Generalidad, contiene una regulación pormenorizada que no puede considerarse ni básica ni integrante del derecho mercantil privado. </w:t>
      </w:r>
    </w:p>
    <w:p w:rsidR="006854DA" w:rsidRDefault="006854DA" w:rsidP="006854DA">
      <w:pPr>
        <w:pStyle w:val="TextoNormal"/>
      </w:pPr>
      <w:r>
        <w:t xml:space="preserve">Arts. 46, 47, 48, 49, 50, 51, 52 y 54: Considera el Parlamento de Cataluña que si bien es discutible la conformidad con el bloque de constitucionalidad del art. 45 de la Ley, que establece la exigencia de la autorización por el Gobierno para la creación de Bolsas de Valores, lo que está muy claro es que no lo son las competencias que en los artículos siguientes al mencionado se otorgan a la Comisión Nacional del Mercado de Valores, puesto que se trata de meros actos ejecutivos. El art. 46 vacía de contenido la competencia de la Comunidad Autónoma sobre el mercado de valores por cuanto establece un numerus clausus de las categorías de valores que pueden ser objeto de negociación, con lo cual la Generalidad no puede establecer otras categorías a negociar en las Bolsas radicadas en Cataluña. El art. 47 establece quiénes tendrán la condición legal de miembros de las Bolsas, que de forma limitativa serán únicamente las Sociedades y Agencias de Valores que participen en el capital de las Sociedades. Ello imposibilita a la Generalidad para realizar cualquier actuación al respecto, lo que vulnera su competencia exclusiva sobre ordenación de centros de contratación de valores y, especialmente, la competencia de ejecución regulada en el art. 11.4 del Estatuto de Autonomía de Cataluña. El art. 48 establece la forma en que están regidas y administradas las Bolsas por una sociedad anónima, regulando detalladamente las normas de esta nueva organización. Podría admitirse que determinados principios establecidos en este artículo son básicos, pero en modo alguno la totalidad de su contenido, como ocurre, por ejemplo, con la aprobación de los Estatutos de las Sociedades, que no es más que un mero acto administrativo de ejecución. </w:t>
      </w:r>
    </w:p>
    <w:p w:rsidR="006854DA" w:rsidRDefault="006854DA" w:rsidP="006854DA">
      <w:pPr>
        <w:pStyle w:val="TextoNormal"/>
      </w:pPr>
      <w:r>
        <w:t xml:space="preserve">Los arts. 49 y 50 establecen el sistema de interconexión bursátil, lo que significa que de forma indirecta se está instaurando un modelo unitario y centralizado que vacía las competencias de la Generalidad, puesto que en estos artículos se dispone que en dicho sistema de interconexión cotizarán aquellos valores que acuerde la Comisión Nacional del Mercado de Valores y que la Comisión deberá aprobar los Estatutos de la Sociedad de Bolsas, sus modificaciones y la designación de los miembros de su Consejo de Administración, previo informe de las Comunidades Autónomas; informe que, al no explicitarse, debe entenderse que no es vincunlante, con lo cual una vez más se otorgan a esta Comisión facultades que invaden las competencias de la Generalidad. </w:t>
      </w:r>
    </w:p>
    <w:p w:rsidR="006854DA" w:rsidRDefault="006854DA" w:rsidP="006854DA">
      <w:pPr>
        <w:pStyle w:val="TextoNormal"/>
      </w:pPr>
      <w:r>
        <w:lastRenderedPageBreak/>
        <w:t xml:space="preserve">Respecto de los arts. 51 y 52 el Parlamento de Cataluña da por reproducido lo ya dicho en relación con las funciones ejecutivas que deben corresponder a la Generalidad y no al Estado. </w:t>
      </w:r>
    </w:p>
    <w:p w:rsidR="006854DA" w:rsidRDefault="006854DA" w:rsidP="006854DA">
      <w:pPr>
        <w:pStyle w:val="TextoNormal"/>
      </w:pPr>
      <w:r>
        <w:t xml:space="preserve">El art. 54 establece la constitución de una sociedad anónima denominada Servicio de Compensación y Liquidación de Valores. Este precepto limita también las competencias estatutarias puesto que, en definitiva, la compensación y liquidación de valores en efectivos y no solamente de anotaciones en cuenta son operaciones inseparables del propio concepto de operación bursátil y quedan consecuentemente sometidas a la competencia de ordenación sobre los Centros de Contratación de Valores, sin que pueda el Estado ampararse para su regulación en ninguno de los títulos competenciales tantas veces repetidos. Según el art. 54 de la Ley todo el proceso de una operación bursátil (la contratación y la liquidación) se centraliza de tal manera que, mientras la contratación podría realizarse en los mercados territorialmente separados, la liquidación debe realizarse ante la sociedad creada por este precepto, con sede en Madrid y controlada directamente por la Comisión. Ello, además de vulnerar el orden constitucional y estatutario, fracciona la operativa contractual de manera que un mercado de bolsa que no liquida no es un verdadero mercado. La Bolsa de Barcelona, por ejemplo, podría quedar reducida tan sólo a un aspecto del conjunto de operaciones propias del mercado de valores y sin ninguna regulación de las que estatutariamente corresponden a la Generalidad. </w:t>
      </w:r>
    </w:p>
    <w:p w:rsidR="006854DA" w:rsidRDefault="006854DA" w:rsidP="006854DA">
      <w:pPr>
        <w:pStyle w:val="TextoNormal"/>
      </w:pPr>
      <w:r>
        <w:t xml:space="preserve">Arts. 62, 64, 67 y 69: El art. 62, que encabeza este bloque de preceptos dedicado a los requisitos de las Sociedades y Agencias de Valores, reserva al Ministro de Economía y Hacienda la autorización de la creación de éstas. Una vez más nos encontramos ante un acto ejecutivo que entra, por tanto, en las competencias autonómicas. No puede argüirse de contrario la extraterritorialidad, puesto que se trata de una potestad reglada y, además, precisamente tratando sobre este tema, el Tribunal Constitucional (STC 96/1984) dijo, a propósito de la competencia para aprobar un folleto informativo de emisión de valores, que "negar a las Comunidades Autónomas la posibilidad de actuar cuando sus actos pudieran originar consecuencias más allá de sus límites territoriales equivaldría necesariamente (...) a privarlas pura y simplemente de toda capacidad de actuación". </w:t>
      </w:r>
    </w:p>
    <w:p w:rsidR="006854DA" w:rsidRDefault="006854DA" w:rsidP="006854DA">
      <w:pPr>
        <w:pStyle w:val="TextoNormal"/>
      </w:pPr>
      <w:r>
        <w:t xml:space="preserve">El art. 64 establece que la inscripción en los correspondientes Registros dará derecho a las Sociedades y Agencias de Valores a ser miembros de una o varias Bolsas de Valores, siempre que acrediten previamente ante la Comisión Nacional del Mercado de Valores el cumplimiento de los requisitos que a este fin exige la Ley. De nuevo nos encontramos con la verificación, es decir, con actos de ejecución que corresponden a la Comunidad Autónoma Lo mismo hay que decir del art. 67 que establece las causas por las que se puede revocar la autorización de una Sociedad o Agencia de Valores, atribuyendo esta competencia, que es de naturaleza ejecutiva, al Gobierno central. </w:t>
      </w:r>
    </w:p>
    <w:p w:rsidR="006854DA" w:rsidRDefault="006854DA" w:rsidP="006854DA">
      <w:pPr>
        <w:pStyle w:val="TextoNormal"/>
      </w:pPr>
      <w:r>
        <w:t xml:space="preserve">El art. 69 trata de las incompatibilidades de los miembros del Consejo de Administración de las Sociedades y Agencias de valores, así como de la de los Corredores de Comercio y Notarios. Basta recordar el contenido del art. 9.23 del Estatuto de Autonomía de Cataluña, que otorga competencia exclusiva a la Generalidad sobre el ejercicio de las profesiones tituladas, así como los ya citados arts. 11.4, sobre nombramientos de Agentes de Cambio y Bolsa y Corredores de Comercio, y 9.20 del Estatuto de Autonomía de Cataluña. El régimen de incompatibilidades puede ser básico en cuanto a los principios que lo informan, pero no en cuanto al desarrollo de estos principios al extremo de prever todos y cada uno de los casos de forma exhaustiva y limitada. </w:t>
      </w:r>
    </w:p>
    <w:p w:rsidR="006854DA" w:rsidRDefault="006854DA" w:rsidP="006854DA">
      <w:pPr>
        <w:pStyle w:val="TextoNormal"/>
      </w:pPr>
      <w:r>
        <w:t xml:space="preserve">Arts. 84, último párrafo, 95.3, 97, 98 y 107: Estos preceptos, que se refieren al régimen de supervisión, inspección y sanción, limitan de forma importante la competencia de las </w:t>
      </w:r>
      <w:r>
        <w:lastRenderedPageBreak/>
        <w:t xml:space="preserve">Comunidades Autónomas, puesto que reducen el ejercicio de estas potestades a operaciones sobre valores que se admitan tan sólo en una Bolsa, es decir, valores de segundo orden o locales, puesto que prácticamente cualquier valor mínimamente importante cotiza en más de una Bolsa y, por tanto, la mayoría de los valores que cotizan en las Bolsas de una Comunidad Autónoma quedan fuera de esta potestad, quedando reducida la facultad de la Comunidad Autónoma a la mínima expresión. A este respecto el Tribunal Constitucional se pronunció en un tema muy similar, considerando que no se adecuaba al reparto competencial establecido por el bloque constitucional un precepto de una Ley estatal que pretendía asumir para el Estado determinadas competencias sobre Cajas de Ahorros en el caso de que el volumen de depósitos captados fuera del territorio de la Comunidad en que tuviese su domicilio excediese del 50 por 100 (STC 49/1988). </w:t>
      </w:r>
    </w:p>
    <w:p w:rsidR="006854DA" w:rsidRDefault="006854DA" w:rsidP="006854DA">
      <w:pPr>
        <w:pStyle w:val="TextoNormal"/>
      </w:pPr>
      <w:r>
        <w:t xml:space="preserve">Disposición adicional primera: Esta disposición pretende cambiar el nombre de la Bolsa Oficial de Comercio de Barcelona, que debería pasar a denominarse Bolsa de Valores de Barcelona. Evidentemente, el nombre que deba tener una Bolsa no es derecho mercantil privado, ni puede considerarse que forme parte de las bases de la ordenación del crédito ni de la planificación de la economía, ni viene impuesto por la CEE, por todo lo cual, teniendo la Generalidad la competencia exclusiva contemplada en el art. 9.20 de su Estatuto de Autonomía, no puede el Estado cambiar unilateralmente el nombre de una Bolsa radicada en el territorio de Cataluña. </w:t>
      </w:r>
    </w:p>
    <w:p w:rsidR="006854DA" w:rsidRDefault="006854DA" w:rsidP="006854DA">
      <w:pPr>
        <w:pStyle w:val="TextoNormal"/>
      </w:pPr>
      <w:r>
        <w:t>Por todo lo expuesto, el Parlamento de Cataluña solicita que el Tribunal Constitucional declare la inconstitucionalidad y nulidad de los arts. 15, 17, 19, 20, 28.4, 32.1, 33, 34, 36, 46, 47, 48, 49, 50, 51, 52, 54, 62, 64, 67, 69, 84, último párrafo, 95.3, 97, 98, 107 y de la Disposición adicional primera de la Ley 24/1988, del Mercado de Valores.</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El Consejo Ejecutivo de la Generalidad de Cataluña inicia su demanda (R.I. núm. 1.724/88) sosteniendo la inconstitucionalidad formal de la Ley, que fundamenta en tres razones: no contener declaración alguna de su carácter básico; no especificar qué preceptos revisten carácter básico y cuáles no; y no hacer explícita invocación de título competencial alguno que habilite al Estado para regular los mercados de valores. </w:t>
      </w:r>
    </w:p>
    <w:p w:rsidR="006854DA" w:rsidRDefault="006854DA" w:rsidP="006854DA">
      <w:pPr>
        <w:pStyle w:val="TextoNormal"/>
      </w:pPr>
      <w:r>
        <w:t xml:space="preserve">Además, la Ley 24/1988 supone un evidente exceso de las atribuciones competenciales reservadas al Estado por la Constitución española y una neta invasión en las competencias atribuidas estatutariamente a la Generalidad de Cataluña y a otras Comunidades Autónomas Efectivamente, si se observa la absoluta falta de referencias a las Bolsas y a los mercados de valores en nuestro Texto fundamental y se contrapone a la expresa asunción competencial sobre centros de contratación de valores y Bolsas contenida en algunos Estatutos de Autonomía, resulta patente el reconocimiento constitucional de un modelo de mercado de valores descentralizado, en el que la intervención administrativa ha de proceder esencialmente de las Comunidades Autónomas Choca, por tanto, frontalmente con este modelo una remodelación del sistema bursátil inspirada en la idea de la centralización, en el cual las Comunidades Autónomas no tienen intervención ejecutiva alguna, salvo en relación a los Mercados o Bolsas regionales, de relevancia forzosamente marginal e insignificante. </w:t>
      </w:r>
    </w:p>
    <w:p w:rsidR="006854DA" w:rsidRDefault="006854DA" w:rsidP="006854DA">
      <w:pPr>
        <w:pStyle w:val="TextoNormal"/>
      </w:pPr>
      <w:r>
        <w:t>Respecto de los títulos competenciales específicos de la Generalidad de Cataluña -arts. 9.20 y 11.4 E.A.C.-, hay que señalar que el término utilizado por el Estatuto no es el de Bolsa, sino el de centros de contratación de valores, lo que constituye una referencia omnicomprensiva a la multiplicidad de espacios jurídicos que pueden configurar el marco de la negociación de valores. Igualmente, el enunciado de dichos preceptos estatutarios no admite la reducción de la competencia autonómica a aquellos mercados de valores de ca</w:t>
      </w:r>
      <w:r>
        <w:lastRenderedPageBreak/>
        <w:t xml:space="preserve">rácter estrictamente local, sino que comprende todos los centros de contratación de valores sin límite en cuanto al ámbito o procedencia de los mismos. </w:t>
      </w:r>
    </w:p>
    <w:p w:rsidR="006854DA" w:rsidRDefault="006854DA" w:rsidP="006854DA">
      <w:pPr>
        <w:pStyle w:val="TextoNormal"/>
      </w:pPr>
      <w:r>
        <w:t xml:space="preserve">Es preciso reconocer que el Estatuto de Autonomía de Cataluña, a pesar de calificar la competencia de referencia como exclusiva, ha acotado el ejercicio de la misma mediante la expresión "de conformidad con la legislación mercantil", la cual, de acuerdo con el art. 149.1.6 C.E., es de competencia exclusiva del Estado. Por lo que al título competencial "legislación mercantil" se refiere, es doctrina reiterada del Tribunal Constitucional que lo que ha reservado la Constitución al Estado en exclusiva son las normas de Derecho privado que afectan al tráfico mercantil. Además, ha incluido en ese ámbito material toda la regulación del Registro Mercantil, pero ello no afecta a los demás Registros de carácter administrativo que puedan establecerse sobre la actividad o los sujetos del mercado de valores. Así, el límite que se deduce del art. 9.20 del Estatuto de Autonomía de Cataluña al ejercicio por la Generalidad de la competencia en materia de centros de contratación de valores únicamente le impide el ejercicio de potestades en relación a los elementos de naturaleza privada del mercado de valores y, fundamentalmente, en relación con las condiciones básicas de las operaciones bursátiles que, como reglas de Derecho privado, han de quedar comprendidas en la reserva del Estado. </w:t>
      </w:r>
    </w:p>
    <w:p w:rsidR="006854DA" w:rsidRDefault="006854DA" w:rsidP="006854DA">
      <w:pPr>
        <w:pStyle w:val="TextoNormal"/>
      </w:pPr>
      <w:r>
        <w:t xml:space="preserve">Tampoco podrían invocarse para salvar la constitucionalidad de la Ley impugnada los compromisos suscritos por el Estado con la CEE. Si bien es cierto que la legislación comunitaria exige la interconexión de las Bolsas, desde el punto de vista meramente organizativo permite que su ordenación no sea uniforme y que por tanto cada Bolsa tenga la suya peculiar y diferenciada. Resulta notorio que el fin perseguido por la CEE es el de obtener la congruencia y compatibilidad de los distintos sistemas bursátiles, pero en modo alguno la homogeneidad ni la unificación estructural propugnada por el legislador español. En consecuencia, establecer, como hace la Ley 24/1988, unas medidas que prevén una homogeneización y centralización en grado muy superior y distinto al previsto por la CEE, no puede encontrar fundamento ni legitimación en la prevalencia del Derecho Comunitario europeo. </w:t>
      </w:r>
    </w:p>
    <w:p w:rsidR="006854DA" w:rsidRDefault="006854DA" w:rsidP="006854DA">
      <w:pPr>
        <w:pStyle w:val="TextoNormal"/>
      </w:pPr>
      <w:r>
        <w:t>Así pues, para intentar legitimar constitucionalmente la intervención estatal será preciso acudir a otros títulos competenciales menos específicos que los reconocidos estatutariamente, en el bien entendido que en ningún caso estos títulos genéricos pueden llevar a la conclusión de que las Comunidades Autónomas no disponen de atribuciones competenciales propias en la materia. Es cierto que las Bolsas desempeñan un importante papel en la economía moderna y que constituyen una pieza relevante en la economía de mercado y del conjunto del sistema financiero, pero ello no significa que el Estado pueda monopolizar la intervención sobre las mismas, haciendo desaparecer las competencias específicas que sobre la materia tiene reconocida la Comunidad Autónoma de Cataluña por su Estatuto de Autonomía. Esta trascendencia económica de la Bolsa incide, pues, en la distribución competencial entre el Estado y las Comunidades Autónomas y el Estado de conformidad con la competencia que le ha sido reservada por el art. 149.1.13 C.E. puede regular el mercado de valores. Mucho más discutible es, en cambio, que tal regulación pueda producirse desde el ejercicio de la competencia sobre el "sistema monetario: divisas, cambio y convertibilidad; bases de la ordenación del crédito, banca y seguros", reconocida por el art. 149.1.11 del propio texto fundamental. Frente a ello, se insiste en que la Comunidad Autónoma de Cataluña esgrime un título competencial más específico que el generalizado y difuso que el Estado tiene sobre la ordenación de la economía, por lo que difícilmente éste podrá vaciar las atribuciones autonómicas. Máxime, cuando a los referidos títulos estatales se contraponen los que atribuyen a la Generalidad de Cataluña el desarrollo legis</w:t>
      </w:r>
      <w:r>
        <w:lastRenderedPageBreak/>
        <w:t xml:space="preserve">lativo y la ejecución de las bases estatales sobre ordenación del crédito, banca y seguros y la planificación de la actividad económica en Cataluña, de conformidad con las bases y la ordenación de la actividad económica general y la política monetaria del Estado. Por consiguiente, el Estado únicamente puede establecer el mínimo común denominador normativo, imprescindible para la preservación del interés general tutelado, correspondiendo a las Comunidades Autónomas establecer las peculiaridades que convengan dentro del marco de la Constitución y el Estatuto de Autonomía. </w:t>
      </w:r>
    </w:p>
    <w:p w:rsidR="006854DA" w:rsidRDefault="006854DA" w:rsidP="006854DA">
      <w:pPr>
        <w:pStyle w:val="TextoNormal"/>
      </w:pPr>
      <w:r>
        <w:t xml:space="preserve">Finalmente, hay que rechazar que pueda invocarse por el Estado como título habilitante para la promulgación de esta ley el previsto en el art. 149.1.11 de la C.E., sobre las bases de ordenación del crédito, banca y seguros. Es preciso tener en cuenta, a este respecto, que en la actualidad prácticamente han desaparecido los coeficientes de inversión obligatoria, que constituían en realidad el nexo de unión entre los ámbitos materiales del crédito y de los mercados de valores. Por tanto, la competencia enunciada por el art. 149.1.11 C.E. podría tener una relación indirecta y aún puntual en el ámbito de los mercados de valores. Por otra parte, no puede perderse de vista que las consideraciones que el Tribunal Constitucional formuló en sus SSTC 1/1982 y 96/1984 fueron realizadas en relación a entidades de crédito, ámbito éste notoriamente distinto al de los mercados de valores, tanto por su respectiva organización, como por las entidades que actúan en cada uno de ellos, así como por la diversa actividad que en ellos se desarrolla. </w:t>
      </w:r>
    </w:p>
    <w:p w:rsidR="006854DA" w:rsidRDefault="006854DA" w:rsidP="006854DA">
      <w:pPr>
        <w:pStyle w:val="TextoNormal"/>
      </w:pPr>
      <w:r>
        <w:t xml:space="preserve">Expuestas estas consideraciones, el Consejo Ejecutivo de la Generalidad de Cataluña realiza el examen de los artículos de la Ley que, según él, adolecen de inconstitucionalidad, formulando previamente un juicio de valor conjunto respecto del Título II, relativo a la Comisión Nacional del Mercado de Valores (arts. 13 al 30). </w:t>
      </w:r>
    </w:p>
    <w:p w:rsidR="006854DA" w:rsidRDefault="006854DA" w:rsidP="006854DA">
      <w:pPr>
        <w:pStyle w:val="TextoNormal"/>
      </w:pPr>
      <w:r>
        <w:t xml:space="preserve">El Título II incurre, según el demandante, en dos motivos de inconstitucionalidad: 1) la Comisión Nacional del Mercado de Valores extiende sus funciones ejecutivas a la totalidad del Estado y, por tanto, invade las competencias que los Estatutos de Autonomía conceden a aquellas Comunidades con títulos competenciales específicos sobre la materia, alterando así la distribución prevista en el bloque de la constitucionalidad; 2) a pesar de que la Ley crea el Comité consultivo y prevé la presencia en él de representantes de las Comunidades Autónomas con competencias en la materia, en las que exista Bolsa de Valores, este Comité tiene funciones meramente consultivas, es decir, no cumple todas las demás funciones que, en cambio, se han reservado al Consejo de la Comisión Nacional del Mercado de Valores, en el que no se ha previsto la participación autonómica. </w:t>
      </w:r>
    </w:p>
    <w:p w:rsidR="006854DA" w:rsidRDefault="006854DA" w:rsidP="006854DA">
      <w:pPr>
        <w:pStyle w:val="TextoNormal"/>
      </w:pPr>
      <w:r>
        <w:t xml:space="preserve">Art. 31: De este precepto, que se refiere a los mercados secundarios de valores, se infiere claramente que la Ley no permite el reconocimiento como mercado oficial de valores a todo aquel que se incluya en estas categorías, y que de conformidad con el art. 59 de la propia Ley el Gobierno podrá crear otros mercados, limitados a la contratación de valores representados por anotaciones en cuenta con un ámbito estatal. Esta regulación se opone frontalmente al art. 9.20 del Estatuto de Autonomía de Cataluña que atribuye a la Generalidad la competencia exclusiva para el establecimiento y ordenación de los centros de contratación de valores en Cataluña, impidiendo a la Generalidad la creación de mercados oficiales de valores de ámbito autonómico o no reconociendo en grado alguno su participación en la creación de los de ámbito estatal. Por otra parte, es totalmente ficticia la posibilidad de que puedan subsistir mercados de valores de ámbito local o autonómico, puesto que cualquier empresa optaría sin lugar a dudas por ofrecer sus valores en los mercados estatales o internacionales, donde los superiores volúmenes de demanda garantizan en mejor medida la cobertura. </w:t>
      </w:r>
    </w:p>
    <w:p w:rsidR="006854DA" w:rsidRDefault="006854DA" w:rsidP="006854DA">
      <w:pPr>
        <w:pStyle w:val="TextoNormal"/>
      </w:pPr>
      <w:r>
        <w:lastRenderedPageBreak/>
        <w:t xml:space="preserve">Igualmente cabe reputar inconstitucional el art. 59 de la Ley, al que se remite expresamente el art. 31, así como el art. 45 que sujeta la creación de las Bolsas por las Comunidades Autónomas a que el Estado dé su conformidad para ello. </w:t>
      </w:r>
    </w:p>
    <w:p w:rsidR="006854DA" w:rsidRDefault="006854DA" w:rsidP="006854DA">
      <w:pPr>
        <w:pStyle w:val="TextoNormal"/>
      </w:pPr>
      <w:r>
        <w:t xml:space="preserve">Arts. 49 al 52: Estos preceptos se refieren al llamado sistema de interconexión bursátil, que bajo la apariencia de ser un mero instrumento tecnológico al servicio del mercado, supone en la realidad la creación de una nueva Bolsa de Valores de ámbito estatal, puesto que físicamente la red informática se extenderá a todas las Bolsas ya existentes, que asumirán la función de puerta de acceso o terminal informática, respecto de ella. Pero, además, la inconstitucionalidad de este conjunto de preceptos se deduce también si se considera que la creación del SIB ha comportado la creación de una nueva Bolsa en el ámbito territorial de Cataluña y del País Vasco, sin que para ello se haya contado con la participación de estas Comunidades Autónomas </w:t>
      </w:r>
    </w:p>
    <w:p w:rsidR="006854DA" w:rsidRDefault="006854DA" w:rsidP="006854DA">
      <w:pPr>
        <w:pStyle w:val="TextoNormal"/>
      </w:pPr>
      <w:r>
        <w:t xml:space="preserve">Hay otro elemento que constituye la pieza de cierre del sistema y que coadyuva a que la implantación del S.I.B. conduzca en un brevísimo espacio de tiempo a la centralización absoluta de nuestro sistema bursátil y a la desaparición, por inviabilidad económica, de las Bolsas periféricas actualmente existentes. Este nuevo elemento se encuentra en la creación, por el art. 54 de la Ley, de una sociedad anónima llamada Servicio de Compensación y Liquidación de Valores. Resulta patente que si se atribuye al referido servicio la gestión, en exclusiva, de la compensación y liquidación de valores y efectivo, siempre que aquéllos estén admitidos a negociación en más de una Bolsa, se están centralizando absolutamente estas operaciones respecto a todos aquellos valores de mayor relevancia y promoviendo asimismo el desplazamiento de todos los operadores bursátiles de mayor envergadura en el mismo sentido, con el consiguiente abandono progresivo de las actuales sedes en las Bolsas periféricas y la progresiva disminución de su volumen de contratación. </w:t>
      </w:r>
    </w:p>
    <w:p w:rsidR="006854DA" w:rsidRDefault="006854DA" w:rsidP="006854DA">
      <w:pPr>
        <w:pStyle w:val="TextoNormal"/>
      </w:pPr>
      <w:r>
        <w:t xml:space="preserve">Aún cabe reseñar dos disposiciones que jugarán un papel determinante en este proceso de vaciamiento de competencias autonómicas sobre las actuales Bolsas. Se trata del art. 36 y de la Disposición transitoria décima, en cuya virtud se sustrae a las actuales Bolsas no sólo la compensación y liquidación de los valores representados en títulos que venían realizando hasta ahora, sino que además se admite que a partir de este momento la negociación de aquellos valores pueda pasar a realizarse fuera de las Bolsas, ya que se representarán en el futuro por medio de anotaciones en cuenta. Esta sustracción tiene una trascendencia cualitativa y cuantitativamente esencial de la negociación actual de las Bolsas, y concretamente de la de Barcelona, y conlleva un claro vaciamiento del ámbito material atribuido a la competencia de la Generalidad de Cataluña y el consiguiente incremento del ámbito competencial de las instancias centrales que, como el Servicio de Compensación y Liquidación de Valores, la Comisión Nacional del Mercado de Valores o el propio Gobierno, asumen las funciones en relación a la negociación de los valores transformados o la correspondiente liquidación y compensación, incurriendo por tanto en un claro vicio de inconstitucionalidad por incompetencia. </w:t>
      </w:r>
    </w:p>
    <w:p w:rsidR="006854DA" w:rsidRDefault="006854DA" w:rsidP="006854DA">
      <w:pPr>
        <w:pStyle w:val="TextoNormal"/>
      </w:pPr>
      <w:r>
        <w:t xml:space="preserve">Art. 48: No es preciso insistir en la legitimación competencial del Estado por la doble vía de los arts. 149.1.6 y 149.1.13 C.E. para incidir en la configuración de los mercados de valores fijando los criterios esenciales de organización que configuran el sistema financiero. Pero, como ha declarado el Tribunal Constitucional en su STC 49/1988, las normas estatales no pueden conducir a una uniformidad organizativa absoluta que impida a las Comunidades Autónomas con títulos competenciales específicos un mínimo de desarrollo legislativo y al menos de ejecución, dentro del cual puedan desenvolver las bases estatales para la protección de sus intereses específicos. </w:t>
      </w:r>
    </w:p>
    <w:p w:rsidR="006854DA" w:rsidRDefault="006854DA" w:rsidP="006854DA">
      <w:pPr>
        <w:pStyle w:val="TextoNormal"/>
      </w:pPr>
      <w:r>
        <w:lastRenderedPageBreak/>
        <w:t xml:space="preserve">Podría admitirse que el Estado pudiera determinar como elementos básicos del sistema económico aquellos aspectos organizativos de las Bolsas que hicieran posible su compatibilidad operativa, pero resulta palmario que los demás elementos organizativos atinentes a la dirección y administración de las Bolsas de Valores y a su estructura, y la determinación concreta de la fórmula jurídica que deban adoptar aquellas entidades rectoras no pueden formar parte de las bases. En cualquier caso, está fuera de toda duda que aspectos tales como la aprobación de los Estatutos de estas Sociedades o sus modificaciones únicamente podrían corresponder a las Comunidades Autónomas, toda vez que se trata de meras funciones ejecutivas y regladas. </w:t>
      </w:r>
    </w:p>
    <w:p w:rsidR="006854DA" w:rsidRDefault="006854DA" w:rsidP="006854DA">
      <w:pPr>
        <w:pStyle w:val="TextoNormal"/>
      </w:pPr>
      <w:r>
        <w:t xml:space="preserve">Arts. 62, 64, 66 y 67: La autorización por el Ministro de Economía y Hacienda, a propuesta de la Comisión Nacional del Mercado de Valores, para la creación de Sociedades y Agencias de Valores que hayan de operar en los mercados ubicados en el territorio de Cataluña entra de lleno en la competencia específica que en esta materia ostenta la Generalidad por cuanto que constituye un acto típico de ejecución. Particularmente se hace observar al Tribunal que estas Sociedades y Agencias de Valores han sustituido en sus funciones a los Agentes de Cambio y Bolsa, sobre los cuales la Comunidad Autónoma que recurre tiene competencias específicas de nombramiento en virtud del art. 11.4 de su E.A. </w:t>
      </w:r>
    </w:p>
    <w:p w:rsidR="006854DA" w:rsidRDefault="006854DA" w:rsidP="006854DA">
      <w:pPr>
        <w:pStyle w:val="TextoNormal"/>
      </w:pPr>
      <w:r>
        <w:t xml:space="preserve">Igualmente debe considerarse inconstitucional el art. 67 de la Ley por las mismas razones que acaban de exponerse, ya que la revocación de la autorización de una Sociedad o Agencia de Valores constituye un acto reglado y de naturaleza ejecutiva. </w:t>
      </w:r>
    </w:p>
    <w:p w:rsidR="006854DA" w:rsidRDefault="006854DA" w:rsidP="006854DA">
      <w:pPr>
        <w:pStyle w:val="TextoNormal"/>
      </w:pPr>
      <w:r>
        <w:t xml:space="preserve">Lo mismo hay que decir del art. 66, que regula los requisitos para que una entidad pueda obtener y conservar la autorización como Sociedad o Agencia de valores, puesto que con dicha regulación no se están estableciendo aspectos básicos, sino agotando toda la posible regulación en la materia. </w:t>
      </w:r>
    </w:p>
    <w:p w:rsidR="006854DA" w:rsidRDefault="006854DA" w:rsidP="006854DA">
      <w:pPr>
        <w:pStyle w:val="TextoNormal"/>
      </w:pPr>
      <w:r>
        <w:t xml:space="preserve">El art. 64 es igualmente inconstitucional por cuanto que la verificación por la Comisión Nacional del Mercado de Valores del cumplimiento de los requisitos exigidos por la Ley para inscribirse en los correspondientes Registros debe encuadrarse necesariamente dentro de la actividad de ejecución, no pudiendo ser atribuida, por tanto, a la competencia de la Comisión Nacional del Mercado de Valores por ser competencia de la Comunidad Autónoma recurrente. </w:t>
      </w:r>
    </w:p>
    <w:p w:rsidR="006854DA" w:rsidRDefault="006854DA" w:rsidP="006854DA">
      <w:pPr>
        <w:pStyle w:val="TextoNormal"/>
      </w:pPr>
      <w:r>
        <w:t xml:space="preserve">Por todo lo dicho, hay que concluir que los arts. 62. 64, 66 y 67, cuando se trate de Sociedades o Agencias de Valores que actúen en el territorio de esta Comunidad Autónoma, no respetan la distribución competencial establecida en el bloque de constitucionalidad. </w:t>
      </w:r>
    </w:p>
    <w:p w:rsidR="006854DA" w:rsidRDefault="006854DA" w:rsidP="006854DA">
      <w:pPr>
        <w:pStyle w:val="TextoNormal"/>
      </w:pPr>
      <w:r>
        <w:t xml:space="preserve">Art. 92: Los Registros que se regulan en este precepto y cuya tutela administrativa se encomienda a la Comisión Nacional del Mercado de Valores, son Registros administrativos que en modo alguno sustituyen el deber de inscribir en el Registro Mercantil los actos o documentos en cuestión, como lo demuestra el hecho de que el párrafo tercero del art. 62 de la Ley establezca que tras su constitución e inscripción en el Registro Mercantil, las Sociedades y Agencias de Valores deberán inscribirse en los correspondientes Registros de la Comisión Nacional del Mercado de Valores. En definitiva, y puesto que la llevanza de Registros administrativos como los previstos en el art. 92 es una función de mera ejecución administrativa, en modo alguno básica para la planificación general de la actividad económica, ni encuadrable en el ámbito de la legislación mercantil, ha de corresponder a la Generalidad la competencia en relación a todas las circunstancias relevantes para tales Registros que se produzcan en Cataluña, sin perjuicio de que la Generalidad dé traslado al órgano correspondiente del Estado de cuanta información sea precisa para el ejercicio de sus competencias. Asimismo, y por conexión con el art. 92, resultan igualmente inconstitucionales los arts. 6.2, 7.2 y 3, 26.a), b) y d), 27.2, 28.4, 62.3 y 63.1, en la medida en que </w:t>
      </w:r>
      <w:r>
        <w:lastRenderedPageBreak/>
        <w:t xml:space="preserve">contienen expresas referencias a las funciones registrales encomendadas exclusivamente a la Comisión Nacional del Mercado de Valores. </w:t>
      </w:r>
    </w:p>
    <w:p w:rsidR="006854DA" w:rsidRDefault="006854DA" w:rsidP="006854DA">
      <w:pPr>
        <w:pStyle w:val="TextoNormal"/>
      </w:pPr>
      <w:r>
        <w:t xml:space="preserve">Arts. 27.2, 28, 32.1, 33, 34, 40.2, 42, 53.1, 62, 64.1, 67 y la Disposición adicional primera: El art. 28 de la Ley establece que el proyecto informativo ha de contener la información necesaria para que los inversores puedan formular un juicio fundamentado sobre la inversión que se les propone. También comprende las condiciones fundamentales del folleto, así como las garantías. En un caso similar (Orden de 19 de enero de 1982, por la que el Gobierno Vasco autorizaba un folleto y la fecha de lanzamiento de una emisión de obligaciones de una empresa), el Tribunal, en su STC 96/1984, entendió que la autorización de los folletos de emisión no es más que la ejecución de las normas que regulan su contenido y que, en consecuencia, la decisión de autorizar el folleto correspondía, por razón del territorio, al País Vasco. Esta doctrina, al igual que la de la STC 25/1983, es aplicable al art. 28 de la Ley, en cuanto que en ambas el Tribunal Constitucional dejó claramente establecido que la autorización es un acto de ejecución de la legislación y que la atribución estatutaria de una competencia exclusiva había de comportar necesariamente los poderes de ejecución de la legislación vigente. De este modo, el acto de verificación a que se refiere el citado art. 28, que consiste en someter a examen el folleto para comprobar que cumple los requisitos necesarios, debe merecer necesariamente la misma consideración. </w:t>
      </w:r>
    </w:p>
    <w:p w:rsidR="006854DA" w:rsidRDefault="006854DA" w:rsidP="006854DA">
      <w:pPr>
        <w:pStyle w:val="TextoNormal"/>
      </w:pPr>
      <w:r>
        <w:t xml:space="preserve">Idéntica argumentación e imputación de inconstitucionalidad ha de hacerse al art. 27.2, en relación a la verificación de las auditorías; al art. 32.1, en cuanto a la verificación de los valores para su admisión a negociación; al art. 33, respecto de la suspensión de la negociación de un valor; al art. 34, en lo que se refiere a la exclusión de la negociación de valores; al art. 40.2, en cuanto al conocimiento de las vinculaciones económicas de los miembros de los mercados de valores; al art. 42, por lo que afecta a la comunicación de las tarifas de retribuciones máximas de los miembros de los mercados; al art. 53.1, en cuanto a la comunicación de la superación de determinados porcentajes de titularidad del capital de las sociedades cuyas acciones han sido admitidas a negociación en Bolsas; y al art. 64.1, por exigir que la acreditación de requisitos para ser miembro de una Bolsa ha de hacerse ante la Comisión Nacional del Mercado de Valores; todo ello, claro está, siempre que tales funciones deban ejercerse respecto de entidades que actúan en mercados de valores ubicados en Cataluña o respecto de valores que se negocien en los mercados radicados en su territorio. En todos estos casos se trata de actos de mera ejecución, que no pueden considerarse básicos por cuanto la ejecución centralizada de los mismos no es en absoluto necesaria para garantizar la unidad del sistema económica y financiero nacional. </w:t>
      </w:r>
    </w:p>
    <w:p w:rsidR="006854DA" w:rsidRDefault="006854DA" w:rsidP="006854DA">
      <w:pPr>
        <w:pStyle w:val="TextoNormal"/>
      </w:pPr>
      <w:r>
        <w:t xml:space="preserve">Asimismo, el otorgamiento de la autorización para la creación de Sociedades y Agencias de Valores previsto en el art. 62.1, y la revocación de tal autorización, prevista en el art. 67, resultan inconstitucionales por ser típicos actos de ejecución. </w:t>
      </w:r>
    </w:p>
    <w:p w:rsidR="006854DA" w:rsidRDefault="006854DA" w:rsidP="006854DA">
      <w:pPr>
        <w:pStyle w:val="TextoNormal"/>
      </w:pPr>
      <w:r>
        <w:t xml:space="preserve">La Disposición adicional primera de la Ley constituye en buena parte el precepto determinante de la inconstitucionalidad de casi todos los artículos aquí impugnados, por exigir su íntegra aplicación a todas las actuales Bolsas de Valores y, por tanto, también a la de Barcelona. Pero, además, esta Disposición contiene otro mandato de menor relevancia pero representativo de hasta qué punto el legislador ha desconocido las competencias atribuidas estatutariamente a la Generalidad de Cataluña, cual es el cambio de las denominaciones de las actuales Bolsas. Preciso es reconocer, ex art. 9.20 del Estatuto de Autonomía de Cataluña, que la determinación de una nueva denominación para la Bolsa Oficial de Comercio de Barcelona únicamente corresponde a la Generalidad de Cataluña y que la Disposición adicional primera ha incurrido en inconstitucionalidad por incompetencia. </w:t>
      </w:r>
    </w:p>
    <w:p w:rsidR="006854DA" w:rsidRDefault="006854DA" w:rsidP="006854DA">
      <w:pPr>
        <w:pStyle w:val="TextoNormal"/>
      </w:pPr>
      <w:r>
        <w:lastRenderedPageBreak/>
        <w:t xml:space="preserve">Art. 78: En el Título VII de la Ley (normas de conducta) se recogen determinadas reglas a las que habrá de ajustarse el comportamiento de las personas y las entidades relacionadas profesionalmente con el mercado de valores. En la medida en que el art. 78 de la Ley es de necesaria aplicación y excluye la posibilidad de que la Generalidad, en el ejercicio de sus competencias de ordenación de los mercados de valores dicte normas distintas o complementarias de conducta -siempre en el marco de las que determinen las Comunidades Europeas- este artículo no se ajusta a la Constitución. Todo ello en el bien entendido que en todo caso la actividad autonómica se limitará a cumplimentar las normas de conducta sin interferencias de las relativas al nacimiento, modificación y extinción de las relaciones jurídicas de carácter mercantil que son de evidente exclusividad estatal. </w:t>
      </w:r>
    </w:p>
    <w:p w:rsidR="006854DA" w:rsidRDefault="006854DA" w:rsidP="006854DA">
      <w:pPr>
        <w:pStyle w:val="TextoNormal"/>
      </w:pPr>
      <w:r>
        <w:t xml:space="preserve">Arts. 84 y 107: El primero de estos preceptos, después de enumerar las entidades y personas físicas y jurídicas sujetas al régimen de supervisión, inspección y sanción previsto por la Ley, establece que tal régimen se entiende sin perjuicio de las competencias que correspondan a las Comunidades Autónomas que las tengan atribuidas, sobre las Sociedades de Bolsa ubicadas en su territorio y en relación con las operaciones sobre valores admitidos a negociación únicamente en las mismas. El criterio establecido en este artículo para delimitar la competencia, basado en la distinción de operaciones sobre valores y según estos coticen únicamente en Bolsas ubicadas en Cataluña o también coticen en Bolsas ubicadas en el resto del Estado, no aparece ni en la Constitución ni en el Estatuto de Autonomía. La adopción del referido criterio delimitador incurre en un vicio que determina su inconstitucionalidad. </w:t>
      </w:r>
    </w:p>
    <w:p w:rsidR="006854DA" w:rsidRDefault="006854DA" w:rsidP="006854DA">
      <w:pPr>
        <w:pStyle w:val="TextoNormal"/>
      </w:pPr>
      <w:r>
        <w:t xml:space="preserve">Por otra parte, incluso admitiendo que en las Bolsas ubicadas en Cataluña puedan cometerse determinadas infracciones, que por su especial trascendencia supracomunitaria y por atentar al necesario equilibrio del sistema financiero estatal, justifiquen determinada intervención por parte del Estado, lo que no puede aceptarse es que la Ley del Mercado de Valores restrinja las atribuciones de la Generalidad hasta el extremo de impedir que pueda ejercer las competencias de supervisión, inspección y sanción sobre una parte de las operaciones que se realizan en los mercados de valores sitos en Cataluña. A estos efectos, el Letrado del Consejo Ejecutivo de la Generalidad invoca la STC 49/1988 y concluye que el criterio territorial respecto al lugar donde se realicen las operaciones es el único que puede determinar el ejercicio de las competencias atribuidas por el art. 9.20 del Estatuto de Autonomía de Cataluña a la Generalidad, entre las que se incluyen las de supervisión, inspección y sanción. </w:t>
      </w:r>
    </w:p>
    <w:p w:rsidR="006854DA" w:rsidRDefault="006854DA" w:rsidP="006854DA">
      <w:pPr>
        <w:pStyle w:val="TextoNormal"/>
      </w:pPr>
      <w:r>
        <w:t xml:space="preserve">Por su parte, el art. 107 declara de aplicación a las entidades rectoras de los mercados secundarios de valores, al Servicio de compensación y liquidación de valores y a las Sociedades y Agencias de Valores lo dispuesto en el Título III de la Ley de Disciplina e Intervención de las entidades de crédito. Pues bien, en relación con esta traslación automática de disposiciones legislativas, hace observar el demandante que la distribución competencial respecto a las entidades de crédito no es idéntica a la existente en materia de mercados de valores, puesto que mientras que sobre aquéllas la Generalidad ostenta la competencia de desarrollo legislativo y ejecución de las bases del Estado, respecto a los centros de contratación de valores, la Comunidad Autónoma tiene competencia exclusiva. En consecuencia, el art. 107 incurre en inconstitucionalidad desde el momento en que determina la aplicabilidad del Título III de la Ley 26/1988 y reserva exclusivamente a la Comisión Nacional del Mercado de Valores la posibilidad de acordar medidas de intervención o sustitución. </w:t>
      </w:r>
    </w:p>
    <w:p w:rsidR="006854DA" w:rsidRDefault="006854DA" w:rsidP="006854DA">
      <w:pPr>
        <w:pStyle w:val="TextoNormal"/>
      </w:pPr>
      <w:r>
        <w:t xml:space="preserve">La Disposición adicional primera: Al margen de la referencia que ya se ha hecho respecto a la nueva denominación que esta disposición impone a la Bolsa de Barcelona, es </w:t>
      </w:r>
      <w:r>
        <w:lastRenderedPageBreak/>
        <w:t xml:space="preserve">preciso aludir ahora al último inciso de este precepto donde se establece la íntegra aplicación de lo dispuesto en la Ley a la Bolsa mencionada. Este precepto incurre en inconstitucionalidad por atribuir, de facto, sin los requisitos formales exigidos y sin título competencial habilitante materialmente, el valor de norma básica a la totalidad de la Ley, estableciendo su íntegra, y por tanto, exclusiva aplicación a un centro de contratación de valores como la Bolsa de Barcelona que está sujeto, por determinación estatutaria, a la competencia exclusiva de la Generalidad de Cataluña. </w:t>
      </w:r>
    </w:p>
    <w:p w:rsidR="006854DA" w:rsidRDefault="006854DA" w:rsidP="006854DA">
      <w:pPr>
        <w:pStyle w:val="TextoNormal"/>
      </w:pPr>
      <w:r>
        <w:t xml:space="preserve">Disposición adicional segunda: La función mediadora realizada hasta ahora por los Agentes de Cambio y Bolsa presenta una diversidad de perfiles que indica la necesidad de admitir un esquema competencial compartido por el Estado y las Comunidades Autónomas Al legislador estatal puede corresponder la regulación de aquellos aspectos nucleares o esenciales de la profesión de Agentes de Cambio y Bolsa que exijan un tratamiento unitario en todo el Estado, así como, en virtud de la reserva del art. 149.1.18 C.E., fijar unos criterios básicos en materia de Colegios profesionales. Sin embargo, a la Generalidad de Cataluña corresponde, ex art. 9.23 del Estatuto de Autonomía de Cataluña, la legislación de desarrollo y las facultades ejecutivas en materia de Colegios profesionales , y el ejercicio de tales potestades ha de ajustarse hoy a lo dispuesto en la Ley del Parlamento de Cataluña 13/1982, de Colegios Profesionales. En virtud de tales disposiciones, y por tratarse de actos de ejecución, corresponde a la Generalidad la creación y extinción de Colegios profesiones y la determinación de su circunscripción en el ámbito de Cataluña. Por consiguiente, la Disposición adicional segunda incurre en inconstitucionalidad por incompetencia, en la medida en que dispone la disolución del Colegio de Agentes de Cambio y Bolsa de Barcelona y atribuye al Ministerio de Economía y Hacienda la potestad de crear el Colegio de Corredores de Comercio de Barcelona, así como la de determinar su circunscripción. </w:t>
      </w:r>
    </w:p>
    <w:p w:rsidR="006854DA" w:rsidRDefault="006854DA" w:rsidP="006854DA">
      <w:pPr>
        <w:pStyle w:val="TextoNormal"/>
      </w:pPr>
      <w:r>
        <w:t xml:space="preserve">Por idénticas razones, el ultimo inciso del primer párrafo de esta Disposición adicional incurre en inconstitucionalidad al atribuir al Gobierno la facultad de determinar el destino que haya de darse a los libros Registros y archivos de los Agentes de Cambio y Bolsa y a cuanta documentación oficial conste en sus Colegios. En virtud de los títulos enunciados, así como por el hecho de que ninguno de los libros Registros llevados por dichos Agentes forma parte del Registro Mercantil, la determinación del destino de tales documentos únicamente puede corresponder, en Cataluña, a la Generalidad. </w:t>
      </w:r>
    </w:p>
    <w:p w:rsidR="006854DA" w:rsidRDefault="006854DA" w:rsidP="006854DA">
      <w:pPr>
        <w:pStyle w:val="TextoNormal"/>
      </w:pPr>
      <w:r>
        <w:t>Por todo lo expuesto el Consejo Ejecutivo de la Generalidad de Cataluña solicita del Tribunal Constitucional que declare la inconstitucionalidad y subsiguiente nulidad de la Ley 24/1988, del Mercado de Valores, en su totalidad, y subsidiariamente la de sus arts. 13, 17, 20, 31.d, 59, 45, 49, 50, 51, 52, 54, 36, Disposición transitoria décima, en relación con el art. 46, arts. 48, 62, 64, 66, 67, 92, y por conexión con él los arts. 6.2, 7.2 y 3, 26 a), b) y d), 27.2, 28.4, 62.3 y 63.1, arts. 28.4, 27.2, 32.1, 33, 34, 40.2, 42, 53.1., 64.1, 62.1, 67, 78, 84, 107 y las Disposiciones adicionales primera y segunda.</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El Abogado del Estado dio contestación a los anteriores tres recursos de inconstitucionalidad en escrito de 31 de enero 1989, solicitando de este Tribunal el pronunciamiento de Sentencia desestimatoria de los mismos, por no ser contraria a la Constitución la Ley 24/1988 ni ninguno de sus preceptos. </w:t>
      </w:r>
    </w:p>
    <w:p w:rsidR="006854DA" w:rsidRDefault="006854DA" w:rsidP="006854DA">
      <w:pPr>
        <w:pStyle w:val="TextoNormal"/>
      </w:pPr>
      <w:r>
        <w:t xml:space="preserve">Comienza el Abogado del Estado haciendo unas consideraciones generales sobre las normas de competencias integradas en el bloque de la constitucionalidad relevantes para decidir este caso, y afirma que, frente a lo que sostienen los recursos -especialmente los catalanes-, los títulos autonómicos de competencias no se refieren al mercado de valores, </w:t>
      </w:r>
      <w:r>
        <w:lastRenderedPageBreak/>
        <w:t xml:space="preserve">sino, bien concretamente, a centros de contratación de valores, y en el caso vasco con cita expresa de un tipo de ellos: las Bolsas de comercio. La competencia autonómica se circunscribe así al establecimiento de esos centros y a la regulación de los que se establezcan. Es imposible confundir esta competencia tan precisa con la muy extensa y genérica de ordenar el mercado de valores. La ordenación general global de ese mercado exige disponer de una competencia normativa de la que las Comunidades Autónomas recurrentes carecen total y absolutamente. Esa competencia es la relativa a la legislación mercantil, que corresponde con carácter exclusivo al Estado en virtud del art. 149.1.6 C.E. Las competencias autonómicas invocadas han de quedar, pues, confinadas dentro del "Derecho público del mercado de valores". Pero dicho esto, tampoco es exacto afirmar que dichas Comunidades Autónomas han asumido la competencia exclusiva de ordenación jurídico-pública del mercado de valores, sino una competencia de establecimiento y regulación de centros de contratación de valores dentro de la ordenación jurídico-pública del mercado de valores, lo que es bien distinto. </w:t>
      </w:r>
    </w:p>
    <w:p w:rsidR="006854DA" w:rsidRDefault="006854DA" w:rsidP="006854DA">
      <w:pPr>
        <w:pStyle w:val="TextoNormal"/>
      </w:pPr>
      <w:r>
        <w:t xml:space="preserve">Con mucho menos rigor los órganos recurrentes aducen las competencias de los arts. 12.3 del Estatuto de Autonomía del País Vasco y 11.4 del Estatuto de Autonomía de Cataluña, y es que semejantes competencias sólo tienen que ver con escasísimos preceptos de la Ley del Mercado de Valores. En cualquier caso, debe quedar claro que las competencias autonómicas de ejecución de la legislación estatal relativa a los nombramientos de Agentes de Cambio y Bolsa no implican, por su mero existir, ninguna restricción o límite material de la libertad política de las Cortes Generales. El legislador estatal no está vinculado a perpetuar la figura y caracteres de estos profesionales; antes al contrario, la competencia autonómica de los artículos mencionados queda condicionada a que sigan subsistiendo los citados profesionales. </w:t>
      </w:r>
    </w:p>
    <w:p w:rsidR="006854DA" w:rsidRDefault="006854DA" w:rsidP="006854DA">
      <w:pPr>
        <w:pStyle w:val="TextoNormal"/>
      </w:pPr>
      <w:r>
        <w:t xml:space="preserve">Por lo que se refiere a los títulos estatales de competencia que habilitan al legislador para dictar la Ley impugnada, los más importantes son el de legislación mercantil (art. 149.1.6 C.E.) y el de bases de la ordenación del crédito (149.1.11 C.E.), que no son, sin embargo, los únicos. </w:t>
      </w:r>
    </w:p>
    <w:p w:rsidR="006854DA" w:rsidRDefault="006854DA" w:rsidP="006854DA">
      <w:pPr>
        <w:pStyle w:val="TextoNormal"/>
      </w:pPr>
      <w:r>
        <w:t xml:space="preserve">Sobre el título "legislación mercantil", es verdad que el Tribunal Constitucional ha dicho que la reserva del art. 149.1.6 C.E. se refiere sólo a lo jurídico-privado; sin embargo, Derecho público y Derecho privado son duae positiones para cuyo deslinde llevan los juristas dos mil años de discusión. Por ello, será preferible, sin duda, adoptar un punto de vista institucional -mejor que normativo- para abordar la cuestión. Así, por ejemplo, el Capítulo Segundo, del Título I de la Ley es legislación mercantil, incluido el art. 7, porque el Registro que este precepto disciplina es una pieza necesaria en el tráfico jurídico-privado de los valores representados por anotaciones en cuenta. En cambio, el Título VIII de la Ley pertenece a la esfera jurídico pública, aunque la difusión de informaciones previstas en el art. 89, o el ejercicio de acciones civiles de cesación o rectificación de la publicidad ilícita (art. 94 de la Ley de Mercado de Valores y arts. 25 y siguientes de la Ley General de Publicidad) incidan o interfieran en relaciones jurídico-privadas. Pero, en cualquier caso, gran parte de los preceptos de la Ley han de ser calificados como normas de derecho mercantil. </w:t>
      </w:r>
    </w:p>
    <w:p w:rsidR="006854DA" w:rsidRDefault="006854DA" w:rsidP="006854DA">
      <w:pPr>
        <w:pStyle w:val="TextoNormal"/>
      </w:pPr>
      <w:r>
        <w:t xml:space="preserve">Por lo que se refiere al título "bases de la ordenación del crédito", la STC 96/1984 consideró que el supuesto de hecho del conflicto por ella resuelto -una emisión de obligaciones- formaba parte de la materia "ordenación del crédito". Es claro que la unidad de mercado rige también para el mercado de valores, sector principalísimo del mercado de capitales. A este respecto, la Exposición de Motivos de la Ley impugnada resalta que dicha Ley parte del irrenunciable principio de unidad del orden económico y del sistema financiero </w:t>
      </w:r>
      <w:r>
        <w:lastRenderedPageBreak/>
        <w:t xml:space="preserve">nacional, del que el mercado de valores constituye pieza esencial, así como que la Ley responde a la necesidad de organizar el mismo como un mercado único, condición inexcusable para su eficacia y para su competitividad en el plano internacional. Es, por lo tanto, erróneo sostener, como hace el Abogado de la Generalidad, que el bloque de constitucionalidad reconoce el modelo de mercado de valores descentralizado. Del bloque de constitucionalidad no resulta nada de esto, pues, como se sabe, las competencias autonómicas exclusivas de los arts. 10.29 del Estatuto de Autonomía del País Vasco y 9.20 del Estatuto de Autonomía de Cataluña no se refieren en general al mercado de valores, sino que son competencias circunscritas al establecimiento y regulación de centros de contratación de valores, compatibles con muy distintos tipos de ordenación del mercado de valores y desde luego respetadas por la Ley que se recurre. </w:t>
      </w:r>
    </w:p>
    <w:p w:rsidR="006854DA" w:rsidRDefault="006854DA" w:rsidP="006854DA">
      <w:pPr>
        <w:pStyle w:val="TextoNormal"/>
      </w:pPr>
      <w:r>
        <w:t xml:space="preserve">Por último, el Abogado del Estado señala que otra manifestación de la unidad económica es la existencia de una política monetaria y crediticia común, la cual no es solamente susceptible de ser establecida por la vía normativa. En ocasiones el Gobierno está facultado para proceder a la concreción e incluso a la cuantificación de medidas, entre las que se contaba la decisión de fijar la fecha de una emisión según el régimen entonces vigente, que podía por ello ser reservada a órganos centrales del Estado, todo lo cual se dijo en la STC 96/1984. </w:t>
      </w:r>
    </w:p>
    <w:p w:rsidR="006854DA" w:rsidRDefault="006854DA" w:rsidP="006854DA">
      <w:pPr>
        <w:pStyle w:val="TextoNormal"/>
      </w:pPr>
      <w:r>
        <w:t xml:space="preserve">Hechas estas reflexiones generales, el Abogado del Estado analiza los diversos motivos de inconstitucionalidad invocados por los recurrentes iniciando su estudio por las causas de inconstitucionalidad formal aducidas contra toda la Ley por el Gobierno Vasco y el Consejo Ejecutivo de la Generalidad. </w:t>
      </w:r>
    </w:p>
    <w:p w:rsidR="006854DA" w:rsidRDefault="006854DA" w:rsidP="006854DA">
      <w:pPr>
        <w:pStyle w:val="TextoNormal"/>
      </w:pPr>
      <w:r>
        <w:t xml:space="preserve">Los títulos estatales de competencia que ampara una Ley tan compleja como la Ley del Mercado de Valores pueden ser, y son, muy variados. No todos ellos descansan en la noción de bases para distribuir las competencias. Así sucede con la legislación mercantil, título estatal al que se refieren expresamente los preceptos estatutarios más vigorosamente invocados por los demandantes, y no siendo la competencia estatal sobre legislación mercantil una competencia estatal de bases, no le es de aplicación la doctrina sentada para éstas por el Tribunal Constitucional. </w:t>
      </w:r>
    </w:p>
    <w:p w:rsidR="006854DA" w:rsidRDefault="006854DA" w:rsidP="006854DA">
      <w:pPr>
        <w:pStyle w:val="TextoNormal"/>
      </w:pPr>
      <w:r>
        <w:t xml:space="preserve">Tampoco puede entenderse que la Constitución imponga al legislador estatal el deber de identificar caso por caso el título constitucional de competencia o los títulos constitucionales de competencia que amparan o pueden amparar la regulación establecida. Esta necesidad de articulación no existe -o al menos no existe de la misma manera- en las materias en que el Estado monopoliza la normación o la normación y la ejecución. En consecuencia, el razonamiento de las demandas de inconstitucionalidad, que pretende basarse en la doctrina del Tribunal Constitucional sobre las bases, no puede ser referido a la Ley del Mercado de Valores en su integridad, sino solamente a aquellos preceptos que se apoyen de forma exclusiva en una competencia estatal de bases, lo cual es ya una cuestión que obliga a descender al examen de cada artículo impugnado y que no puede ser estudiada con el carácter global que pretenden los recurrentes. </w:t>
      </w:r>
    </w:p>
    <w:p w:rsidR="006854DA" w:rsidRDefault="006854DA" w:rsidP="006854DA">
      <w:pPr>
        <w:pStyle w:val="TextoNormal"/>
      </w:pPr>
      <w:r>
        <w:t xml:space="preserve">Por de pronto, el art. 84 declara que tendrán carácter básico los correspondientes preceptos del Título VIII, salvo las referencias contenidas en ellos a órganos o entidades estatales, con lo que se satisface la exigencia formal dimanante de la noción constitucional de bases. Fuera de este Título VIII, hay que remitir la cuestión al examen de cada precepto recurrido, teniendo presente, además, que el carácter básico de un precepto puede ser declarado por la Ley estatal que lo establece o resultar de su propia estructura en cuanto permita inferir directa o indirectamente, pero sin especial dificultad, su vocación o pretensión de básica. </w:t>
      </w:r>
    </w:p>
    <w:p w:rsidR="006854DA" w:rsidRDefault="006854DA" w:rsidP="006854DA">
      <w:pPr>
        <w:pStyle w:val="TextoNormal"/>
      </w:pPr>
      <w:r>
        <w:lastRenderedPageBreak/>
        <w:t xml:space="preserve">No ha lugar, pues, concluye el Abogado del Estado a la declaración de inconstitucionalidad formal de toda la Ley del Mercado de Valores. </w:t>
      </w:r>
    </w:p>
    <w:p w:rsidR="006854DA" w:rsidRDefault="006854DA" w:rsidP="006854DA">
      <w:pPr>
        <w:pStyle w:val="TextoNormal"/>
      </w:pPr>
      <w:r>
        <w:t xml:space="preserve">Entrando a examinar los preceptos particularmente recurridos, el Abogado del Estado aclara previamente que la inconstitucionalidad material de cualquiera de ellos casi nunca daría lugar a su nulidad, sino sólo a su inaplicación directa en la Comunidad Autónoma a que perteneciera el órgano recurrente. </w:t>
      </w:r>
    </w:p>
    <w:p w:rsidR="006854DA" w:rsidRDefault="006854DA" w:rsidP="006854DA">
      <w:pPr>
        <w:pStyle w:val="TextoNormal"/>
      </w:pPr>
      <w:r>
        <w:t xml:space="preserve">Arts. 13, 15, 17, 19 y 20: Ni los órganos que han impugnado el art. 13 (Gobierno Vasco y Consejo Ejecutivo de la Generalidad) ni el Parlamento de Cataluña -que no lo ha impugnado- ponen en tela de juicio la constitucionalidad de la decisión de crear la Comisión Nacional del Mercado de Valores o sus rasgos fundamentales, y es que no hay razón alguna en todo el bloque de constitucionalidad que prohíba al legislador estatal establecer y regular un tipo de órgano similar a los que tan buen resultado práctico han dado en el derecho de un país, como los EE.UU., que es el espejo del constitucionalismo federal. No puede, por tanto, entenderse que el art. 13 sea inconstitucional. </w:t>
      </w:r>
    </w:p>
    <w:p w:rsidR="006854DA" w:rsidRDefault="006854DA" w:rsidP="006854DA">
      <w:pPr>
        <w:pStyle w:val="TextoNormal"/>
      </w:pPr>
      <w:r>
        <w:t xml:space="preserve">Tampoco lo es el art. 15, pues no hay razón para interpretar la referencia a la potestad reglamentaria contenida en el art. 97 C.E., como si se pretendiera atribuir al Gobierno su monopolio indelegable. La potestad de regulación concedida a la Comisión Nacional del Mercado de Valores está prevista en la Ley, pero el art. 15 exige siempre la interpositio del Gobierno o del Ministerio de Economía y Hacienda. Además, la potestad normativa de la Comisión Nacional del Mercado de Valores no sólo está jerárquicamente subordinada a las disposiciones reglamentarias dictadas por el Gobierno o el Ministro del ramo y sujeta a la existencia de previa habilitación expresa, sino que está circunscrita teleológicamente, en cuanto que está prevista "para el adecuado ejercicio de las competencias que le (a la Comisión Nacional del Mercado de Valores) atribuye la presente Ley". No puede, pues, entenderse que con todas estas cautelas y restricciones se viola el art. 97 C.E., pues, en definitiva, la potestad reglamentaria secundaria y derivada que es conferida a la Comisión Nacional del Mercado de Valores depende de la libre voluntad del Gobierno. </w:t>
      </w:r>
    </w:p>
    <w:p w:rsidR="006854DA" w:rsidRDefault="006854DA" w:rsidP="006854DA">
      <w:pPr>
        <w:pStyle w:val="TextoNormal"/>
      </w:pPr>
      <w:r>
        <w:t xml:space="preserve">Respeto del art. 17, que regula el Consejo y el Comité Consultivo de la Comisión Nacional del Mercado de Valores, no puede entenderse que ni la Constitución ni norma alguna del bloque de la constitucionalidad hagan ilegítima la opción legislativa plasmada en dicho precepto. Los recurrentes no han interpretado bien la STC 29/1986, que invocan en apoyo de sus alegaciones. Esa Sentencia se refiere a un caso en que concurrían o confluían competencias de ejecución pertenecientes al Estado y a la Comunidad Autónoma De su doctrina se deduce al menos dos cosas: la primera, que el legislador estatal cuenta con un amplio margen de libertad para otorgar presencia o no a las Comunidades Autónomas en los órganos estatales que cree y para establecer el modo concreto en que se haya de articular esa presencia; la segunda, que en el caso resuelto por la Sentencia citada se reputó contraria a la Constitución la ausencia de las Comunidades Autónomas en los órganos a los que correspondía ejecutar los planes de reconversión en el ámbito territorial de la Comunidad Autónoma, puesto que esa ejecución aparecía como tarea de responsabilidad común del Estado y de las Comunidades Autónomas No sucede otro tanto con el art. 17 de la Ley impugnada, es decir, con la opción legislativa por un órgano rector de la Comisión Nacional del Mercado de Valores compuesto por pocas personas, donde imperen criterios técnicos y profesionales en un ambiente de objetividad e independencia garantizadas. </w:t>
      </w:r>
    </w:p>
    <w:p w:rsidR="006854DA" w:rsidRDefault="006854DA" w:rsidP="006854DA">
      <w:pPr>
        <w:pStyle w:val="TextoNormal"/>
      </w:pPr>
      <w:r>
        <w:t>Las competencias de que disponen las Comunidades Autónomas vasca y catalana en la materia que nos ocupa de ninguna manera permiten defender que las funciones de la Comisión Nacional del Mercado de Valores constituyen tarea o responsabilidad común del Estado y de las Comunidades Autónomas La única confluencia de competencias expresa</w:t>
      </w:r>
      <w:r>
        <w:lastRenderedPageBreak/>
        <w:t xml:space="preserve">mente prevista y regulada en la Ley es la de las facultades del Banco de España y de la Comisión Nacional del Mercado de Valores. No se da, en conclusión, la premisa de que partía la STC 29/1986. </w:t>
      </w:r>
    </w:p>
    <w:p w:rsidR="006854DA" w:rsidRDefault="006854DA" w:rsidP="006854DA">
      <w:pPr>
        <w:pStyle w:val="TextoNormal"/>
      </w:pPr>
      <w:r>
        <w:t xml:space="preserve">La impugnación de los arts. 19 y 20 de la Ley depende totalmente de la motivación que acaba de examinarse respecto del art. 17. En efecto, el art. 19 regula la duración del mandato del Presidente, Vicepresidente y Consejeros electivos de la Comisión Nacional del Mercado de Valores, la renovación y las consecuencias del cese durante el mandato sobre el sucesor. El art. 20 enumera las causas tasadas de cese del Presidente, Vicepresidente y Consejeros electivos. Así, pues, en sí mismos considerados ninguna inconstitucionalidad cabe reprochar a estos preceptos. </w:t>
      </w:r>
    </w:p>
    <w:p w:rsidR="006854DA" w:rsidRDefault="006854DA" w:rsidP="006854DA">
      <w:pPr>
        <w:pStyle w:val="TextoNormal"/>
      </w:pPr>
      <w:r>
        <w:t xml:space="preserve">Arts. 27 y 28.4: Frente al párrafo 4º. del art. 28 de la Ley se aduce la doctrina de la STC 96/1984. Esta, en efecto, declaró que la competencia controvertida respecto a autorizar el folleto de emisión correspondía a la Comunidad Autónoma del País Vasco. Ahora bien, hay en ello un error de concepto que vicia el razonamiento adverso en este y en otros muchos preceptos de la Ley. Del hecho de que la autorización autonómica del folleto de emisión sea conforme al orden de competencia, no se sigue en modo alguno que el Estado tenga constitucionalmente prohibida toda referencia en sus normas al folleto de emisión y que no le sea posible ni siquiera pedirle al emisor un ejemplar para incorporarlo a un Registro estatal público. Una previsión de este tipo sería perfectamente compatible con el ejercicio autonómico de la función de autorizar el folleto y en nada la menoscabaría: la Comunidad Autónoma autorizaría el folleto y éste quedaría definitivamente autorizado, aunque el emisor podría ser lícitamente obligado a entregar uno o varios ejemplares del folleto a un órgano central del Estado, en conexión con las competencias de éste. No hay razón constitucional alguna para tratar la competencia autonómica de autorización como un coto cerrado que atribuye un derecho absoluto a impedir toda actividad gestora de los órganos estatales, aunque sea perfectamente compatible con la competencia autonómica. </w:t>
      </w:r>
    </w:p>
    <w:p w:rsidR="006854DA" w:rsidRDefault="006854DA" w:rsidP="006854DA">
      <w:pPr>
        <w:pStyle w:val="TextoNormal"/>
      </w:pPr>
      <w:r>
        <w:t xml:space="preserve">La libertad de emisión no equivale a inexistencia de requisitos legales de regularidad. El art. 26 impone varios, entre los que se encuentra la presentación a la Comisión Nacional del Mercado de Valores para el Registro de un folleto informativo de la emisión. La existencia del folleto, su presentación a la Comisión Nacional del Mercado de Valores y su Registro sirven para promover la transparencia del mercado y proteger al inversor, mediante la difusión de información, cosa que el art. 13.2 de la Ley encomienda a la Comisión Nacional del Mercado de Valores, sin que los recurrentes hayan opuesto ninguna objeción. Transparencia y protección del inversor, difundiendo al máximo la información que se posee, pretenden llegar a ser principios de organización y funcionamiento del mercado de valores. A ello alude expresamente la Ley en su Exposición de Motivos cuando dice que para defender los intereses de los inversores se exige el Registro en la Comisión Nacional del Mercado de Valores del folleto informativo de la emisión. </w:t>
      </w:r>
    </w:p>
    <w:p w:rsidR="006854DA" w:rsidRDefault="006854DA" w:rsidP="006854DA">
      <w:pPr>
        <w:pStyle w:val="TextoNormal"/>
      </w:pPr>
      <w:r>
        <w:t xml:space="preserve">Incorporación al Registro y previa verificación son piezas de un sistema diverso al de autorización previa del folleto de emisión. El cambio de las normas básicas de ordenación del crédito en este punto (supresión del sistema de autorización del folleto, sustituido por otro de verificación-Registro) determina un límite temporal para la fuerza de cosa juzgada de la STC 96/1984: desaparecido el régimen (básico) de autorización del folleto, deja de haber potestad autonómica de autorizar que pueda quedar incluida en la competencia del art. 11.2.a) del Estatuto de Autonomía del País Vasco, esto es, en el desarrollo legislativo y ejecución de las bases. </w:t>
      </w:r>
    </w:p>
    <w:p w:rsidR="006854DA" w:rsidRDefault="006854DA" w:rsidP="006854DA">
      <w:pPr>
        <w:pStyle w:val="TextoNormal"/>
      </w:pPr>
      <w:r>
        <w:t>Es indiscutible que verificar el folleto informativo para registrarlo pertenece a la esfera de la ejecución no menos que la autorización del folleto, pero admitir que verificar y regis</w:t>
      </w:r>
      <w:r>
        <w:lastRenderedPageBreak/>
        <w:t xml:space="preserve">trar los folletos pertenezca a la esfera ejecutiva no supone, en modo alguno, la inconstitucionalidad del párrafo 4º del art. 28, en relación con el art. 92 de la Ley. En efecto, si no es inconstitucional el propósito de obtener la máxima difusión de información (máxima transparencia en el mercado, máxima protección del consumidor), no puede serlo el poner los medios para ello. Los arts. 11.2 a) del Estatuto de Autonomía del País Vasco y 10.1.4 del Estatuto de Autonomía de Cataluña no pueden interpretarse en el sentido de que el legislador estatal no pueda crear un Registro de folletos informativos de alcance nacional, es decir, al que tengan acceso todos los folletos correspondientes a cualesquiera emisiones de valores que tengan lugar en el territorio nacional, y se vea compelido a que el flujo informativo mane exclusivamente de los Registros que pudiera establecer cada Comunidad Autónoma titular de competencias análogas a las de los preceptos citados. Semejante sistema menoscabaría gravemente la consecución de un grado deseable de difusión de la información. En definitiva, pues, las citadas competencias autonómicas no pueden interpretarse en ese sentido impeditivo u obstaculizador del flujo informativo. Al contrario, las competencias autonómicas deberán ejercitarse respetando las bases estatales, que en el presente caso significan el mayor respeto para los designios de difusión informativa, transparencia y protección del inversor. Las Comunidades Autónomas podrán, pues, crear instrumentos auxiliares para dar aún mayor publicidad a las emisiones de valores que tengan lugar en su territorio, pero -por supuesto- sin impedir que la Comisión Nacional del Mercado de Valores pueda contar con sus propios instrumentos de publicidad, esto es, los Registros del art. 92 de la Ley. </w:t>
      </w:r>
    </w:p>
    <w:p w:rsidR="006854DA" w:rsidRDefault="006854DA" w:rsidP="006854DA">
      <w:pPr>
        <w:pStyle w:val="TextoNormal"/>
      </w:pPr>
      <w:r>
        <w:t xml:space="preserve">Una vez que ha quedado justificado que el Registro de los folletos informativos por la Comisión Nacional del Mercado de Valores no lesiona el orden de competencia, no puede sostenerse que la función de verificación del art. 28.4 lo vulnere, pues dicha función es necesariamente antecedente al Registro de los folletos, esto es, es una función ancilar, subordinada o instrumental de la de Registro, lo que significa que si esta última no es inconstitucional, no puede serlo tampoco la primera. </w:t>
      </w:r>
    </w:p>
    <w:p w:rsidR="006854DA" w:rsidRDefault="006854DA" w:rsidP="006854DA">
      <w:pPr>
        <w:pStyle w:val="TextoNormal"/>
      </w:pPr>
      <w:r>
        <w:t xml:space="preserve">La misma argumentación vale para el art. 27, pues la auditoría de los estados financieros del emisor responde también a la finalidad de difundir la información para conseguir la transparencia del mercado y proteger al inversor. La verificación que la Comisión Nacional del Mercado de Valores efectúa para determinar si la auditoría cumple los requisitos es un necesario antecedente de su incorporación al Registro. Debe notarse, argumenta el Abogado del Estado, que nadie discute la licitud de remitir a una ulterior disposición reglamentaria la precisión del alcance y contenido de los estados financieros y de las auditorías, o la determinación de los extremos que debe incorporar el folleto informativo, pues lo uno y lo otro son bases de la ordenación del crédito en cuanto aseguran el funcionamiento regular del mercado de valores, la igual protección de los inversores y el igual tratamiento de los emisores. </w:t>
      </w:r>
    </w:p>
    <w:p w:rsidR="006854DA" w:rsidRDefault="006854DA" w:rsidP="006854DA">
      <w:pPr>
        <w:pStyle w:val="TextoNormal"/>
      </w:pPr>
      <w:r>
        <w:t xml:space="preserve">A la vista de lo razonado en los tres recursos de inconstitucionalidad, el Abogado del Estado considera que puede prescindirse de razonar sobre el art. 26, ya que su impugnación depende totalmente de la del art. 92 de la Ley. </w:t>
      </w:r>
    </w:p>
    <w:p w:rsidR="006854DA" w:rsidRDefault="006854DA" w:rsidP="006854DA">
      <w:pPr>
        <w:pStyle w:val="TextoNormal"/>
      </w:pPr>
      <w:r>
        <w:t>Arts. 31, 32, 33, 34, 35, 36, 40.2, 42, 45, 46, 47, 48, 49, 50, 51, 52, 53.1, 54 y 59: El art. 31, que es recurrido por el Gobierno Vasco y por el órgano ejecutivo catalán, cierra la lista de los mercados secundarios oficiales de valores con el enunciado general de "aquellos otros, de ámbito estatal y referentes a valores representados mediante anotaciones en cuenta, que se creen en virtud de lo previsto en el art. 59". El art. 59, por su parte, faculta al Gobierno para regular la organización y funcionamiento de los mercados a que se refiere el art. 31 c). Los demandantes discuten solamente la habilitación al Gobierno por juz</w:t>
      </w:r>
      <w:r>
        <w:lastRenderedPageBreak/>
        <w:t xml:space="preserve">garla lesiva de las competencias autonómicas, pero el razonamiento de los recurrentes es palmariamente erróneo, porque confunden la organización de nuevos mercados secundarios oficiales de valores representados mediante anotaciones en cuenta con el establecimiento de centros de contratación. </w:t>
      </w:r>
    </w:p>
    <w:p w:rsidR="006854DA" w:rsidRDefault="006854DA" w:rsidP="006854DA">
      <w:pPr>
        <w:pStyle w:val="TextoNormal"/>
      </w:pPr>
      <w:r>
        <w:t xml:space="preserve">Organizar un mercado es determinar con carácter general y abstracto quiénes pueden ser oferentes y demandantes; qué tipo de bienes y servicios pueden negociarse; cuáles deben ser las reglas que disciplinen las lícitas operaciones entre los diversos agentes económicos que concurren al mercado, etc. Establecer un centro de contratación es decidir la creación de un espacio en el que se puedan perfeccionar contratos. El centro de contratación lógicamente presupone la existencia de un mercado organizado. Nos encontramos, pues, ante unos conceptos distinguibles: al Estado corresponde organizar los nuevos mercados oficiales de valores representados por anotaciones en cuenta, ya que se trata de una decisión que entraña la creación y ordenación, con alcance oficial, de un nuevo tipo de valores "desmaterializados", es decir, de un nuevo tipo de cosa u objeto de tráfico mercantil. Puede decirse, en consecuencia, que se trata de legislación mercantil, así como que la decisión de crear y ordenar estos mercados es una base de la ordenación del crédito. Organizado que sea un mercado secundario oficial de valores, es decir, una vez creado y ordenado por el Estado, las Comunidades Autónomas competentes para ello podrán establecer y regular centros de contratación de los valores que se negocien en los nuevos mercados. </w:t>
      </w:r>
    </w:p>
    <w:p w:rsidR="006854DA" w:rsidRDefault="006854DA" w:rsidP="006854DA">
      <w:pPr>
        <w:pStyle w:val="TextoNormal"/>
      </w:pPr>
      <w:r>
        <w:t xml:space="preserve">Por otro lado, los mercados para cuya organización faculta el art. 59 al Gobierno son mercados nacionales (de ámbito estatal), mientras que las competencias autonómicas están referidas al establecimiento de centros de contratación de valores dentro de su territorio. En suma, lo dispuesto en los arts. 31 c) y 59 es compatible con las competencias asumidas por las Comunidades Autónomas recurrentes, que son plenamente respetadas. </w:t>
      </w:r>
    </w:p>
    <w:p w:rsidR="006854DA" w:rsidRDefault="006854DA" w:rsidP="006854DA">
      <w:pPr>
        <w:pStyle w:val="TextoNormal"/>
      </w:pPr>
      <w:r>
        <w:t xml:space="preserve">Del art. 32 se impugna únicamente su párrafo primero que prescribe que la admisión de valores a negociación en los mercados secundarios oficiales requerirá "en todo caso" que la Comisión Nacional del Mercado de Valores verifique los requisitos a que se refiere el párrafo segundo, el cual remite a una posterior disposición reglamentaria. Ninguno de los recursos distingue debidamente las funciones que el art. 32.1 distribuye entre la Comisión Nacional del Mercado de Valores y los organismos rectores de los diversos mercados secundarios. La Comisión Nacional del Mercado de Valores no acuerda la admisión a negociación; ésta corresponde al organismo rector del mercado, atribución que, por cierto, no discute ninguno de los recurrentes. A la Comisión Nacional del Mercado de Valores corresponde una función de verificación -previa al acuerdo de admisión- de los requisitos a que se refiere el párrafo segundo del propio artículo, que serán los del art. 26 de la Ley y los que se añadan reglamentariamente. Pero los requisitos del art. 26 obedecen, como ha quedado dicho, a las finalidades de transparencia y de protección del inversor y están concatenados con la actividad registral del art. 92. Hay que concluir, pues, razonablemente que la verificación regulada en el art. 32.1 para los mercados secundarios es del mismo tipo que la prevista en los arts. 27 y 28. Si ello es así no hay porqué reputar el art. 32.1 lesivo de competencia autonómica alguna, al igual que ocurría con las verificaciones de los arts. 27.2 y 28.4 de la Ley. Nada impide que, dentro de la esfera de su competencia, las Comunidades Autónomas puedan crear medios adicionales de publicidad de las admisiones de valores a negociación en Bolsas ubicadas dentro de su territorio. </w:t>
      </w:r>
    </w:p>
    <w:p w:rsidR="006854DA" w:rsidRDefault="006854DA" w:rsidP="006854DA">
      <w:pPr>
        <w:pStyle w:val="TextoNormal"/>
      </w:pPr>
      <w:r>
        <w:t xml:space="preserve">El art. 33. atribuye a la Comisión Nacional del Mercado de Valores la potestad de suspender la negociación de un valor en todos los mercados secundarios oficiales en que esté admitido, si concurren circunstancias especiales. Sería verdaderamente contradictorio con la finalidad de esta medida el que pudiese ser adoptada sólo en relación con fragmentos </w:t>
      </w:r>
      <w:r>
        <w:lastRenderedPageBreak/>
        <w:t xml:space="preserve">del mercado de valores delimitado territorialmente. Todo lo cual fundamenta que el legislador haya considerado básica a los efectos del art. 149.1.11 C.E. la decisión de suspender y la haya confiado a la Comisión Nacional del Mercado de Valores. La suspensión de la negociación, además, hace al valor inepto para ser objeto de transmisión dentro de los mercados secundarios oficiales. La medida incide, así, en las relaciones inter privatos, con lo cual, confiar la decisión de suspender a un único órgano central (la Comisión Nacional del Mercado de Valores) aparece como condición básica para garantizar la igualdad de quienes emiten títulos negociados en mercados secundarios, así como para preservar la igualdad en la protección de los inversores (arts. 149.1.1, en relación con los arts. 33.1 y 38 C.E.). </w:t>
      </w:r>
    </w:p>
    <w:p w:rsidR="006854DA" w:rsidRDefault="006854DA" w:rsidP="006854DA">
      <w:pPr>
        <w:pStyle w:val="TextoNormal"/>
      </w:pPr>
      <w:r>
        <w:t xml:space="preserve">El art. 34 concede a la Comisión Nacional del Mercado de Valores la potestad de excluir de la negociación a ciertos valores que no alcancen los requisitos de difusión o de frecuencia de volumen de contratación o cuando lo solicite la propia entidad emisora, pero, en este último caso, la Comisión Nacional del Mercado de Valores puede denegar o condicionar la exclusión si considera que ésta puede lesionar legítimos intereses de sus tenedores o titulares. Valen para el art. 34 los argumentos expuestos al tratar del art. 33, esto es, la exclusión supone la incomerciabilidad del valor excluido dentro de un mercado secundario, incidiendo así en las relaciones jurídicas inter privatos y alterando radicalmente el régimen jurídico de su transmisión. Por otro lado, la decisión de excluir obliga a apreciar la posible lesión que puedan sufrir los legítimos intereses de los tenedores o titulares del valor como consecuencia de su pérdida de liquidez, apreciación que, por entrañar un claro elemento discrecional, puede lícitamente ser centralizada en garantía de la igualdad. </w:t>
      </w:r>
    </w:p>
    <w:p w:rsidR="006854DA" w:rsidRDefault="006854DA" w:rsidP="006854DA">
      <w:pPr>
        <w:pStyle w:val="TextoNormal"/>
      </w:pPr>
      <w:r>
        <w:t xml:space="preserve">Por lo que respecta al art. 35, el Abogado del Estado se remite a las alegaciones del art.92, por cuanto el Gobierno Vasco sólo lo ha impugnado por conexión con el mismo. </w:t>
      </w:r>
    </w:p>
    <w:p w:rsidR="006854DA" w:rsidRDefault="006854DA" w:rsidP="006854DA">
      <w:pPr>
        <w:pStyle w:val="TextoNormal"/>
      </w:pPr>
      <w:r>
        <w:t xml:space="preserve">El art. 36 determina cuáles son las operaciones que pueden considerarse "operaciones de un mercado secundario oficial"; constituye, por tanto, una norma capital para deslindar los mercados secundarios de valores, y tiene, en consecuencia, un claro carácter de legislación mercantil que sólo al Estado compete dictar. Este precepto determina qué relaciones jurídico-mercantiles son o no operaciones de un mercado secundario de valores. Los criterios empleados en la calificación son jurídicos, esto es, el título contractual (compraventa) y la condición subjetiva de miembro del mercado (un tipo especial de empresario o profesional sujeto a un específico estatuto jurídico). La falta de intervención de un miembro del mercado en una compraventa que pretenda pasar por operación del mercado determina su nulidad, y esa sanción de nulidad de la compraventa hace patente el carácter jurídico-privado (mercantil) de la norma que, por lo tanto, nada tiene que ver con la regulación de los centros de contratación de valores a que se refiere el art. 9.20 del Estatuto de Autonomía de Cataluña. Es más, la regulación autonómica de estos centros de contratación deberá atemperarse, entre otros extremos, a lo que dispone el art. 36. </w:t>
      </w:r>
    </w:p>
    <w:p w:rsidR="006854DA" w:rsidRDefault="006854DA" w:rsidP="006854DA">
      <w:pPr>
        <w:pStyle w:val="TextoNormal"/>
      </w:pPr>
      <w:r>
        <w:t xml:space="preserve">El art. 40.2 establece que los miembros de un mercado secundario deberán manifestar a la Comisión Nacional del Mercado de Valores las vinculaciones y relaciones con terceros que pudieran suscitar "conflictos de interés" con otros clientes. No puede estimarse inconstitucional este precepto que es, ante todo, una norma de protección de los inversores mediante la difusión pública del riesgo o posibilidad de un conflicto de intereses que puede afectar a un miembro del mercado. Se busca, de nuevo, la transparencia en beneficio de los inversores, y nada obsta, por otra parte, a que la Generalidad coopere en dar publicidad, sujetándose a los criterios generales que se establezcan, a los posibles conflictos de </w:t>
      </w:r>
      <w:r>
        <w:lastRenderedPageBreak/>
        <w:t xml:space="preserve">interés en que puedan encontrarse envueltos miembros de mercados secundarios que operen en la Bolsa de Barcelona, por ejemplo. </w:t>
      </w:r>
    </w:p>
    <w:p w:rsidR="006854DA" w:rsidRDefault="006854DA" w:rsidP="006854DA">
      <w:pPr>
        <w:pStyle w:val="TextoNormal"/>
      </w:pPr>
      <w:r>
        <w:t xml:space="preserve">Respecto del art. 42, recurrido sólo en su último inciso por el Consejo Ejecutivo de Cataluña, se argumenta por el Abogado del Estado que la comunicación a la Comisión Nacional del Mercado de Valores de las retribuciones que perciban los miembros de un mercado sirve a dos fines: accesibilidad para los interesados y conocimiento por el organismo supervisor del mercado de valores de una magnitud relevante para el funcionamiento de aquel mercado en su conjunto. </w:t>
      </w:r>
    </w:p>
    <w:p w:rsidR="006854DA" w:rsidRDefault="006854DA" w:rsidP="006854DA">
      <w:pPr>
        <w:pStyle w:val="TextoNormal"/>
      </w:pPr>
      <w:r>
        <w:t xml:space="preserve">Arts. 45, 46, 47, 48, 49, 50, 51, 52, 53.1 y 54: El art. 45 ha sido impugnado porque sujeta la decisión autonómica de creación de Bolsas de Valores a la conformidad del Gobierno de la Nación. El propio precepto invoca la justificación constitucional para ello, al decir que atiende a los elementos y consecuencias supracomunitarias de dicha creación. El legislador general, argumenta el Abogado del Estado, puede disponer legítimamente que el Gobierno copartícipe en la decisión sobre la creación de una Bolsa, por cuanto es un fragmento del mercado bursátil nacional, en el que actúan miembros que pueden serlo de otras bolsas. El principio de asignación única de operaciones y la necesidad misma de criterios de asignación es reveladora de la trabazón bursátil; las cotizaciones en la Bolsa son oficiales para toda España, pues la Bolsa es mercado oficial, etc. En consecuencia, el establecimiento de una Bolsa puede ser lícitamente calificado por el legislador como bases de la ordenación del crédito. Como al mismo tiempo es objeto de una competencia autonómica exclusiva (art. 9.20 E.A.C.), es necesario concordar y articular las dos competencias exclusivas que inciden en la creación de una Bolsa de Valores, dado que ni la competencia exclusiva autonómica priva al Estado de una competencia suya igualmente exclusiva (STC 56/1986), ni a la inversa. La conformidad del Gobierno es una técnica razonable y proporcionada de articular la competencia exclusiva del Estado con la autonómica, ya que otorga al Gobierno central un poder de veto sobre la decisión autonómica de establecer la Bolsa. La iniciativa de la creación de la Bolsa se deja a la Comunidad Autónoma, mientras que el Estado (al dar o negar su conformidad) hace valer el punto de vista del mercado nacional en su conjunto ("los elementos y consecuencias supracomunitarias"). Así, pues, el art. 45 de la Ley no es inconstitucional, ni lesiona en particular el art. 9.20 del Estatuto de Autonomía de Cataluña. </w:t>
      </w:r>
    </w:p>
    <w:p w:rsidR="006854DA" w:rsidRDefault="006854DA" w:rsidP="006854DA">
      <w:pPr>
        <w:pStyle w:val="TextoNormal"/>
      </w:pPr>
      <w:r>
        <w:t xml:space="preserve">El art. 46 es el precepto con que se deslindan los valores negociables en Bolsa. Determinar dichos valores es lo mismo que precisar el objeto posible de los contratos bursátiles. Es, pues, típica materia mercantil, como lo era el art. 67 del Código de Comercio. Se trata de un extremo esencial para el régimen jurídico de las operaciones bursátiles, relaciones jurídico-mercantiles típicas, y, por tanto, algo que pertenece a la legislación mercantil que corresponde dictar sólo al Estado. Puesto en relación con el art. 32 de la Ley, el art. 46 regula la negociabilidad abstracta, esto es, establece directamente o delega en la Comisión Nacional del Mercado de Valores la determinación abstracta de las clases o categorías de valores negociables. El art. 36 regula la negociabilidad concreta, esto es, la admisión a negociación de unos concretos valores que, para negociarse en Bolsa, deberán pertenecer a una de las clases previstas directamente por el art. 46 o establecidas de acuerdo con él. En consecuencia, cuando la Comisión Nacional del Mercado de Valores concede negociabilidad en Bolsa a cierta clase de valores desempeña una función normativa, crea un fragmento normativo que tiene carácter jurídico-mercantil, que se dicta al amparo de la competencia estatal ex art. 149.1.6 C.E., a la que están sujetas expresamente las competencias de los arts. 10.29 del Estatuto de Autonomía del País Vasco y 9.20 del Estatuto de Autonomía de Cataluña. </w:t>
      </w:r>
    </w:p>
    <w:p w:rsidR="006854DA" w:rsidRDefault="006854DA" w:rsidP="006854DA">
      <w:pPr>
        <w:pStyle w:val="TextoNormal"/>
      </w:pPr>
      <w:r>
        <w:lastRenderedPageBreak/>
        <w:t xml:space="preserve">El art. 47 de la Ley tiene igualmente carácter jurídico-mercantil. Su párrafo 1º reserva la condición de miembro de las Bolsas de valores a dos tipos especiales de personas jurídicas que son las Sociedades y Agencias de Valores. Este precepto debe relacionarse con los arts. 36 y 70 de la Ley; el primero hace de la participación de un miembro del mercado requisito de validez de una operación de mercado y el segundo, esto es, el art. 70, reserva a las Sociedades y Agencias miembros de cada Bolsa la actividad de negociación de valores regulada en el título IV de la Ley. Estos tres preceptos producen, pues, el efecto conjunto de establecer el término subjetivo necesario de toda relación jurídico-mercantil bursátil. El párrafo 1º del art. 47 es, en consecuencia, tan jurídico-mercantil como el art. 36 y se ampara en el art. 149.1.6 C.E. El párrafo 2º enumera las modalidades permisibles de actuación de estas sociedades mercantiles miembros de la Bolsa, dividiéndolas en actuaciones por cuenta propia o por cuenta ajena. La actuación en una u otra forma incide en la estructura de la relación jurídico-mercantil, lo que hace que el párrafo 2º del art. 47 quede amparado en la competencia estatal sobre legislación mercantil. </w:t>
      </w:r>
    </w:p>
    <w:p w:rsidR="006854DA" w:rsidRDefault="006854DA" w:rsidP="006854DA">
      <w:pPr>
        <w:pStyle w:val="TextoNormal"/>
      </w:pPr>
      <w:r>
        <w:t xml:space="preserve">El art. 48, que regula las Sociedades rectoras de las Bolsas de Valores, representa un mínimo orgánico común a todas las Bolsas. No es exacto que el art. 48 no deje margen a la posible legislación autonómica de desarrollo, que lo tiene, y muy extenso, por ejemplo, para apreciar la organización interna de la Sociedad rectora, para atribuir nuevas funciones a la misma, o para regular las condiciones de aprobación de los Estatutos sociales y sus modificaciones o el régimen de nombramiento de los Consejos de Administración y del Director general de la Sociedad. El régimen de distribución, adaptación, ampliación y reducción de capital de las Sociedades rectoras y la previsión sobre el contenido posible de sus Estatutos son normas claramente jurídico-mercantiles, aunque de carácter singular, ya que regulan las relaciones entre los socios de la Sociedad rectora o entre ésta y aquéllos. Resultan así amparados también por el art. 149.1.6 C.E. </w:t>
      </w:r>
    </w:p>
    <w:p w:rsidR="006854DA" w:rsidRDefault="006854DA" w:rsidP="006854DA">
      <w:pPr>
        <w:pStyle w:val="TextoNormal"/>
      </w:pPr>
      <w:r>
        <w:t xml:space="preserve">Los arts. 49, 50, 51 y 52 regulan una de las grandes novedades de la Ley, el Servicio de Interconexión Bursátil (S.I.B.) de ámbito estatal. Por un lado, el SIB no es un centro de contratación de valores y, por otro lado, desborda territorialmente las competencias autonómicas. Es, pues, indudable que el legislador estatal podía decidir, como ha hecho, la creación del S.I.B., no ya por ser una base de ordenación del crédito, sino por desarrollarse en un ámbito nacional sustraido al ejercicio de las potestades autonómicas. Como es lógico, la competencia para disponer que la integración de una emisión de valores en el S.I.B. suponga "su negociación exclusiva a través del mismo", previa incorporación, en su caso, al servicio de compensación y liquidación de valores, sólo puede corresponder a un organismo nacional, la Comisión Nacional del Mercado de Valores, como establece el art. 51 de la Ley. Debe notarse, además, que el art. 50.2 da intervención a las Comunidades Autónomas -por vía de informe- en la aprobación de los Estatutos de la Sociedad de Bolsas y en sus modificaciones. </w:t>
      </w:r>
    </w:p>
    <w:p w:rsidR="006854DA" w:rsidRDefault="006854DA" w:rsidP="006854DA">
      <w:pPr>
        <w:pStyle w:val="TextoNormal"/>
      </w:pPr>
      <w:r>
        <w:t xml:space="preserve">Las quejas de los órganos recurrentes contra los arts. 49 a 52 de la Ley no reposan realmente en un razonamiento jurídico constitucional. El "vaciamiento" de competencias autonómicas que predicen no es propiamente tal ni tampoco cabe imputarlo a las Cortes Generales. Lo que recelan los actores es que el S.I.B. haga también languidecer a las Bolsas de Barcelona y Bilbao; pero eso será consecuencia de las fuerzas del mercado, las Cortes Generales no tienen el deber constitucional de obstaculizar el fortalecimiento del Mercado Nacional de Valores o forzar la libre actuación de los operadores bursátiles, sólo para fomentar artificialmente el florecimiento de las Bolsas radicadas en las Comunidades Autónomas, o para dar el mayor realce práctico a las competencias autonómicas sobre centros de contratación de valores. </w:t>
      </w:r>
    </w:p>
    <w:p w:rsidR="006854DA" w:rsidRDefault="006854DA" w:rsidP="006854DA">
      <w:pPr>
        <w:pStyle w:val="TextoNormal"/>
      </w:pPr>
      <w:r>
        <w:lastRenderedPageBreak/>
        <w:t xml:space="preserve">El art. 53 ha sido impugnado sólo en cuanto impone que se informe a la Comisión Nacional del Mercado de Valores (y no a la autoridad autonómica) de la adquisición de un determinado porcentaje de capital. La Comisión Nacional del Mercado de Valores dará publicidad a esta información. Vale, pues, para este precepto lo argumentado respecto de los arts. 27, 28 o 40.2, a los que se remite. </w:t>
      </w:r>
    </w:p>
    <w:p w:rsidR="006854DA" w:rsidRDefault="006854DA" w:rsidP="006854DA">
      <w:pPr>
        <w:pStyle w:val="TextoNormal"/>
      </w:pPr>
      <w:r>
        <w:t xml:space="preserve">El art. 54 regula el Servicio de Compensación y Liquidación de Valores (S.C.L.V.), cuyas funciones son llevar el Registro contable de valores representados por anotaciones en cuenta que sean admitidos a negociación bursátil y gestionar en exclusiva la compensación de valores y de efectivo derivada de la negociación en Bolsa. El párrafo 2º del art. 54 salva la competencia de las Comunidades Autónomas para disponer que la Sociedad rectora de una Bolsa pueda crear un servicio parecido respecto a los valores admitidos a negociación en ella. Es manifiesto, pues, que el Servicio de Compensación y Liquidación de Valores tiene su esfera más propia de actuación cuando se trata de valores no admitidos a negociación en una sola Bolsa ubicada en una Comunidad Autónoma competente en la materia, es decir, en operaciones que exceden de la limitación territorial de las competencias autonómicas. No se ve, por tanto, en qué pueda ser violado el orden de competencias. Por otro lado, la Ley pretende organizar el mercado de valores como mercado único, condición inexcusable para su eficiencia y competitividad en el plano internacional. Los órganos recurrentes vuelven a subrayar el efecto que impropiamente denominan de "vaciamiento". Indudablemente, la creación del Servicio de Compensación y Liquidación de Valores hará que los operadores lo utilicen, pues para eso ha sido establecido. Si ello no redunda en pro del aumento del volumen de operaciones en la Bolsa de Barcelona, no por ello podrá entenderse violado el orden de competencias, pues éste no garantiza la prosperidad o el volumen de operaciones de ninguna Bolsa. La creación del Servicio de Compensación y Liquidación de Valores es, en resumen, una decisión política legítima de las Cortes Generales. </w:t>
      </w:r>
    </w:p>
    <w:p w:rsidR="006854DA" w:rsidRDefault="006854DA" w:rsidP="006854DA">
      <w:pPr>
        <w:pStyle w:val="TextoNormal"/>
      </w:pPr>
      <w:r>
        <w:t xml:space="preserve">Arts. 62, 64, 66, 67, 69 y 78: Las Sociedades y Agencias de Valores son un tipo especial de empresarios profesionales financieros a las que se reserva el ejercicio de las actividades del art. 71 de la Ley, así como la negociación de valores regulada en el art. 70, cuando se convierten en miembros de una o varias Bolsas. Ahora bien, si el régimen de actuación de las Sociedades y Agencias de Valores tiene carácter jurídico-mercantil, también lo tendrá el régimen jurídico de los requisitos a que se sujeta el nacimiento, estructura y vicisitudes de esas Sociedades y Agencias, que es el contenido del Capítulo Primero, del Título V de la Ley. En cualquier caso, aún siguiendo una estrategia analítica de estudiar artículo por artículo, los preceptos impugnados pueden ser justificados constitucionalmente sin demasiado esfuerzo. </w:t>
      </w:r>
    </w:p>
    <w:p w:rsidR="006854DA" w:rsidRDefault="006854DA" w:rsidP="006854DA">
      <w:pPr>
        <w:pStyle w:val="TextoNormal"/>
      </w:pPr>
      <w:r>
        <w:t xml:space="preserve">El art. 62 sujeta a autorización del Ministerio de Economía y Hacienda -a propuesta de la Comisión Nacional del Mercado de Valores- la creación de Sociedades y Agencias de Valores y prescribe su inscripción en los correspondientes Registros de la Comisión Nacional del Mercado de Valores. La autorización es el acto decisivo en el tracto fundacional de una Sociedad o Agencia de Valores. Se autoriza la creación de una sociedad anónima especial circunscrita profesionalmente a un determinado ámbito financiero y facultada para actuar en todo el mercado financiero nacional. Esta posibilidad de que las Sociedades y Agencias de Valores actúen en todo el mercado financiero nacional es un casi corolario de la unicidad del Mercado Nacional de Valores, es decir, de que las Bolsas se conciban "como piezas de un mercado de valores único e integrado". El art. 62.1 no viola, pues, el orden de competencia, primero porque la autorización permite operar en todo el mercado financiero español y los artículos 10.29 del Estatuto de Autonomía del País Vasco y 9.20 </w:t>
      </w:r>
      <w:r>
        <w:lastRenderedPageBreak/>
        <w:t xml:space="preserve">del Estatuto de Autonomía de Cataluña reconocen competencias referidas a centros de contratación de valores establecidos en las Comunidades Autónomas; y segundo, porque las Sociedades y Agencias de Valores representan un tipo de empresario social financiero muy diverso de los antiguos Agentes de Cambio y Bolsa, y de los arts. 12.3 del Estatuto de Autonomía del País Vasco y 11.4 del Estatuto de Autonomía de Cataluña no dimana un vínculo perpetuo para el legislador estatal que le obligue a mantener a los citados profesionales; a parte de que ejecutar la legislación estatal en materia de nombramiento de Agentes no es lo mismo que autorizar la creación de Sociedades y Agencias de Valores. En fin, tampoco pueden invocarse los arts. 11.2 a) del Estatuto de Autonomía del País Vasco y 10.1.4 del Estatuto de Autonomía de Cataluña, en primer lugar porque el otorgamiento de la autorización puede ser reservado a un órgano central como base de la ordenación del crédito, en atención a los elementos de apreciación discrecional que entraña, y a que la actuación en todo el Mercado español de valores exige un único juicio global que considere aquél en su integridad. Y en segundo lugar, porque la reserva de la potestad de autorizar a favor de un órgano central efectuado por las Cortes Generales puede ser fundamentada a título de condición básica para preservar la igualdad de ejercicio de las actividades de estos empresarios y la igual protección de los inversores. </w:t>
      </w:r>
    </w:p>
    <w:p w:rsidR="006854DA" w:rsidRDefault="006854DA" w:rsidP="006854DA">
      <w:pPr>
        <w:pStyle w:val="TextoNormal"/>
      </w:pPr>
      <w:r>
        <w:t xml:space="preserve">La inscripción en los Registros de la Comisión Nacional del Mercado de Valores es consecuencia no sólo (y no tanto) de la centralización del otorgamiento de la autorización, sino del fin de máxima difusión o publicidad del que ya se ha tratado reiteradamente, al argumentar, sobre todo, respecto de los arts. 26 y 27 de la Ley. Lo previsto en el último párrafo del art. 62 se justifica en virtud de los argumentos ya expuestos para la autorización de creación y su inscripción. </w:t>
      </w:r>
    </w:p>
    <w:p w:rsidR="006854DA" w:rsidRDefault="006854DA" w:rsidP="006854DA">
      <w:pPr>
        <w:pStyle w:val="TextoNormal"/>
      </w:pPr>
      <w:r>
        <w:t xml:space="preserve">El art. 64 regula un efecto jurídico de la inscripción de las Sociedades y Agencias de Valores "en los correspondientes Registros" (entre ellos el Mercantil): el derecho subjetivo a ser miembro de una o varias Bolsas y el derecho secundario, o derivado del anterior, a suscribir la participación precisa para ello en el capital de la Sociedad rectora de la Bolsa que se trate. En cuanto define la base para la conversión de las Sociedades y Agencias de Valores en operadores bursátiles, y en cuanto regula una relación inter privatos, el art. 64 es claramente una norma jurídico-mercantil que sólo al Estado corresponde establecer. Imponer la acreditación del cumplimiento de los requisitos legales ante la Comisión Nacional del Mercado de Valores no viola ninguna norma de competencia, ya que no impide que las Comunidades Autónomas competentes puedan exigir que se presente una acreditación similar ante el órgano autonómico que proceda. Pero la inversa es igualmente cierta: del orden de competencias no resulta una prohibición de que las Cortes Generales impongan que se acredite ante la Comisión Nacional del Mercado de Valores el cumplimiento de los citados requisitos. Una Bolsa sigue siendo, aun situada en una Comunidad Autónoma con competencia para su establecimiento y regulación, una pieza integrada en el Mercado nacional único de valores. Conocer quiénes pretendan ser miembros de ella no es indiferente para el organismo que supervisa e inspecciona todo el mercado, la Comisión Nacional del Mercado de Valores. </w:t>
      </w:r>
    </w:p>
    <w:p w:rsidR="006854DA" w:rsidRDefault="006854DA" w:rsidP="006854DA">
      <w:pPr>
        <w:pStyle w:val="TextoNormal"/>
      </w:pPr>
      <w:r>
        <w:t xml:space="preserve">El art. 66 establece los requisitos necesarios para obtener y conservar la autorización como Sociedad o Agencia de Valores. Son requisitos propios del Derecho mercantil de sociedades o reducibles a él: el objeto social, la forma social, el tipo de fundación, las normas sobre el capital, las reglas sobre los administradores y la exigencia de adecuación técnica. Se trata de nuevo de una norma jurídico-mercantil que el Estado establece en virtud de su competencia ex art. 149.1.6 C.E.. </w:t>
      </w:r>
    </w:p>
    <w:p w:rsidR="006854DA" w:rsidRDefault="006854DA" w:rsidP="006854DA">
      <w:pPr>
        <w:pStyle w:val="TextoNormal"/>
      </w:pPr>
      <w:r>
        <w:lastRenderedPageBreak/>
        <w:t xml:space="preserve">Si no se entendiera procedente la inclusión del art. 66 dentro del precepto constitucional citado, como acaba de argumentarse, resulta indiscutible que este precepto de la Ley establece un mínimo común denominador normativo para la forma, objeto, fundación, estructura del capital y organización de las Sociedades y Agencias de Valores, que rige el otorgamiento y conservación de un título administrativo habilitante. Nos hallaríamos, pues, ante normas básicas de ordenación del crédito o regulación básica con que se garantiza la igualdad del ejercicio de las actividades empresariales propias de las Sociedades y Agencias de Valores, en virtud de la conexión inescindible entre organización y actividad (STC 49/1988). Como alternativa al art. 149.1.1 C.E., y si se considera la autorización como un título profesional, el art. 66 representaría una regulación de las condiciones de obtención de ese título profesional, que se ampararía en el art. 149.1.30 C.E.. </w:t>
      </w:r>
    </w:p>
    <w:p w:rsidR="006854DA" w:rsidRDefault="006854DA" w:rsidP="006854DA">
      <w:pPr>
        <w:pStyle w:val="TextoNormal"/>
      </w:pPr>
      <w:r>
        <w:t xml:space="preserve">Del art. 67 se ataca que el legislador haya reservado la decisión de revocar la autorización concedida a una Sociedad o Agencia de Valores al Consejo de Ministros, previa propuesta del Ministerio de Economía y Hacienda, y a iniciativa de la Comisión Nacional del Mercado de Valores. Las razones para esta reserva son similares a las que se expusieron al estudiar el art. 62 de la Ley, pues si la autorización franqueaba el acceso a una actividad empresarial o profesional determinada en todo el Mercado financiero nacional, la revocación de ese título supone la exclusión o clausura del ejercicio de esa actividad. </w:t>
      </w:r>
    </w:p>
    <w:p w:rsidR="006854DA" w:rsidRDefault="006854DA" w:rsidP="006854DA">
      <w:pPr>
        <w:pStyle w:val="TextoNormal"/>
      </w:pPr>
      <w:r>
        <w:t xml:space="preserve">El art. 69 es una norma de incompatibilidad que pretende evitar colisiones de intereses en relaciones inter privatos. Por lo tanto, es de carácter jurídico-mercantil y su establecimiento corresponde al Estado ex art. 149.1.6 C.E. Las reglas del párrafo segundo son normas estatutarias de dos tipos de profesionales ejercientes de funciones públicas, respecto a los que la Comunidad Autónoma de Cataluña, única que ha impugnado este precepto, sólo tiene las competencias de ejecución de los arts. 11.4 y 24.1 del Estatuto de Autonomía de Cataluña y carece, pues, de potestades normativas. </w:t>
      </w:r>
    </w:p>
    <w:p w:rsidR="006854DA" w:rsidRDefault="006854DA" w:rsidP="006854DA">
      <w:pPr>
        <w:pStyle w:val="TextoNormal"/>
      </w:pPr>
      <w:r>
        <w:t xml:space="preserve">El art. 78 de la Ley ha sido recurrido por el Consejo Ejecutivo de la Generalidad de Cataluña porque entiende que impide a ésta dictar normas distintas o complementarias de conducta. No puede dudarse que los "códigos de conducta" previstos en el art. 78 de la Ley se amparan en el título legislación mercantil y que no podrán ser contrariados por norma autonómica alguna. Pero el art. 78 no impide que el órgano competente autonómico pueda complementar las normas estatales en la materia con referencia, por ejemplo, a la Bolsa de Barcelona, siempre que ese complemento se limite a recopilar lo que se use con carácter peculiar en ese centro de contratación de valores, esto es, los usos particulares de la Bolsa de Barcelona. No hay inconveniente en admitir que esa labor recopiladora, aunque mercantil por la materia, no es propiamente legislación. </w:t>
      </w:r>
    </w:p>
    <w:p w:rsidR="006854DA" w:rsidRDefault="006854DA" w:rsidP="006854DA">
      <w:pPr>
        <w:pStyle w:val="TextoNormal"/>
      </w:pPr>
      <w:r>
        <w:t>Arts. 84, 87, 92, 95.3, 97, 98 y 107: El art. 84, en el penúltimo inciso de su último párrafo, declara expresamente el carácter básico de los correspondientes preceptos del título "salvo las referencias contenidas en ellos a órganos o entidades estatales". Este carácter básico reposa tanto en el art. 149.1.11 C.E., como en el art. 149.1.1, en relación con el art. 25.1 C.E., al menos en lo que toca a lo sancionatorio. Nada tiene de ambigua ni equívoca esta declaración del art. 84, ya que se refiere a los preceptos del Título VIII que puedan llegar a ser de aplicación en el ejercicio de las competencias autonómicas de supervisión, inspección y sanción, tal y como disciplina estas facultades la Ley del Mercado de Valores. Las competencias autonómicas que podrían aducirse [arts. 10.29 y 11.2 a) del Estatuto de Autonomía del País Vasco y arts. 9.20 y 10.1.4 E.A.C.] son competencias referidas al territorio de la Comunidad Autónoma, pues nada hay en la redacción de estas normas estatutarias de competencias que permita inferir otra cosa. El precepto que se analiza es enteramente congruente con esa referencia territorial: las potestades autonómicas de supervi</w:t>
      </w:r>
      <w:r>
        <w:lastRenderedPageBreak/>
        <w:t xml:space="preserve">sión, inspección y sanción se refieren a las "Bolsas ubicadas en su territorio". Los problemas comienzan a la hora de determinar las entidades y personas sujetas a las citadas potestades autonómicas, atendidas las listas que contienen los dos apartados del art. 84. Ninguna cuestión suscita la sujeción de la Sociedad rectora de la bolsa ubicada en su territorio. La dificultad estriba únicamente en que, cuando se trata de las demás personas o entidades, la sujeción a las potestades autonómicas lo es "en relación con las operaciones sobre valores admitidos a negociación únicamente en las mismas", y este es el verdadero punto de disensión. </w:t>
      </w:r>
    </w:p>
    <w:p w:rsidR="006854DA" w:rsidRDefault="006854DA" w:rsidP="006854DA">
      <w:pPr>
        <w:pStyle w:val="TextoNormal"/>
      </w:pPr>
      <w:r>
        <w:t xml:space="preserve">Al legislador estatal le es lícito trazar la línea de deslinde entre las Administraciones, siempre que respete la diferencia territorial de las competencias autonómicas y emplee, dentro de su margen de libertad de configuración, un criterio razonablemente congruente. La referencia territorial autonómica ha sido respetada: las potestades autonómicas se refieren a las Bolsas ubicadas en su territorio. Por tanto, las entidades y personas que operan en estas Bolsas están sometidas a las potestades autonómicas. Ahora bien, el legislador estatal dispone de un margen de libertad para determinar cuáles son las operaciones sujetas a supervisión, inspección o sanción de una u otra autoridad, Comisión Nacional del Mercado de Valores u órgano autonómico competente. El legislador estatal ha optado por seleccionar como índice la admisión a negociación en una o varias Bolsas. Sólo las operaciones sobre valores únicamente admitidos a negociación en la Bolsa local quedan sujetas a supervisión, inspección y sanción autonómicas. El legislador ha entendido que la admisión a negociación en varias Bolsas supone un factor o elemento extra autonómico de la relación jurídica suficiente para sustraerlo a las potestades autonómicas de supervisión, inspección y sanción. Esta decisión no está amparada por la competencia sobre normas de conflicto (art. 149.1.8 C.E.), sino que es una decisión básica, ex art. 149.1.11 C.E., de reservar a la Comisión Nacional del Mercado de Valores la supervisión, inspección y sanción cuando, tratándose de entidades y personas diversas de las Sociedades rectoras de Bolsas, el valor al que se refiere la operación está admitido a negociación en varias Bolsas, de manera que el acto de supervisión, inspección o sanción puede repercutir en Bolsas situadas en diferentes Comunidades Autónomas. </w:t>
      </w:r>
    </w:p>
    <w:p w:rsidR="006854DA" w:rsidRDefault="006854DA" w:rsidP="006854DA">
      <w:pPr>
        <w:pStyle w:val="TextoNormal"/>
      </w:pPr>
      <w:r>
        <w:t xml:space="preserve">En contra de lo alegado por el Gobierno Vasco, si un valor estuviera admitido a negociación en varias Bolsas y la autoridad que supervisa, inspecciona o sanciona variara según la operación se asignara a una u otra con arreglo al art. 52, el flujo de negociación hacia una u otra Bolsa podría acabar dependiendo de los criterios más tolerantes y rigurosos de cada autoridad autonómica de supervisión, inspección o sanción. Este es, sin duda alguna, uno de los motivos fundamentales en que se asienta la decisión básica plasmada en el controvertido inciso primero del último párrafo del art. 84. Semejante criterio de deslinde entre Comisión Nacional del Mercado de Valores y Administraciones autonómicas, no es, desde luego, el único posible, pero sin duda respeta el orden de competencias. </w:t>
      </w:r>
    </w:p>
    <w:p w:rsidR="006854DA" w:rsidRDefault="006854DA" w:rsidP="006854DA">
      <w:pPr>
        <w:pStyle w:val="TextoNormal"/>
      </w:pPr>
      <w:r>
        <w:t xml:space="preserve">Respeto del art. 87, la mención de las facultades del Banco de España se refiere exclusivamente a aquéllas que correspondan al Banco de España dentro del más estricto respeto al orden de competencias. Nada estorba que pueda existir alguna hipótesis de confluencia de competencias entre el Banco de España y las autoridades autonómicas que ejerzan las potestades de supervisión, inspección y sanción con arreglo al art. 84, último párrafo. Lo que sucede es que esa confluencia no cabe estimarla directamente regulada por el art. 87. </w:t>
      </w:r>
    </w:p>
    <w:p w:rsidR="006854DA" w:rsidRDefault="006854DA" w:rsidP="006854DA">
      <w:pPr>
        <w:pStyle w:val="TextoNormal"/>
      </w:pPr>
      <w:r>
        <w:t xml:space="preserve">El art. 92 prescribe que la Comisión Nacional del Mercado de Valores mantendrá con el carácter de Registros oficiales cinco Registros. Al tratar de los arts. 26 y 27 de la Ley se ha tenido ocasión de argumentar que la finalidad de los Registros del art. 92 es la creación de instrumentos de cognoscibilidad accesibles al público. Son mecanismos de recogida y </w:t>
      </w:r>
      <w:r>
        <w:lastRenderedPageBreak/>
        <w:t xml:space="preserve">difusión de la información, para que los propios agentes del Mercado, los inversores, los observadores del Mercado y los medios públicos de información ejerzan una efectiva vigilancia, sin cuya existencia los mayores esfuerzos supervisores de la Comisión Nacional del Mercado de Valores servirían de poco, como declara literalmente el preámbulo de la Ley del Mercado de Valores. Difundir información no es propiamente una competencia que haya de repartirse o distribuirse, como no lo era la actividad de Registro de las empresas cinematográficas (STC 157/1985) o la de asesoramiento facultativo (STC 17/1986). Por lo tanto, el art. 92 no viola ninguna norma de competencia estatutaria, aunque nada impida que las Comunidades Autónomas puedan crear, dentro de sus competencias, mecanismos que promuevan y vigoricen la difusión de información relativa al mercado de valores. No siendo inconstitucional el art. 92, tampoco lo son los preceptos que cita el Consejo Ejecutivo de Cataluña en conexión con dicho artículo. </w:t>
      </w:r>
    </w:p>
    <w:p w:rsidR="006854DA" w:rsidRDefault="006854DA" w:rsidP="006854DA">
      <w:pPr>
        <w:pStyle w:val="TextoNormal"/>
      </w:pPr>
      <w:r>
        <w:t xml:space="preserve">Los arts. 95, 97 y 98 los recurre el Parlamento de Cataluña por conexión con el art. 84 de la Ley, sin argumentación específica alguna. Ello lleva a la conclusión de que, justificada la constitucionalidad del art. 84, desaparece la única razón impugnatoria ofrecida por el legislador catalán en su recurso. </w:t>
      </w:r>
    </w:p>
    <w:p w:rsidR="006854DA" w:rsidRDefault="006854DA" w:rsidP="006854DA">
      <w:pPr>
        <w:pStyle w:val="TextoNormal"/>
      </w:pPr>
      <w:r>
        <w:t xml:space="preserve">Del art. 107 de la Ley lo que atacan los recurrentes es su inciso segundo que atribuye a la Comisión Nacional del Mercado de Valores la competencia para acordar las medidas de intervención o sustitución. Estas medidas son patentemente ajenas a la esfera de supervisión, inspección o sanción. La supervisión e inspección podrán servir para llegar al conocimiento de la "situación excepcional" o de los "indicios fundados" de ella que son el presupuesto de la medida interventora o sustitutiva, pero no se confunden con ella, y pueden perfectamente atribuirse a diferentes órganos. Tampoco tienen carácter sancionatorio estas medidas de intervención y sustitución: con ellas no se trata de reprimir un ilícito, sino de superar una situación de peligro excepcionalmente grave. </w:t>
      </w:r>
    </w:p>
    <w:p w:rsidR="006854DA" w:rsidRDefault="006854DA" w:rsidP="006854DA">
      <w:pPr>
        <w:pStyle w:val="TextoNormal"/>
      </w:pPr>
      <w:r>
        <w:t xml:space="preserve">La reserva hecha por el legislador a favor de la Comisión Nacional del Mercado de Valores en el art. 107 está constitucionalmente fundada en el carácter básico de cada decisión de intervención o sustitución, que entraña una apreciación -hecha necesariamente con un ancho margen de libertad- de la existencia de una situación excepcionalmente grave de peligro o indicios fundados de ella en los términos ya descritos. Una situación de este calibre afecta a todo el Mercado nacional de valores y exige una actuación rápida y expeditiva que, apreciando la repercusión sobre el Mercado en su conjunto, garantice la eficacia de la medida adoptada (STC 48/1988), lo que pone de relieve su carácter básico, competencia exclusiva del Estado con arreglo al art. 149.1.11 C.E.. </w:t>
      </w:r>
    </w:p>
    <w:p w:rsidR="006854DA" w:rsidRDefault="006854DA" w:rsidP="006854DA">
      <w:pPr>
        <w:pStyle w:val="TextoNormal"/>
      </w:pPr>
      <w:r>
        <w:t xml:space="preserve">El carácter básico hace que estas medidas queden fuera de las competencias autonómicas como las de los arts. 11.1 a) y b) del Estatuto de Autonomía del País Vasco o 10.1.3 y 4 del Estatuto de Autonomía de Cataluña, preceptos estatutarios que el art. 107 de la Ley, segundo inciso, no viola. Como tampoco vulnera los arts. 10.29 del Estatuto de Autonomía del País Vasco y 9.20 del Estatuto de Autonomía de Cataluña, ya que decidir la intervención o sustitución de la Sociedad rectora de una Bolsa o de una Sociedad o Agencia de valores es algo distinto a acordar la creación de un centro en el que se contraten valores y regular dicho centro. </w:t>
      </w:r>
    </w:p>
    <w:p w:rsidR="006854DA" w:rsidRDefault="006854DA" w:rsidP="006854DA">
      <w:pPr>
        <w:pStyle w:val="TextoNormal"/>
      </w:pPr>
      <w:r>
        <w:t>Disposiciones adicionales primera y segunda y transitoria décima: de la Disposición adicional primera se impugna tanto el cambio de denominación de las Bolsas de Barcelona y Bilbao, como la -innecesaria- declaración de íntegra aplicación de la Ley a todas las Bolsas. El establecimiento de la denominación común "Bolsa de Valores", aplicada a todas las Bolsas existentes, e incluso la imposición del deber jurídico de utilizar ese nombre, pertenecen a la competencia del Estado. La denominación común y uniforme es la exterio</w:t>
      </w:r>
      <w:r>
        <w:lastRenderedPageBreak/>
        <w:t xml:space="preserve">rización de una identidad institucional; es un elemento de seguridad jurídica en la contratación bursátil (y su establecimiento competencia del Estado ex art. 149.1.6.C.E.) o, alternativamente, base de la ordenación del crédito (art. 149.1.11 C.E.). Para todos los que operen en Bolsa, y para el público en general, debe ser notorio que las Bolsas de Barcelona y Bilbao son instituciones de igual naturaleza que las de Madrid o Valencia, y que todas ellas corresponden a la institución jurídica "Bolsas de Valores regulada por la ley". Por lo que respecta a la declaración contenida en esta Disposición Adicional Primera, según la cual las actuales Bolsas tendrán a todos los efectos la consideración de Bolsas de Valores, y les será de íntegra aplicación lo dispuesto en esta Ley, constituye un enunciado innecesario y redundante. Si se suprimiera, las cuatro Bolsas seguirían teniendo a todos los efectos la consideración legal de Bolsas de Valores y les sería de íntegra aplicación la Ley en los términos que esta establece, es decir, con pleno respeto a las competencias autonómicas que reconocen los arts. 45, 48, 50 y 84 de la misma. </w:t>
      </w:r>
    </w:p>
    <w:p w:rsidR="006854DA" w:rsidRDefault="006854DA" w:rsidP="006854DA">
      <w:pPr>
        <w:pStyle w:val="TextoNormal"/>
      </w:pPr>
      <w:r>
        <w:t xml:space="preserve">La Disposición adicional segunda ha sido impugnada por el Consejo Ejecutivo de la Generalidad de Cataluña por entender que corresponde a ésta, en virtud del art. 9.23 del Estatuto de Autonomía de Cataluña, disolver el Colegio de Agentes de Cambio y Bolsa de Barcelona, determinar el destino de los libros, archivos y documentación oficial y crear el Colegio de Corredores de Barcelona. Ello no es así porque según el art. 11.4 del Estatuto de Autonomía de Cataluña la Generalidad sólo tiene competencia para ejecutar la legislación del Estado en materia de nombramiento de Agentes y Corredores y para informar en la delimitación de las demarcaciones, extremo éste respetado por la Disposición adicional segunda, párrafo segundo. El art. 11.4 del Estatuto de Autonomía de Cataluña no atribuye potestad al legislador catalán para disolver el Colegio de Agentes de Barcelona o para crear el de Corredores, ni tampoco permite remitir al Consejo Ejecutivo de la Generalidad la determinación del destino de los libros, Registros y archivos de los Agentes, así como de la documentación oficial de los Colegios, que pueden ser trascendentes para multitud de relaciones jurídicas privadas, especialmente si se vuelven litigiosas (cf., por ejemplo, arts. 1.429.6 y 1.435, penúltimo párrafo, L.E.C.), lo que haría de aplicación los títulos de competencia estatal, legislación mercantil y legislación procesal. Por otra parte, el art. 9.23 del Estatuto de Autonomía de Cataluña ha de interpretarse en el sentido de que no abarca ninguna organización colegial o de tipo similar que agrupe ejercientes privados de funciones públicas expresa y especialmente mencionados en otros preceptos del Estatuto de Autonomía de Cataluña (arts. 11.4 y 24). </w:t>
      </w:r>
    </w:p>
    <w:p w:rsidR="006854DA" w:rsidRDefault="006854DA" w:rsidP="006854DA">
      <w:pPr>
        <w:pStyle w:val="TextoNormal"/>
      </w:pPr>
      <w:r>
        <w:t>La Disposición transitoria décima se impugna en relación con el art. 46 de la Ley. Esta Disposición prohíbe pro futuro la incorporación de emisiones de valores al sistema de fungibilidad regulado por el Decreto 1.128/1974; declara a extinguir este sistema y remite al Gobierno la transformación en anotaciones contables de los títulos incluidos en él, previendo la derogación de la disposición reglamentaria "no más tarde del 31 de diciembre de 1992". El Consejo Ejecutivo, único que ha impugnado esta Disposición, no ofrece ningún argumento de inconstitucionalidad. Lamenta de nuevo el "vaciamiento" de la Bolsa de Barcelona en el sentido que ya ha sido examinado. En sentido parecido a lo ya razonado, debe argumentarse que la libertad de las Cortes Generales para ordenar que se abandone el sistema de fungibilidad regulado en una disposición reglamentaria pre-constitucional no puede entenderse limitada por los comprensibles deseos albergados por el órgano ejecutivo catalán de que la Bolsa de Barcelona prospere y florezca. Esta loable aspiración no puede transformarse en vínculo o limitación impuesto al legislador estatal por el bloque de constitucionalidad.</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8</w:t>
      </w:r>
      <w:r>
        <w:t xml:space="preserve">. En el conflicto positivo de competencia núm. 1.527/89, el Gobierno Vasco, después de reiterar las líneas generales de argumentación defendidas en el recurso de inconstitucionalidad núm. 1.712/88, centra el conflicto en la necesidad de determinar si las disposiciones contenidas en el Real Decreto 276/1989 se encuadran en el sector del ordenamiento jurídico conocido como Derecho público mercantil, o, por el contrario, forman parte del Derecho privado. Ello porque, como sostuvo en el recurso de inconstitucionalidad citado, el deslinde competencial operado por el bloque de constitucionalidad determina la reserva de la legislación mercantil de Derecho privado al Estado, ex art. 149.1.6 C.E. </w:t>
      </w:r>
    </w:p>
    <w:p w:rsidR="006854DA" w:rsidRDefault="006854DA" w:rsidP="006854DA">
      <w:pPr>
        <w:pStyle w:val="TextoNormal"/>
      </w:pPr>
      <w:r>
        <w:t xml:space="preserve">Para el Gobierno Vasco el carácter de Derecho público de la regulación del Real Decreto 276/1989 es patente. Siendo cierto que no constituyen -estas Sociedades y Agencias de Valores- un establecimiento público o un servicio público, sino entidades privadas, cuya personificación se logra adoptando figuras propias del Derecho privado, también lo es que la misión ordenadora del mercado de valores que se les atribuye hace que toda la regulación de dichas entidades esté saturada de intervencionismo por la Administración Pública. Su actividad tiene todas las características de una actividad privada, esencialmente dirigida al logro de un beneficio empresarial, constituido por las comisiones percibidas por su mediación obligatoria, pero su régimen de funcionamiento tiene todas las características de lo público también, especialmente en cuanto su esencia es velar por el interés general, que en el presente caso estará constituido por la correcta formación de los precios en el Mercado y la protección de los inversores. </w:t>
      </w:r>
    </w:p>
    <w:p w:rsidR="006854DA" w:rsidRDefault="006854DA" w:rsidP="006854DA">
      <w:pPr>
        <w:pStyle w:val="TextoNormal"/>
      </w:pPr>
      <w:r>
        <w:t xml:space="preserve">La intensidad de la intervención administrativa, que se impone ya en el Ley del Mercado de Valores y se expande en el Reglamento, dan cuenta del carácter público de esta normativa, ya que la ordenación que se lleva a cabo por el Real Decreto incluye los elementos subjetivos y también todo lo relativo a la actividad productiva de las empresas. El carácter público de la ordenación de tales entidades aparece con mayor nitidez en su consideración como miembros de la Bolsa, que es definida por el Código de Comercio como el establecimiento público legalmente autorizado donde ordinariamente se reúnen los comerciantes y los intermediarios para concretar operaciones mercantiles. Por consiguiente, las Sociedades y Agencias de Valores forman una pieza esencial de la organización del Mercado, organización que pertenece al ámbito del Derecho público y no al del Derecho privado-mercantil. Derecho mercantil privado será sin duda la regulación que pueda hacerse del contrato de compraventa o del contrato de comisión, sus elementos subjetivos, objetivos o formales, el contenido de las obligaciones, su exigibilidad, etc. Pero la ordenación del medio en el cual se han de realizar tales contratos en relación con los valores admitidos a negociación en Bolsa escapa al contenido de una relación inter privatos, tanto por su carácter de ius cogens, como por el interés protegido por tal regulación, o por el carácter público de las entidades y de los Mercados. De lo dicho hasta aquí se infiere que la regulación contenida en el Real Decreto 276/1989 no responde al concepto de Derecho privado mercantil, sino al de Derecho público mercantil. </w:t>
      </w:r>
    </w:p>
    <w:p w:rsidR="006854DA" w:rsidRDefault="006854DA" w:rsidP="006854DA">
      <w:pPr>
        <w:pStyle w:val="TextoNormal"/>
      </w:pPr>
      <w:r>
        <w:t xml:space="preserve">Una vez sentado que el Real Decreto 276/1989 no encuentra su legitimación constitucional en la competencia del Estado sobre legislación mercantil, el Gobierno Vasco concluye que la única fuente de legitimación que podría amparar dicha regulación es el título competencial del art. 149.1.13 C.E. sobre las bases de la planificación general de la actividad económica. De otro lado, dada la diversidad competencial existente en materia de mercado de valores, parece justificado pensar que la competencia del Estado sobre esta cuestión está ligada a la cláusula residual o de cierre competencial del art. 149.3 C.E., en relación con todas las Comunidades Autónomas que no han asumido competencias en esta materia. Por consiguiente, no puede propugnarse la nulidad del Real Decreto citado, pero </w:t>
      </w:r>
      <w:r>
        <w:lastRenderedPageBreak/>
        <w:t xml:space="preserve">sí debe ser impugnada su pretensión de aplicación directa y sin matización alguna en el ámbito territorial de la Comunidad Autónoma que plantea el conflicto. </w:t>
      </w:r>
    </w:p>
    <w:p w:rsidR="006854DA" w:rsidRDefault="006854DA" w:rsidP="006854DA">
      <w:pPr>
        <w:pStyle w:val="TextoNormal"/>
      </w:pPr>
      <w:r>
        <w:t xml:space="preserve">Puesto que el único título habilitante del Real Decreto 276/1989 es el del art. 149.1.13 C.E., las reglas de reparto competencial se rigen por el binomio bases-desarrollo legislativo. Desde esta consideración, el Gobierno Vasco denuncia la infracción del principio de ley formal en el señalamiento de lo básico, de un lado, porque el Real Decreto 276/1989 omite expresar que tiene carácter básico o parcialmente básico, y de otro, porque carece del rango jurídico formal de ley para expresar las bases. Asimismo, imputa al Real Decreto en cuestión la infracción del concepto material de lo básico. En efecto, argumenta que es difícilmente admisible que meros actos de ejecución, que en el reglamento se atribuyen al Ministerio de Economía y Hacienda y a la Comisión Nacional del Mercado de Valores, tengan carácter básico, y resulte imprescindible su retención en manos del Estado, como ocurre con los actos previstos en los arts. 4, 5, 6, 7, 9.1, 9.3, 11.3, 12, 13, 15.1, 15.3, 16, 17, 18.1 y 21.2. </w:t>
      </w:r>
    </w:p>
    <w:p w:rsidR="006854DA" w:rsidRDefault="006854DA" w:rsidP="006854DA">
      <w:pPr>
        <w:pStyle w:val="TextoNormal"/>
      </w:pPr>
      <w:r>
        <w:t xml:space="preserve">También desde el concepto material de lo básico es rechazable el grado de detalle y concreción con que se aborda el régimen jurídico de las Sociedades y Agencias de Valores. El logro de la coherencia interna de los Mercados de Valores que persigue la Ley 24/1988 no requiere la uniformidad en la organización de los mismos, ni en la de sus intermediarios. La mejor prueba de ello nos la da la legislación comunitaria, ya que siendo un objetivo común el de construir un Mercado unitario en el que queden suprimidos los obstáculos a la libre circulación de personas, servicios y capitales, no por ello las instituciones comunitarias han uniformado la organización de los Mercados de cada uno de los Estados. Para esta finalidad se ha hecho uso de la Directiva que, como es sabido, obliga al Estado miembro en cuanto al resultado que deba conseguirse, dejando, sin embargo, a las autoridades nacionales la elección de la forma y de los medios. </w:t>
      </w:r>
    </w:p>
    <w:p w:rsidR="006854DA" w:rsidRDefault="006854DA" w:rsidP="006854DA">
      <w:pPr>
        <w:pStyle w:val="TextoNormal"/>
      </w:pPr>
      <w:r>
        <w:t xml:space="preserve">El legislador estatal español, por el contrario, ha acometido la reforma legal del mercado de valores con una visión uniformizadora, que crea graves problemas para la supervivencia de la Bolsa de Bilbao. De un lado, al imponer una concreta organización que excluye cualquier otra fórmula y que se basa en la mediación obligatoria de Sociedades y Agencias de Valores, que previa suscripción del capital social constituyen la Sociedad rectora de la Bolsa. De otro lado, lo elevado de la cifra requerida como capital social por el art. 2.1 e), junto a la prohibición de participaciones en Sociedades o Agencias cuyos ámbitos de actividad sean concurrentes, se erigen en obstáculos artificiales e insalvables para que en el ámbito territorial de la Comunidad Autónoma se constituyan Sociedades o Agencias de Valores favoreciendo la centralización de éstas en la capital del Estado. Con ello se demuestra que la ordenación estatal, constituida en este caso por el Real Decreto 276/1989, excediéndose del concepto material de lo básico, impide a la Comunidad Autónoma una actividad legislativa en materia de Mercados de Valores que garantice la supervivencia y el éxito económico tanto de la Bolsa de Bilbao, como de otros Mercados que pudieran crearse. </w:t>
      </w:r>
    </w:p>
    <w:p w:rsidR="006854DA" w:rsidRDefault="006854DA" w:rsidP="006854DA">
      <w:pPr>
        <w:pStyle w:val="TextoNormal"/>
      </w:pPr>
      <w:r>
        <w:t>En virtud de lo expuesto, solicita del Tribunal Constitucional que dicte Sentencia por la que se declare que el Real Decreto tantas veces citado no resulta aplicable en el territorio de su Comunidad Autónoma; y, subsidiariamente, que el Real Decreto no es básico por infringir el principio de ley formal en el señalamiento de lo básico en materia de mercado de valores, y, por último, subsidiariamente también, que es competencia de la Comunidad Autónoma vasca, al menos, la realización de los actos ejecutivos contemplados en los arts. 1.1, 4, 5, 6, 7, 9.1., 9.3, 11.3, 12, 13, 15.1, 15.3, 16, 17.3, 18.1 y 21.2.</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9</w:t>
      </w:r>
      <w:r>
        <w:t xml:space="preserve">. El Abogado del Estado dio contestación al anterior conflicto en escrito de 19 de septiembre de 1989, solicitando al Tribunal que lo declare mal planteado o, alternativamente, excluya el examen en cuanto al fondo de la petición núm. 3 de la súplica del escrito de interposición, y, subsidiariamente, declare que la competencia controvertida pertenece al Estado. </w:t>
      </w:r>
    </w:p>
    <w:p w:rsidR="006854DA" w:rsidRDefault="006854DA" w:rsidP="006854DA">
      <w:pPr>
        <w:pStyle w:val="TextoNormal"/>
      </w:pPr>
      <w:r>
        <w:t xml:space="preserve">En primer lugar el Abogado del Estado, con cita de las SSTC 96/1986 y 104/1989, formula una objeción procesal, cuyo acogimiento obligaría a considerar mal planteado el conflicto. Dicha objeción, señalada ya por el Consejo de Ministros al contestar el requerimiento, consiste en que el órgano requiriente no ha respetado el art. 63.3 LOTC, pues no ha especificado con claridad los preceptos del Real Decreto que estima viciados de incompetencia. El requerimiento del Gobierno Vasco se limitó a aseverar con absoluta vaguedad que el citado Real Decreto (que consta de 24 artículos, algunos muy extensos, tres Disposiciones adicionales y seis transitorias) "invade las competencias reservadas a la Comunidad Autónoma vasca" por los arts. 10.29 y 12.3 del Estatuto de Autonomía del País Vasco. A ello añade una referencia hipotética, en el sentido de que si se entendiera aplicable el art. 149.1.13 C.E., entonces se infringiría la doctrina del Tribunal Constitucional del principio de ley formal en el señalamiento de lo básico. Por dos veces, el requerimiento se refiere a que el Real Decreto atribuye a órganos estatales "actos de mera ejecución", pero no precisa en qué preceptos concretos. </w:t>
      </w:r>
    </w:p>
    <w:p w:rsidR="006854DA" w:rsidRDefault="006854DA" w:rsidP="006854DA">
      <w:pPr>
        <w:pStyle w:val="TextoNormal"/>
      </w:pPr>
      <w:r>
        <w:t xml:space="preserve">Dicho esto, es manifiesto que el Gobierno Vasco no ha cumplido la carga de precisión y exactitud que se deriva del art. 63.3 de la LOTC, por lo cual debe tenerse por mal planteado el conflicto o, alternativamente, y con arreglo a la doctrina de las SSTC 96/1986 y 104/1989, entender que no se ha planteado conflicto respecto a los preceptos del Real Decreto mencionados por vez primera en el escrito de formalización del conflicto, lo que determinaría la repulsión de la petición núm. 3 (subsidiaria) contenida en la súplica de aquel escrito, sin necesidad de examinarla en cuanto al fondo. </w:t>
      </w:r>
    </w:p>
    <w:p w:rsidR="006854DA" w:rsidRDefault="006854DA" w:rsidP="006854DA">
      <w:pPr>
        <w:pStyle w:val="TextoNormal"/>
      </w:pPr>
      <w:r>
        <w:t xml:space="preserve">Para el caso de que no se estimase mal planteado el conflicto, en todo o en parte, el Abogado del Estado examina el fondo de la argumentación expuesta por el Gobierno Vasco para concluir que no ha existido lesión alguna del orden de competencias. Para ello resume los puntos de vista que más extensamente expuso en su escrito de alegaciones a los recursos de inconstitucionalidad acumulados núms. 1.712, 1.716 y 1.724/88. </w:t>
      </w:r>
    </w:p>
    <w:p w:rsidR="006854DA" w:rsidRDefault="006854DA" w:rsidP="006854DA">
      <w:pPr>
        <w:pStyle w:val="TextoNormal"/>
      </w:pPr>
      <w:r>
        <w:t xml:space="preserve">Reitera en tal sentido que la doctrina del Tribunal Constitucional sobre la reserva al Estado de la legislación mercantil debería ser objeto de un entendimiento institucional y sintético, en vez de normativo y analítico, que asentara en el campo de lo mercantil sectores institucionales completos, sin necesidad de descender a examinar, artículo por artículo, si una norma es de naturaleza jurídico-privada o jurídico-pública, juicio éste que muchas veces no es fácil de formular. A tal efecto señalaba entonces que las Bolsas habían sido consideradas tradicionalmente como instituciones auxiliares del tráfico mercantil, lo que no impedía que pudieran ser instituciones intervenidas. A ello se añadía que el título V de la Ley a la que este Real Decreto desarrolla podía ser considerado, en bloque e institucionalmente, como el Estatuto de unas singulares sociedades mercantiles, haciendo notar que la falta de impugnación del Capítulo Segundo de este Título obedecería posiblemente a que se le había considerado de carácter jurídico-mercantil. </w:t>
      </w:r>
    </w:p>
    <w:p w:rsidR="006854DA" w:rsidRDefault="006854DA" w:rsidP="006854DA">
      <w:pPr>
        <w:pStyle w:val="TextoNormal"/>
      </w:pPr>
      <w:r>
        <w:t xml:space="preserve">El Gobierno Vasco reconoce que la legislación mercantil limita la competencia autonómica del art. 10.29 del E.A., pero sostiene que la competencia legislativa mercantil del Estado no puede vaciar la competencia vasca. La tesis es exacta, pero al defenderla hace supuesto de la cuestión, ya que da por supuesto que la Ley y el Real Decreto vacían la citada competencia vasca, lo que no es cierto. </w:t>
      </w:r>
    </w:p>
    <w:p w:rsidR="006854DA" w:rsidRDefault="006854DA" w:rsidP="006854DA">
      <w:pPr>
        <w:pStyle w:val="TextoNormal"/>
      </w:pPr>
      <w:r>
        <w:lastRenderedPageBreak/>
        <w:t xml:space="preserve">Por otro lado, la parte promotora del conflicto distingue entre legislación mercantil de Derecho privado y de Derecho público, defendiendo que todo el contenido del Real Decreto 276/1989 es de naturaleza jurídico-pública y cae, por tanto, fuera de la órbita de la competencia estatal. Pues bien, esta visión "para-administrativa" es errónea, porque confunde una ordenación marktkonform y un régimen de (casi) servicio público de mediación del mercado de valores. Las Sociedades y Agencias de Valores no son, en modo alguno, instrumentos al servicio de los poderes públicos, sino sociedades mercantiles especiales, un tipo especial de empresarios financieros. Son tan instrumentos de los poderes públicos como pueda serlo cualquier empresa que ofrece bienes y servicios en cualquier sector de la economía que no haya sido objeto de reserva al sector público. </w:t>
      </w:r>
    </w:p>
    <w:p w:rsidR="006854DA" w:rsidRDefault="006854DA" w:rsidP="006854DA">
      <w:pPr>
        <w:pStyle w:val="TextoNormal"/>
      </w:pPr>
      <w:r>
        <w:t xml:space="preserve">Dicho todo ello, el Abogado del Estado examina particularizadamente el contenido del Real Decreto 276/1989. </w:t>
      </w:r>
    </w:p>
    <w:p w:rsidR="006854DA" w:rsidRDefault="006854DA" w:rsidP="006854DA">
      <w:pPr>
        <w:pStyle w:val="TextoNormal"/>
      </w:pPr>
      <w:r>
        <w:t xml:space="preserve">El art. 1 regula la autorización para crear Sociedades y Agencias de Valores y el procedimiento para ello. Puede aceptarse, según el Abogado del Estado, que tiene carácter jurídico-administrativo, pero el art. 2, aunque formalmente establezca los requisitos necesarios para obtener y conservar la autorización, tiene naturaleza jurídico- mercantil, ya que es una forma de regular requisitos propios del Derecho mercantil de sociedades o reducibles a él, pues el carácter de requisitos o condiciones para la creación válida de una sociedad mercantil es independiente de que el legislador opte por el octroi, por la autorización o por el sistema de disposiciones normativas sin acto particular del poder público. El art. 3 es una consecuencia del art. 2 y participa de su naturaleza. Respecto del art. 4, puede admitirse que es norma administrativa y no mercantil. A los arts. 5 a 7 han de aplicarse los criterios expuestos para los arts. 1 a 4. El art. 8 tiene un claro carácter mercantil, y lo mismo cabe decir del art. 9.1 (en cuanto establece el principio de libre apertura y cierre de sucursales), del art. 9.2 (en cuanto regula una relación mercantil de representación) y del art. 10. </w:t>
      </w:r>
    </w:p>
    <w:p w:rsidR="006854DA" w:rsidRDefault="006854DA" w:rsidP="006854DA">
      <w:pPr>
        <w:pStyle w:val="TextoNormal"/>
      </w:pPr>
      <w:r>
        <w:t xml:space="preserve">El art. 11 regula la participación en el capital de las Sociedades y Agencias, estableciendo límites y permisiones. En cuanto esa norma se aplica a relaciones inter privatos es mercantil. A continuación, el Abogado del Estado declara que acepta que no sean normas mercantiles los arts. 12 a 14. </w:t>
      </w:r>
    </w:p>
    <w:p w:rsidR="006854DA" w:rsidRDefault="006854DA" w:rsidP="006854DA">
      <w:pPr>
        <w:pStyle w:val="TextoNormal"/>
      </w:pPr>
      <w:r>
        <w:t xml:space="preserve">La regulación de los coeficientes de liquidez y solvencia (arts. 15 y 16) puede entenderse que carece del carácter mercantil y lo mismo cabe decir de los arts. 17, 18 y 19. Sí tienen naturaleza mercantil los arts. 20, 21, 22 y 23. El art. 24 se ampara en el art. 149.1.11 C.E. (divisas, cambio y convertibilidad). La naturaleza de las Disposiciones adicionales y transitorias se deduce de lo expuesto (la Disposición adicional tercera se enlaza, sin embargo, con el art. 149.1.10 C.E., comercio exterior). </w:t>
      </w:r>
    </w:p>
    <w:p w:rsidR="006854DA" w:rsidRDefault="006854DA" w:rsidP="006854DA">
      <w:pPr>
        <w:pStyle w:val="TextoNormal"/>
      </w:pPr>
      <w:r>
        <w:t xml:space="preserve">De este examen resulta, pues, que la mayor y más significativa parte del Real Decreto objeto del conflicto tiene naturaleza mercantil, lo que abonaría considerarlo amparado por el art. 149.1.6 C.E. </w:t>
      </w:r>
    </w:p>
    <w:p w:rsidR="006854DA" w:rsidRDefault="006854DA" w:rsidP="006854DA">
      <w:pPr>
        <w:pStyle w:val="TextoNormal"/>
      </w:pPr>
      <w:r>
        <w:t xml:space="preserve">En cuanto a la imputación que se hace al Real Decreto de vulneración de las exigencias formales dimanantes del concepto constitucional de bases, el Abogado del Estado señala, en primer lugar, que todo el Real Decreto, o al menos una gran parte de él, tiene naturaleza mercantil y, por tanto, se ampara en una competencia estatal, la del art. 149.1.6 C.E., no limitada a las bases, a la que es inaplicable, por tanto, la doctrina del Tribunal Constitucional sobre el elemento formal de esta noción constitucional. No obstante, aun aceptando dialécticamente que algunos preceptos del Real Decreto carecieran de naturaleza mercantil y hubieran de justificarse en una competencia estatal para fijar bases, tampoco hay razón para entender que no cumplen las exigencias de certidumbre jurídica a que responde la </w:t>
      </w:r>
      <w:r>
        <w:lastRenderedPageBreak/>
        <w:t xml:space="preserve">vertiente formal de las bases. Como se verá, existe jurisprudencia constitucional que proporciona el contexto idóneo para permitir una fácil inferencia del carácter básico que pudieran revestir algunos preceptos del Real Decreto 276/1989. En cuanto al problema del rango reglamentario, el mencionado Real Decreto o tiene naturaleza claramente complementaria y subordinada a la Ley del Mercado de Valores, o bien regula materias, como las de los arts. 15 y siguientes, que, por su variabilidad y necesidad de ajuste coyuntural, pueden lícitamente remitirse al Reglamento. </w:t>
      </w:r>
    </w:p>
    <w:p w:rsidR="006854DA" w:rsidRDefault="006854DA" w:rsidP="006854DA">
      <w:pPr>
        <w:pStyle w:val="TextoNormal"/>
      </w:pPr>
      <w:r>
        <w:t xml:space="preserve">Sobre la base de lo expuesto, el Abogado del Estado examina los preceptos del Real Decreto, cuya naturaleza no mercantil admite a efectos polémicos, para razonar que, aun cuando el Estado no dispusiera para establecerlos sino de una competencia limitada a la fijación de bases, no habría sido infringido el orden de competencias. </w:t>
      </w:r>
    </w:p>
    <w:p w:rsidR="006854DA" w:rsidRDefault="006854DA" w:rsidP="006854DA">
      <w:pPr>
        <w:pStyle w:val="TextoNormal"/>
      </w:pPr>
      <w:r>
        <w:t xml:space="preserve">El art. 1.1. del Real Decreto desarrolla el art. 62 de la Ley. Las razones que se dieron al defender este precepto legal subrayan la eficacia nacional de la autorización, es decir, la facultad que recibía la Sociedad o Agencia autorizada para actuar en todo el mercado financiero español factor que han tenido en cuenta las SSTC 86/1989 y 124/1989. </w:t>
      </w:r>
    </w:p>
    <w:p w:rsidR="006854DA" w:rsidRDefault="006854DA" w:rsidP="006854DA">
      <w:pPr>
        <w:pStyle w:val="TextoNormal"/>
      </w:pPr>
      <w:r>
        <w:t xml:space="preserve">Por lo que toca al art. 4 (inscripción), la competencia estatal es consecuencia de la relativa a la autorización (STC 86/1989) y del objetivo de máxima difusión, cuya justificación general se encuentra en el escrito de alegaciones presentado en los recursos 1.712/88, 1.716/88 y 1.724/88, al que el Abogado del Estado se remite. </w:t>
      </w:r>
    </w:p>
    <w:p w:rsidR="006854DA" w:rsidRDefault="006854DA" w:rsidP="006854DA">
      <w:pPr>
        <w:pStyle w:val="TextoNormal"/>
      </w:pPr>
      <w:r>
        <w:t xml:space="preserve">Para los arts. 6 y 7 valen similares argumentos a los que se acaban de exponer. Los apartados 1 y 3 del art. 9 responden al objetivo de máxima difusión o publicidad, en beneficio de la mayor transparencia del Mercado y de la protección de los inversores. Lo mismo cabe decir de los arts. 12 y 13, y respecto a este último el Abogado del Estado cita la STC 49/1988 que declara que la ordenación del crédito requiere, sin duda, que el Ministerio que tiene a su cargo la dirección de la economía nacional conozca el nombre de los administradores de las entidades de crédito. </w:t>
      </w:r>
    </w:p>
    <w:p w:rsidR="006854DA" w:rsidRDefault="006854DA" w:rsidP="006854DA">
      <w:pPr>
        <w:pStyle w:val="TextoNormal"/>
      </w:pPr>
      <w:r>
        <w:t>Finalmente, todo el régimen relativo a liquidez y solvencia de las Sociedades y Agencias de Valores puede quedar amparado en el art. 149.1.13 C.E., como resulta de la STC 86/1989, fundamento jurídico 23, ya que, en general, es correcta la intervención de la potestad reglamentaria para la fijación de bases "en materias que, por su naturaleza cambiante y coyuntural, exijan una actividad normadora que reúna unas características de rapidez y capacidad de ajuste que la Ley no tiene". Por su parte, el fundamento jurídico 2º de la misma Sentencia se refiere a un "nivel de garantía, común en todo el territorio nacional, de la solvencia de estas entidades". Ninguna dificultad hay para que estas mismas tesis puedan ampararse en el art. 149.1.11 C.E., ya sea considerado como lex specialis respecto al art. 149.1.13 C.E., ya sea en conexión con éste. Los demás preceptos específicamente citados en el escrito de formalización -arts. 11.3 y 21.2- tienen clara naturaleza mercantil.</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El Gobierno Vasco dedica las primeras páginas de su escrito de interposición del conflicto positivo de competencia núm, 1.904/89 a reiterar las líneas generales sobre los títulos competenciales que afectan al Real Decreto que es su objeto (el núm. 726/1.989), que desarrolla la Ley del Mercado de Valores, las cuales fueron expuestas ya en el recurso de inconstitucionalidad núm. 1.712/88, así como en el conflicto positivo de competencia 1.527/89. </w:t>
      </w:r>
    </w:p>
    <w:p w:rsidR="006854DA" w:rsidRDefault="006854DA" w:rsidP="006854DA">
      <w:pPr>
        <w:pStyle w:val="TextoNormal"/>
      </w:pPr>
      <w:r>
        <w:t>Tras un breve repaso al contenido del Real Decreto 726/1.989, el Gobierno Vasco concluye que la regulación de dicho Decreto forma parte del Derecho público, en tanto que es expresión de la ordenación jurídico-pública del sistema económico y muestra de la progresiva afirmación de las potestades administrativas en el ámbito económico. Derecho mer</w:t>
      </w:r>
      <w:r>
        <w:lastRenderedPageBreak/>
        <w:t xml:space="preserve">cantil privado será, sin duda, la regulación que pueda hacerse del contrato de compraventa, o del contrato de comisión, sus elementos subjetivos, objetivos o formales, el contenido de las obligaciones, su exigibilidad, etc. Pero la ordenación del medio en el que han de realizarse tales contratos, en relación con los valores admitidos a negociación en Bolsa, escapa al contenido de una relación inter privatos, tanto por su carácter de ius cogens, como por el interés protegido por tal regulación, o por el carácter público de las entidades y de los Mercados. </w:t>
      </w:r>
    </w:p>
    <w:p w:rsidR="006854DA" w:rsidRDefault="006854DA" w:rsidP="006854DA">
      <w:pPr>
        <w:pStyle w:val="TextoNormal"/>
      </w:pPr>
      <w:r>
        <w:t xml:space="preserve">La Comunidad Autónoma vasca tiene competencia para decidir el establecimiento o fundación de Bolsas de Valores, así como para regular su funcionamiento. Esta mera posibilidad, que tan inequívocamente se reconoce por el bloque de constitucionalidad, ha recibido fuertes críticas porque se ve en ella el eventual desmembramiento del Mercado, y se considera, por tanto, una opción legislativa anacrónica y disfuncional. Precisamente la nueva legislación sobre el mercado de valores que inicia la Ley 24/1988 ha sido elaborada participando de esa visión crítica, hasta el punto de que explícitamente se proponía en la memoria del anteproyecto la restitución al Estado de las competencias que parecían atribuir ciertos Estatutos a las Comunidades Autónomas Es en la misma línea en la que se mueve el Gobierno central en la contestación al requerimiento, cuando pretende reconducir la habilitación constitucional del Real Decreto 726/1.989 exclusivamente por el título del art. 149.1.6 C.E., esto es, legislación mercantil. </w:t>
      </w:r>
    </w:p>
    <w:p w:rsidR="006854DA" w:rsidRDefault="006854DA" w:rsidP="006854DA">
      <w:pPr>
        <w:pStyle w:val="TextoNormal"/>
      </w:pPr>
      <w:r>
        <w:t xml:space="preserve">No existen, en opinión del Gobierno Vasco, razones para temer por el desmembramiento del Mercado, o por su ineficacia o incompetencia con vistas al Mercado Unico Europeo. Nadie pondrá en duda que a las instituciones comunitarias les preocupa la construcción de un mercado de capitales homogéneo, eficaz y competitivo. Sin embargo, para su consecución no han optado por la uniformidad de los Mercados internos. </w:t>
      </w:r>
    </w:p>
    <w:p w:rsidR="006854DA" w:rsidRDefault="006854DA" w:rsidP="006854DA">
      <w:pPr>
        <w:pStyle w:val="TextoNormal"/>
      </w:pPr>
      <w:r>
        <w:t xml:space="preserve">El Real Decreto 726/1.989 merece una censura global por haberse dictado con una falta total de competencia en relación con el territorio de la Comunidad Autónoma. El Estado, al reconducir la ordenación del mercado de valores por el título competencial del art. 149.1.6 C.E., ha desconocido y lesionado la competencia autonómica exclusiva sobre la Bolsa y otros Mercados, estableciendo una determinada organización de las Bolsas que se impone de modo unitario para todo el territorio estatal. Sin embargo, en la medida en que existen Comunidades Autónomas que no tienen asumida la competencia que en relación con la Comunidad Autónoma vasca se ha indicado, no puede propugnarse la nulidad del Real Decreto 726/1.989, ya que el Estado es titular de la competencia ex art. 149.3 C.E. en relación con esas Comunidades Autónomas Lo que sí es perfectamente exigible es que el Real Decreto en cuestión hubiera exceptuado de su ámbito de aplicación los territorios de las Comunidades Autónomas competentes, que es lo que el Gobierno Vasco solicita, en primer lugar, del Tribunal Constitucional. </w:t>
      </w:r>
    </w:p>
    <w:p w:rsidR="006854DA" w:rsidRDefault="006854DA" w:rsidP="006854DA">
      <w:pPr>
        <w:pStyle w:val="TextoNormal"/>
      </w:pPr>
      <w:r>
        <w:t xml:space="preserve">No obstante, esta solución no resulta del todo satisfactoria, ya que de adoptarse quedaría vigente un bloque legislativo asentado sobre bases falsas, pues en la medida en que no establece disposiciones básicas es fuente de inseguridad jurídica para las Comunidades Autónomas Quiere decirse con ello que si la Sentencia que dicte el Tribunal Constitucional estima el planteamiento que se ha hecho, se hará inevitable un pronunciamiento expreso de los poderes centrales que determine las bases a las que hayan de atenerse las Comunidades Autónomas competentes. </w:t>
      </w:r>
    </w:p>
    <w:p w:rsidR="006854DA" w:rsidRDefault="006854DA" w:rsidP="006854DA">
      <w:pPr>
        <w:pStyle w:val="TextoNormal"/>
      </w:pPr>
      <w:r>
        <w:t xml:space="preserve">Dicho esto, el Gobierno Vasco imputa, en primer lugar, al Real Decreto 726/1.989 la infracción del principio de ley formal en el señalamiento de lo básico por cuanto, de un lado, omite expresar que tiene carácter básico o parcialmente básico y, de otro, no tiene el </w:t>
      </w:r>
      <w:r>
        <w:lastRenderedPageBreak/>
        <w:t xml:space="preserve">rango jurídico formal de Ley para expresar las bases a que debe atenerse el legislador autonómico, según se deriva de las SSTC 80/1988, 69/1988 y 15/1989. </w:t>
      </w:r>
    </w:p>
    <w:p w:rsidR="006854DA" w:rsidRDefault="006854DA" w:rsidP="006854DA">
      <w:pPr>
        <w:pStyle w:val="TextoNormal"/>
      </w:pPr>
      <w:r>
        <w:t xml:space="preserve">Para el Gobierno Vasco el Real Decreto 726/1.989 invade también las competencias autonómicas desde la perspectiva del concepto material de lo básico, alegación ésta que se formula ad cautelam, ya que se considera que la infracción del principio formal de la definición de las bases impide, en su opinión, que el Tribunal sustituya la declaración expresa que debe hacer el legislativo del carácter básico de una materia. </w:t>
      </w:r>
    </w:p>
    <w:p w:rsidR="006854DA" w:rsidRDefault="006854DA" w:rsidP="006854DA">
      <w:pPr>
        <w:pStyle w:val="TextoNormal"/>
      </w:pPr>
      <w:r>
        <w:t xml:space="preserve">En primer lugar llama la atención el Gobierno Vasco sobre la retención, o casi sustracción, de la competencia para realizar meros actos de ejecución. Este hecho, que resulta aún más denunciable si se tiene en cuenta que las Comunidades Autónomas han sido excluidas de la Comisión Nacional del Mercado de Valores, supone infracción del reparto competencial de los siguientes preceptos del Real Decreto 726/1.989: </w:t>
      </w:r>
    </w:p>
    <w:p w:rsidR="006854DA" w:rsidRDefault="006854DA" w:rsidP="006854DA">
      <w:pPr>
        <w:pStyle w:val="TextoNormal"/>
      </w:pPr>
      <w:r>
        <w:t xml:space="preserve">En virtud del art. 7, un órgano dependiente del Estado en el que no se encuentra representada la Comunidad Autónoma es el competente para autorizar los Estatutos de la Sociedad rectora de las Bolsas de Valores de Bilbao. De nada sirve que tal autorización se atribuya también a las autoridades autonómicas, ya que por sí misma no surtirá efectos sino concurre en el mismo sentido la voluntad del poder central. </w:t>
      </w:r>
    </w:p>
    <w:p w:rsidR="006854DA" w:rsidRDefault="006854DA" w:rsidP="006854DA">
      <w:pPr>
        <w:pStyle w:val="TextoNormal"/>
      </w:pPr>
      <w:r>
        <w:t xml:space="preserve">El art. 11 reitera la atribución a la Comisión Nacional del Mercado de Valores de la competencia para verificar y certificar el cumplimiento de los requisitos exigidos para la admisión a negociación de los valores. Se trata de un acto aplicativo cuya retención en manos del Estado desborda el concepto material de lo básico y no viene exigida por la garantía de eficacia de la legislación emanada del Estado. </w:t>
      </w:r>
    </w:p>
    <w:p w:rsidR="006854DA" w:rsidRDefault="006854DA" w:rsidP="006854DA">
      <w:pPr>
        <w:pStyle w:val="TextoNormal"/>
      </w:pPr>
      <w:r>
        <w:t xml:space="preserve">El art. 12 nuevamente da por sentado que es competencia de la Comisión Nacional del Mercado de Valores la realización de meros actos ejecutivos, como son los relativos a la actividad de policía regulada en el Título VIII de la Ley. Ello es contrario a la única competencia estatal que es deducible del bloque de constitucionalidad, que como se ha visto queda circunscrita a la fijación de lo básico ex art. 149.1.13 C.E. </w:t>
      </w:r>
    </w:p>
    <w:p w:rsidR="006854DA" w:rsidRDefault="006854DA" w:rsidP="006854DA">
      <w:pPr>
        <w:pStyle w:val="TextoNormal"/>
      </w:pPr>
      <w:r>
        <w:t xml:space="preserve">El art. 14 atribuye nuevamente a la Comisión Nacional del Mercado de Valores la competencia para establecer la forma en que las sociedades rectoras de las distintas Bolsas deben exigir de sus miembros la publicidad de sus informes de auditoría. </w:t>
      </w:r>
    </w:p>
    <w:p w:rsidR="006854DA" w:rsidRDefault="006854DA" w:rsidP="006854DA">
      <w:pPr>
        <w:pStyle w:val="TextoNormal"/>
      </w:pPr>
      <w:r>
        <w:t xml:space="preserve">El art. 15 atribuye a la Comisión Nacional del Mercado de Valores competencia para dejar sin efecto las decisiones de las Sociedades rectoras de cualquier Bolsa con la finalidad de ordenar cualquier aspecto de la contratación o del funcionamiento del Mercado. Si bien es cierto que se impone la preceptiva información de las Comunidades Autónomas competentes, se atribuye en exclusiva a la Comisión Nacional del Mercado de Valores la tutela sobre las Sociedades rectoras en este punto. </w:t>
      </w:r>
    </w:p>
    <w:p w:rsidR="006854DA" w:rsidRDefault="006854DA" w:rsidP="006854DA">
      <w:pPr>
        <w:pStyle w:val="TextoNormal"/>
      </w:pPr>
      <w:r>
        <w:t xml:space="preserve">El art. 15.3 incide en el mismo vicio al atribuir a la Comisión Nacional del Mercado de Valores la función general de velar por la correcta aplicación por las Sociedades rectoras de la legislación vigente, a cuyo fin se les atribuye potestad para requerir a los citados órganos de Gobierno de las Bolsas de Valores para que modifiquen sus acuerdos cuando puedan ser contrarios a la legalidad vigente. </w:t>
      </w:r>
    </w:p>
    <w:p w:rsidR="006854DA" w:rsidRDefault="006854DA" w:rsidP="006854DA">
      <w:pPr>
        <w:pStyle w:val="TextoNormal"/>
      </w:pPr>
      <w:r>
        <w:t xml:space="preserve">El art. 17.2 atribuye a la Comisión Nacional del Mercado de Valores la competencia para aprobar el presupuesto estimativo anual elaborado por las Sociedades rectoras, que también ha de ser aprobado por las Comunidades Autónomas competentes. Esta especie de compartición de ciertas funciones de tutela administrativa resulta contraria a la competencia que con carácter exclusivo corresponde a la Comunidad Autónoma. </w:t>
      </w:r>
    </w:p>
    <w:p w:rsidR="006854DA" w:rsidRDefault="006854DA" w:rsidP="006854DA">
      <w:pPr>
        <w:pStyle w:val="TextoNormal"/>
      </w:pPr>
      <w:r>
        <w:t xml:space="preserve">El art. 17.7 atribuye también a la Comisión Nacional del Mercado de Valores, junto a las Comunidades Autónomas competentes, la función de examinar el informe de auditoría </w:t>
      </w:r>
      <w:r>
        <w:lastRenderedPageBreak/>
        <w:t xml:space="preserve">a que deben someter anualmente sus cuentas las Sociedades rectoras de las Bolsas y efectuar las recomendaciones que estimen pertinentes. El título competencial del art. 10.29 del Estatuto de Autonomía del País Vasco ha de otorgar, al menos, competencia para la realización de meros actos de ejecución y si las Bolsas de valores se someten a una intensa tutela administrativa, ésta debe corresponder en exclusiva a la Comunidad Autónoma del País Vasco. </w:t>
      </w:r>
    </w:p>
    <w:p w:rsidR="006854DA" w:rsidRDefault="006854DA" w:rsidP="006854DA">
      <w:pPr>
        <w:pStyle w:val="TextoNormal"/>
      </w:pPr>
      <w:r>
        <w:t xml:space="preserve">El art. 23.2 atribuye competencia a la Comisión Nacional del Mercado de Valores para determinar el importe de la fianza que han de constituir los miembros de cada Bolsa con objeto de garantizar entre todos ellos el cumplimiento de las operaciones pendientes de liquidación que hubieran sido contratadas en la propia Bolsa o a través del S.I.B. Igualmente corresponde a la Comisión Nacional del Mercado de Valores el reparto de la cifra global de la fianza entre los miembros de cada Bolsa. </w:t>
      </w:r>
    </w:p>
    <w:p w:rsidR="006854DA" w:rsidRDefault="006854DA" w:rsidP="006854DA">
      <w:pPr>
        <w:pStyle w:val="TextoNormal"/>
      </w:pPr>
      <w:r>
        <w:t xml:space="preserve">Los arts. 25.3 y 26.1 presuponen que corresponde a la Comisión Nacional del Mercado de Valores la tramitación del expediente sancionador en los casos en que algún miembro de la Bolsa no reponga el importe de la fianza aplicado a cubrir descubiertos del citado miembro, o alcance un riesgo por operaciones pendientes de liquidar notablemente superior a la cobertura de su fianza. El ejercicio de la potestad de policía constituye un mero acto de ejecución, que en todo caso ha de corresponder a la Comunidad Autónoma a tenor del art. 10.29 de su E.A., ya que, como recuerda la STC 227/1988, "las Comunidades Autónomas tienen potestad sancionadora en las materias sustantivas sobre las que ostentan competencias". </w:t>
      </w:r>
    </w:p>
    <w:p w:rsidR="006854DA" w:rsidRDefault="006854DA" w:rsidP="006854DA">
      <w:pPr>
        <w:pStyle w:val="TextoNormal"/>
      </w:pPr>
      <w:r>
        <w:t>Por todo lo expuesto el Gobierno Vasco solicita que el Tribunal Constitucional declare que el Real Decreto 726/1.989 no resulta aplicable en el ámbito territorial de su Comunidad Autónoma. Subsidiariamente, que la citada norma no tiene carácter básico, por infracción del principio de ley formal; y subsidiariamente también, que es de la competencia de la Comunidad Autónoma la realización en exclusiva de los actos de ejecución contemplados en los arts. 7, 11, 12, 14, 15.2 y 3, 17.2 y 7, 23.2, 25.3 y 26.1 del Real Decreto 726/1.989.</w:t>
      </w:r>
    </w:p>
    <w:p w:rsidR="006854DA" w:rsidRDefault="006854DA" w:rsidP="006854DA">
      <w:pPr>
        <w:pStyle w:val="TextoNormal"/>
      </w:pPr>
    </w:p>
    <w:p w:rsidR="006854DA" w:rsidRDefault="006854DA" w:rsidP="006854DA">
      <w:pPr>
        <w:pStyle w:val="TextoNormal"/>
      </w:pPr>
      <w:r w:rsidRPr="006854DA">
        <w:rPr>
          <w:rStyle w:val="NumeroAFNegritaCaracter"/>
        </w:rPr>
        <w:t>11</w:t>
      </w:r>
      <w:r>
        <w:t xml:space="preserve">. El Abogado del Estado contestó al planteamiento del conflicto positivo de competencia núm. 1.904/89, en escrito de 8 de noviembre de 1989, en el que solicita del Tribunal que declare mal planteado el conflicto o, alternativamente, excluya el examen de fondo de la petición núm. 3 de la súplica del escrito de interposición; y, subsidiariamente, declare que la competencia controvertida pertenece al Estado. Estas pretensiones se fundamentan en las siguientes alegaciones. </w:t>
      </w:r>
    </w:p>
    <w:p w:rsidR="006854DA" w:rsidRDefault="006854DA" w:rsidP="006854DA">
      <w:pPr>
        <w:pStyle w:val="TextoNormal"/>
      </w:pPr>
      <w:r>
        <w:t xml:space="preserve">En el mismo sentido de lo que hiciera en el escrito de alegaciones del conflicto de competencia núm. 1.527/1989, denuncia el incumplimiento por parte del Gobierno Vasco de la obligación prevista en el art. 63.3 de la LOTC de especificar con claridad los preceptos que se estiman viciados de incompetencia. En virtud de lo cual, considera que debe tenerse por mal planteado el conflicto o, alternativamente, entender que no se ha planteado conflicto respecto a los preceptos del Real Decreto 726/1.989 mencionados por vez primera en el escrito de formalización del conflicto, lo que determinaría la repulsión de la petición núm. 3 (subsidiaria) contenida en la súplica de aquel escrito. </w:t>
      </w:r>
    </w:p>
    <w:p w:rsidR="006854DA" w:rsidRDefault="006854DA" w:rsidP="006854DA">
      <w:pPr>
        <w:pStyle w:val="TextoNormal"/>
      </w:pPr>
      <w:r>
        <w:t xml:space="preserve">No obstante, para el caso de que no se estimase mal planteado el conflicto, en todo o en parte, examina la argumentación de fondo realizada por el Gobierno Vasco, para lo cual se remite a lo ya expuesto en su escrito de alegaciones presentado en los recursos de inconstitucionalidad acumulados 1.712/88, 1.716/88 y 1.724/1988, así como en el conflicto núm. 1.527/1989. </w:t>
      </w:r>
    </w:p>
    <w:p w:rsidR="006854DA" w:rsidRDefault="006854DA" w:rsidP="006854DA">
      <w:pPr>
        <w:pStyle w:val="TextoNormal"/>
      </w:pPr>
      <w:r>
        <w:lastRenderedPageBreak/>
        <w:t xml:space="preserve">El primero de los cuatro Capítulos de que consta el Real Decreto 726/1.989 regula los requisitos y régimen de ejercicio del derecho a adquirir la condición de miembro de una o varias Bolsas de Valores, es decir, establece normas reguladoras de la constitución de una relación jurídica societaria entre una sociedad anónima (rectora de una Bolsa) y otra sociedad anónima (una Sociedad o Agencia de Valores), pues la segunda aspira a convertirse en socio accionista de la primera. Las intervenciones administrativas (certificación de la Comisión Nacional del Mercado de Valores y título de miembro de la Bolsa) son típicos actos administrativos del Derecho privado, que no privan de carácter mercantil a la regulación y sirven a la seguridad jurídica. Así, pues, el Capítulo Primero del Real Decreto 726/1.989 debe conceptuarse como legislación mercantil, que sólo al Estado corresponde dictar, aunque respetando siempre las competencias autonómicas, como lo demuestra el reconocimiento que de ellas hacen los arts. 3 y 4. El Abogado del Estado llama la atención sobre el hecho de que el Gobierno Vasco no impugna especialmente ningún artículo de este Capítulo Primero. </w:t>
      </w:r>
    </w:p>
    <w:p w:rsidR="006854DA" w:rsidRDefault="006854DA" w:rsidP="006854DA">
      <w:pPr>
        <w:pStyle w:val="TextoNormal"/>
      </w:pPr>
      <w:r>
        <w:t xml:space="preserve">El Capítulo Segundo del Real Decreto establece el régimen de las Sociedades rectoras de las Bolsas de Valores en desarrollo, sobre todo, del art. 48 de la Ley, impugnado en su día por el Gobierno Vasco. En armonía con lo que se dijo al examinar dicho precepto legal, el Abogado del Estado argumenta que el Capítulo Segundo contiene en parte normas mercantiles y, en parte, normas básicas de ordenación bursátil, que deben adscribirse al título de competencia del artículo 149.1.11 C.E. (o del art. 149.1.13 C.E., si el Tribunal prefiriera el encuadramiento propuesto por la parte promovente). Son normas mercantiles las que establecen el derecho propio de estas singulares sociedades anónimas, como las de los arts. 5.4, 7.4, 8.1, 9, 10 y 17. El resto de las normas del Capítulo podría calificarse como bases de ordenación bursátil. </w:t>
      </w:r>
    </w:p>
    <w:p w:rsidR="006854DA" w:rsidRDefault="006854DA" w:rsidP="006854DA">
      <w:pPr>
        <w:pStyle w:val="TextoNormal"/>
      </w:pPr>
      <w:r>
        <w:t xml:space="preserve">A propósito del Capítulo Tercero, alega el Abogado del Estado que el S.I.B. y la Sociedad de Bolsas exceden manifiestamente de la esfera de competencia autonómica. Las competencias vascas invocadas no pueden desplegarse sobre entes que existen y desarrollan sus actividades en un ámbito nacional sustraido ya al ejercicio de las potestades autonómicas, estando la autonomía limitada ratione loci. Por todo ello es innecesario descender al examen de los preceptos particulares del Capítulo Tercero, que deben entenderse absolutamente excluido de este conflicto. Es claro el carácter mercantil de artículos como el 19 o el 20.1. </w:t>
      </w:r>
    </w:p>
    <w:p w:rsidR="006854DA" w:rsidRDefault="006854DA" w:rsidP="006854DA">
      <w:pPr>
        <w:pStyle w:val="TextoNormal"/>
      </w:pPr>
      <w:r>
        <w:t xml:space="preserve">El Capítulo Cuarto del Decreto desarrolla un artículo de la Ley, el 75, que nadie impugnó. La llamada fianza colectiva aparece como una institución bursátil materialmente mercantil. Las relaciones reguladas por los arts. 23 y siguientes del Real Decreto son, ante todo, relaciones de la Bolsa o entre ésta y la Sociedad rectora. La intervención administrativa prevista en el art. 23.2 es una típica actividad de integración técnica del contenido en ciertas relaciones jurídico-privadas. La previsión de posibles actuaciones sancionadoras constituye un reenvío a otro tipo de normas que, en sí mismo, nada dice sobre la naturaleza del régimen de la fianza colectiva. Todo el Capítulo Cuarto, en suma, es materia mercantil que debe adscribirse al art. 149.1.6 C.E.. </w:t>
      </w:r>
    </w:p>
    <w:p w:rsidR="006854DA" w:rsidRDefault="006854DA" w:rsidP="006854DA">
      <w:pPr>
        <w:pStyle w:val="TextoNormal"/>
      </w:pPr>
      <w:r>
        <w:t xml:space="preserve">Sobre la imputación que el promovente del conflicto hace al Real Decreto 726/1.989 de haber infringido el principio de ley formal para definir las bases, el Abogado del Estado argumenta que para el Gobierno Vasco el único título que puede invocar el Estado en defensa de su competencia para dictar el Real Decreto 726/1.989 sería el del art. 149.1.13 C.E. No puede compartir esta tesis por cuanto, como ya expuso en el escrito de alegaciones a los recursos de inconstitucionalidad acumulados 1.712, 1.716 y 1.724/1988, el título estatal más específico sobre la parte no mercantil de la Ley es el del art. 149.1.11 C.E., </w:t>
      </w:r>
      <w:r>
        <w:lastRenderedPageBreak/>
        <w:t xml:space="preserve">según puede inferirse de la STC 96/1984. En concurso con este título es invocable, a veces, el art. 149.1.1 C.E., en relación con los arts. 33.1 y 38, y, con carácter subsidiario, el art. 149.1.30 (títulos profesionales). Dado que los tres títulos son de alcance parecido (condiciones básicas, bases y bases y coordinación), es necesario determinar si se han infringido o no las exigencias formales dimanantes del concepto constitucional de bases. El Abogado del Estado rechaza que exista dicha infracción por las mismas razones que expuso en su escrito de alegaciones al conflicto núm. 1.527/1989, que han sido expuestas en el apartado 9 de los Antecedentes de esta Sentencia. </w:t>
      </w:r>
    </w:p>
    <w:p w:rsidR="006854DA" w:rsidRDefault="006854DA" w:rsidP="006854DA">
      <w:pPr>
        <w:pStyle w:val="TextoNormal"/>
      </w:pPr>
      <w:r>
        <w:t xml:space="preserve">A continuación el Abogado del Estado examina los preceptos que han sido invocados específicamente en el escrito de interposición del presente conflicto, y comienza por advertir que todos estos preceptos reservan potestades ejecutivas a la Comisión Nacional del Mercado de Valores, órgano del que las Comunidades Autónomas, según el Gobierno Vasco, han sido excluidas. Frente a ello el Abogado del Estado señala, de un lado, que las Comunidades Autónomas participan en la Comisión Nacional del Mercado de Valores en los términos de los arts. 22 y 23 de la Ley y, de otro, que la mayor parte de los preceptos citados del Real Decreto reconocen la competencia autonómica. Lo que sucede es que se ha seguido el mismo modelo de articulación competencial que eligió el legislador nacional para la creación de las Bolsas de Valores, plasmándolo en el art. 45 de la Ley, precepto, por cierto, no recurrido especialmente por el Gobierno Vasco. Este tipo de articulación se resume en la exigencia de dos actos de idéntico sentido, uno de origen estatal y otro dictado por la Comunidad Autónoma En todos estos casos, la razón de que intervenga la Comisión Nacional del Mercado de Valores es sustancialmente la misma que ofrece el art. 45 de la Ley: los elementos y consecuencias supracomunitarias de las decisiones a que se refieren los preceptos citados del Real Decreto </w:t>
      </w:r>
    </w:p>
    <w:p w:rsidR="006854DA" w:rsidRDefault="006854DA" w:rsidP="006854DA">
      <w:pPr>
        <w:pStyle w:val="TextoNormal"/>
      </w:pPr>
      <w:r>
        <w:t xml:space="preserve">Respecto del art. 7, tanto la Comisión Nacional del Mercado de Valores como la Comunidad Autónoma podrán condicionar la aprobación del proyecto de Estatuto de las Sociedades rectoras no sólo por razones de legalidad, sino por otras que dejan un ancho margen de apreciación. La importancia de los Estatutos en la organización y actividad de estas Sociedades justifica por sí misma la intervención de la Comisión Nacional del Mercado de Valores, ya que la actividad de las mismas tiene los elementos y consecuencias supracomunitarias que son de apreciar en la Bolsa. </w:t>
      </w:r>
    </w:p>
    <w:p w:rsidR="006854DA" w:rsidRDefault="006854DA" w:rsidP="006854DA">
      <w:pPr>
        <w:pStyle w:val="TextoNormal"/>
      </w:pPr>
      <w:r>
        <w:t xml:space="preserve">El art. 11 se refiere a la actividad de verificación que el art. 32 de la Ley encomienda a la Comisión Nacional del Mercado de Valores. Como ya quedó dicho en las alegaciones a los recursos de inconstitucionalidad 1.712, 1.716, 1.724/88, no corresponde a la Comisión Nacional del Mercado de Valores, sino a las Sociedades rectoras, la admisión de valores a negociación. A la Comisión Nacional del Mercado de Valores le corresponde simplemente una previa verificación del cumplimiento de los requisitos para que el valor se admita a negociación. Son todos requisitos tendentes a lograr la máxima transparencia, difusión y publicidad de las emisiones, en beneficio del correcto funcionamiento del mercado y de la protección de los inversores. La verificación de la Comisión Nacional del Mercado de Valores sirve para comprobar si el valor que pretende ser admitido pertenece a una emisión que cumple los requisitos generales de regularidad impuestos por la Ley. Sólo la Comisión Nacional del Mercado de Valores puede efectuar esta verificación porque, con arreglo al art. 26 de la Ley, ante ella se han presentado los correspondientes documentos. </w:t>
      </w:r>
    </w:p>
    <w:p w:rsidR="006854DA" w:rsidRDefault="006854DA" w:rsidP="006854DA">
      <w:pPr>
        <w:pStyle w:val="TextoNormal"/>
      </w:pPr>
      <w:r>
        <w:t xml:space="preserve">El art. 12.1 contiene un implícito reenvío al art. 84 de la Ley, precepto del que resulta que la Comisión Nacional del Mercado de Valores ejerce poderes de supervisión, inspección y sanción. También puede corresponder el ejercicio de esos poderes a la Comunidad </w:t>
      </w:r>
      <w:r>
        <w:lastRenderedPageBreak/>
        <w:t xml:space="preserve">Autónoma del País Vasco, y así lo reconoce este art. 12.1, que se limita a dar aplicación de lo dispuesto en la Ley, sin vulnerar en sí mismo el orden de competencias. </w:t>
      </w:r>
    </w:p>
    <w:p w:rsidR="006854DA" w:rsidRDefault="006854DA" w:rsidP="006854DA">
      <w:pPr>
        <w:pStyle w:val="TextoNormal"/>
      </w:pPr>
      <w:r>
        <w:t xml:space="preserve">El art. 14.1 salva expresamente las competencias autonómicas, luego no viola el orden de competencias. El art. 14.2 atribuye a la Comisión Nacional del Mercado de Valores una potestad no ejecutiva sino normativa: regular la forma en que las Sociedades rectoras darán publicidad a la información contable y financiera que les remita los miembros de cada Bolsa. Tiene que existir una regulación uniforme para toda España de la forma de publicar este tipo de información, como norma básica de información bursátil en garantía de unos niveles igualitarios de protección para los inversores, con los que deben corresponder unos iguales deberes informativos de los miembros de las Bolsas. </w:t>
      </w:r>
    </w:p>
    <w:p w:rsidR="006854DA" w:rsidRDefault="006854DA" w:rsidP="006854DA">
      <w:pPr>
        <w:pStyle w:val="TextoNormal"/>
      </w:pPr>
      <w:r>
        <w:t xml:space="preserve">Respecto del art. 15.2 -que obliga a que las Sociedades rectoras comuniquen a la Comisión Nacional del Mercado de Valores, y en su caso a la Comunidad Autónoma competente, sus decisiones sobre ordenación de aspectos de la contratación, funcionamiento del mercado o fijación de criterios o requisitos para cumplir disposiciones legales o reglamentarias- el Abogado del Estado no advierte ninguna infracción de las competencias vascas. Respecto al deber de comunicación de las decisiones, se salvan expresamente las competencias autonómicas. Y en cuanto a la suspensión y privación de eficacia de estas decisiones, el precepto se limita a habilitar a la Comisión Nacional del Mercado de Valores para una y otra actuación. Dicho con otras palabras, el precepto se contrae a regular el ejercicio de la potestad estatal de suspender y dejar sin eficacia decisiones de las Sociedades rectoras de Bolsas. Si hubiera regulado el ejercicio de una potestad autonómica semejante, sin duda habría violado la distribución de competencias. Por lo demás no puede reputarse contrario al orden de competencias que exista esa potestad en manos de la Comisión Nacional del Mercado de Valores por cuanto las citadas decisiones afectarán a operaciones sobre valores cotizados en otras Bolsas o a través del S.I.B., lo que, con arreglo al art. 84 de la Ley hace el asunto de competencia estatal. Por similares fundamentos cabe sostener lo mismo respecto del art. 15.3. </w:t>
      </w:r>
    </w:p>
    <w:p w:rsidR="006854DA" w:rsidRDefault="006854DA" w:rsidP="006854DA">
      <w:pPr>
        <w:pStyle w:val="TextoNormal"/>
      </w:pPr>
      <w:r>
        <w:t xml:space="preserve">Los apartados 2 y 17 del art. 17 representan otro supuesto de doble actuación. Presupuesto estimativo e informe de auditoría son documentos básicos para el control financiero de la Sociedad rectora de la Bolsa. Ahora bien, de la buena marcha económica de esta Sociedad depende la de la Bolsa. Hay, de este modo, un elemento supracomunitario que justifica la intervención de la Comisión Nacional del Mercado de Valores </w:t>
      </w:r>
    </w:p>
    <w:p w:rsidR="006854DA" w:rsidRDefault="006854DA" w:rsidP="006854DA">
      <w:pPr>
        <w:pStyle w:val="TextoNormal"/>
      </w:pPr>
      <w:r>
        <w:t xml:space="preserve">En lo que atañe al art. 23.2, la fianza a la que el precepto se refiere responde del cumplimiento de operaciones pendientes de liquidación contratadas en la propia Bolsa o a través del SIB; y es así mismo posible que las operaciones versen sobre valores admitidos a negociación en varias Bolsas. En ambos casos, nos hallaríamos fuera de la esfera de competencia autonómica. Por otro lado, el nivel global de la fianza y los criterios individuales de reparto han de ser fijados por unos criterios uniformes para toda España, a riesgo, en otro caso, de una divergencia inadmisible de los niveles de garantía que podrían afectar al funcionamiento de la Bolsa, repercutiendo así en todo el Mercado bursátil nacional. </w:t>
      </w:r>
    </w:p>
    <w:p w:rsidR="006854DA" w:rsidRDefault="006854DA" w:rsidP="006854DA">
      <w:pPr>
        <w:pStyle w:val="TextoNormal"/>
      </w:pPr>
      <w:r>
        <w:t>Por último, los arts. 25.3 y 26.1, más que atribuir ex novo una competencia a la Comisión Nacional del Mercado de Valores, presupone que le corresponderá iniciar la actuación sancionadora de acuerdo con la distribución de competencias en esta materia, atendiendo al tenor del art. 84 de la Ley. Sin duda así ocurrirá en una abrumadora mayoría de casos; pero de no ser así, los arts. 25.3 y 26.1 carecen de todo significado excluyente y no impiden que sean las Comunidades Autónomas competentes la que inicien la actuación sancionadora.</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12</w:t>
      </w:r>
      <w:r>
        <w:t>. Por providencia de 15 de julio de 1997, se fijó para deliberación y votación de la presente Sentencia el día 16 siguiente.</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objeto de los cinco procesos constitucionales acumulados en uno, tres recursos de inconstitucionalidad y dos conflictos positivos de competencia, lo configuran, por un lado, la Ley 24/1988, de 28 de julio, del Mercado de Valores (L.M.V.), que impugnan el Gobierno Vasco, el Parlamento de Cataluña y el Consejo Ejecutivo de su Generalidad, y, por el otro, dos Reales Decretos, el 276/1989 sobre Sociedades y Agencias de Valores y el 726/1.989 sobre Sociedades Rectoras y miembros de las Bolsas de Valores, Sociedad de Bolsas y Fianza Colectiva, respecto de los cuales el Gobierno Vasco planteó en su día sendos conflictos Para un más claro tratamiento que facilite su resolución es menester agrupar los numerosos problemas planteados en estos cinco procesos en tres grandes bloques, uno por cada una de esas tres disposiciones cuestionadas, esto es, la Ley y los dos Reglamentos que parcialmente la complementan.</w:t>
      </w:r>
    </w:p>
    <w:p w:rsidR="006854DA" w:rsidRDefault="006854DA" w:rsidP="006854DA">
      <w:pPr>
        <w:pStyle w:val="TextoNormal"/>
      </w:pPr>
    </w:p>
    <w:p w:rsidR="006854DA" w:rsidRDefault="006854DA" w:rsidP="006854DA">
      <w:pPr>
        <w:pStyle w:val="TextoNormal"/>
      </w:pPr>
      <w:r w:rsidRPr="006854DA">
        <w:rPr>
          <w:rStyle w:val="NumeroAFNegritaCaracter"/>
        </w:rPr>
        <w:t>2</w:t>
      </w:r>
      <w:r>
        <w:t>. Empezando por el principio, no parece ocioso recapitular aquí y ahora como preámbulo metodológico, siquiera muy sucintamente, las cuestiones problemáticas vistas desde la doble óptica de las tres demandas con los alegatos para su apoyo argumental como fundamento de las pretensiones de anulación por inconstitucionalidad y la oposición dialéctica que el Abogado del Estado ha formulado en defensa de la legitimidad constitucional de la Ley en tela de juicio.</w:t>
      </w:r>
    </w:p>
    <w:p w:rsidR="006854DA" w:rsidRDefault="006854DA" w:rsidP="006854DA">
      <w:pPr>
        <w:pStyle w:val="TextoNormal"/>
      </w:pPr>
      <w:r>
        <w:t>Pues bien, el Gobierno Vasco alega que el marco competencial donde ha de quedar encuadrada la Ley es, por una parte, su Estatuto de Autonomía cuyos arts. 10.29 y 12.3 otorgan a la Comunidad competencia exclusiva en materia de establecimiento y regulación de Bolsas de Comercio y demás centros de contratación de mercancías y de valores conforme a la legislación mercantil así como para la ejecución de la legislación del Estado en materia de nombramiento de Registradores de la Propiedad, Agentes de Cambio y Bolsa y Corredores de Comercio e intervención en la fijación de las demarcaciones correspondientes en su caso. Por otra parte, está la Constitución, cuyo art.  149.1.6 reserva al Estado la competencia exclusiva sobre la legislación mercantil y a falta de otro título específico que le atribuya la competencia en materia de Bolsas o para regular el mercado de valores, la Comunidad Autónoma mantiene su competencia exclusiva para ello, quedándole al Estado, por virtud de la cláusula de cierre del art.  149.3 C.E., la posibilidad de dictar una Ley como la impugnada con el estricto carácter de Derecho supletorio, sin que en aspecto alguno quepa admitir como título competencial el configurado en el art. 149.1.13 C.E. para establecer las bases de la planificación económica. Con tal soporte pretende que se declare no aplicables los preceptos de la Ley relativos a las Bolsas de Valores en el ámbito de su Comunidad Autónoma o, subsidiariamente, la inconstitucionalidad de la Ley por haberse infringido la reserva de Ley formal para la fijación de las bases, así como la de dos docenas de artículos por no encajar en el concepto material de lo básico, invadiendo así la competencia exclusiva conferida en el art. 10.29 del Estatuto de Autonomía a la Comunidad Autónoma del País Vasco.</w:t>
      </w:r>
    </w:p>
    <w:p w:rsidR="006854DA" w:rsidRDefault="006854DA" w:rsidP="006854DA">
      <w:pPr>
        <w:pStyle w:val="TextoNormal"/>
      </w:pPr>
      <w:r>
        <w:t xml:space="preserve">A su vez, el Parlamento de Cataluña impugna la Ley por razón de los títulos competenciales que le corresponden en el marco de su Estatuto de Autonomía, uno el que le reconoce competencia exclusiva para el establecimiento y ordenación de centros de contratación </w:t>
      </w:r>
      <w:r>
        <w:lastRenderedPageBreak/>
        <w:t>de mercaderías y valores, de conformidad con la legislación mercantil (art. 9.20 E.A.C.)  y otro, la competencia de ejecución de la legislación estatal en el nombramiento de Agentes de Cambio y Bolsa y Corredores de Comercio, así como en la intervención, en su caso, en la delimitación de las demarcaciones correspondientes (arts. 9.20 y 11.4 respectivamente), mientras que el Estado aparece legitimado por el art. 149.1 C.E.  en varios de sus apartados, el 6 (legislación mercantil), 11 (bases de la ordenación del crédito) y 13 (bases y coordinación de la planificación general de la actividad económica). En virtud de todo ello considera que son inconstitucionales una constelación de preceptos de la Ley, cuyo análisis se hará más adelante, y pretende por tanto que se declare su nulidad o, subsidiariamente, que no son aplicables en Cataluña.</w:t>
      </w:r>
    </w:p>
    <w:p w:rsidR="006854DA" w:rsidRDefault="006854DA" w:rsidP="006854DA">
      <w:pPr>
        <w:pStyle w:val="TextoNormal"/>
      </w:pPr>
      <w:r>
        <w:t>Por su parte, el Consejo Ejecutivo de la Generalidad invoca los títulos competenciales específicos que conceden competencias a la Comunidad Autónoma en las materias reguladas por la Ley recurrida, frente a la absoluta falta de referencias en la Constitución a las Bolsas y a los Mercados de Valores. Así, en virtud de los arts. 9.20 y 11.4 de su Estatuto de Autonomía, Cataluña tiene competencia exclusiva en materia de centros de contratación de valores, que es una referencia omnicomprensiva de la multiplicidad de espacios jurídicos que pueden configurar el marco de la negociación de valores. El Estado, por el contrario, carece de títulos competenciales específicos que puedan legitimar la regulación de la Ley 24/1988, sin que, a tales efectos, puedan invocarse ni los compromisos suscritos por aquél con la CEE, ni los títulos de los apartados 6 (legislación mercantil), 11 (bases de la ordenación del crédito) o 13 (bases y coordinación de la planificación general de la actividad económica) del art. 149.1 C.E. Con esta base nos pide que declaremos la nulidad de la entera Ley cuestionada, por inconstitucionalidad formal, en virtud de tres defectos: no contener calificación alguna de su carácter básico, no puntualizar cuáles de sus preceptos revisten tal carácter y cuáles no; y no invocar explícitamente título competencial alguno que habilite al Estado para regular los mercados de valores.  Subsidiariamente, interesa que se declaren inconstitucionales una serie de preceptos de la Ley que nos ocupa.</w:t>
      </w:r>
    </w:p>
    <w:p w:rsidR="006854DA" w:rsidRDefault="006854DA" w:rsidP="006854DA">
      <w:pPr>
        <w:pStyle w:val="TextoNormal"/>
      </w:pPr>
      <w:r>
        <w:t>El Abogado del Estado, por su parte, se opone a tales pretensiones y al efecto aduce, antes de nada, para trazar el marco competencial de la Ley, que los Estatutos de Autonomía no se refieren al mercado de valores sino a centros de contratación de valores y a las Bolsas, no siendo posible confundir una competencia tan concreta como ésta (establecimiento de esos Centros y su regulación) con la otra más extensa y genérica, para ejercitar la cual es necesario disponer de una competencia normativa al respecto de la que carecen total y absolutamente las Comunidades Autónomas. Los otros títulos invocados por ellas, a saber, los configurados en los arts. 12.3 del Estatuto de Autonomía del País Vasco y 11.4 del Estatuto de Autonomía de Cataluña (nombramiento de Agentes de Cambio y Bolsa y Corredores de Comercio) sólo tienen que ver con muy pocos preceptos de la Ley. En cambio, los títulos donde se asienta la habilitación de las Cortes Generales para dictar la Ley impugnada son, entre otros, aquellos donde se configuran la competencia exclusiva estatal sobre la legislación mercantil y para establecer las bases de la ordenación del crédito (art. 149.1.6 y 11 C.E.), sin olvidar el principio de la unidad de mercado. En el análisis de los concretos preceptos impugnados llega a la conclusión de la constitucionalidad de todos y cada uno de ellos, advirtiendo, por otra parte, que la solución contraria, en su caso, impediría su aplicación pero no conllevaría la nulidad, como se pretende.</w:t>
      </w:r>
    </w:p>
    <w:p w:rsidR="006854DA" w:rsidRDefault="006854DA" w:rsidP="006854DA">
      <w:pPr>
        <w:pStyle w:val="TextoNormal"/>
      </w:pPr>
      <w:r>
        <w:t>Planteado así el debate constitucional procede, en primer lugar, definir el marco competencial en que debe encuadrarse la Ley impugnada, acudiendo, como no podía ser de otra manera, a la doctrina que este Tribunal ha formulado respecto de los títulos competenciales que resultan aplicables al caso.  Una vez despejada esta cuestión, se dará respues</w:t>
      </w:r>
      <w:r>
        <w:lastRenderedPageBreak/>
        <w:t>ta a la imputación global de inconstitucionalidad formal de la Ley, que afecta a su totalidad, y, finalmente, si esta imputación fuese rechazada, podrá ser afrontado el examen de cada uno de los preceptos impugnados en los tres recursos de inconstitucionalidad.</w:t>
      </w:r>
    </w:p>
    <w:p w:rsidR="006854DA" w:rsidRDefault="006854DA" w:rsidP="006854DA">
      <w:pPr>
        <w:pStyle w:val="TextoNormal"/>
      </w:pPr>
    </w:p>
    <w:p w:rsidR="006854DA" w:rsidRDefault="006854DA" w:rsidP="006854DA">
      <w:pPr>
        <w:pStyle w:val="TextoNormal"/>
      </w:pPr>
      <w:r w:rsidRPr="006854DA">
        <w:rPr>
          <w:rStyle w:val="NumeroAFNegritaCaracter"/>
        </w:rPr>
        <w:t>3</w:t>
      </w:r>
      <w:r>
        <w:t>. La Ley en tela de juicio tiene por objeto, según declara su art. 1, la regulación del denominado mercado de valores, esto es, de los principios de organización y funcionamiento de los mercados primarios y secundarios de valores que integran aquél, de las normas rectoras de la actividad de cuantos sujetos y entidades intervienen en ellos y de su régimen de supervisión.</w:t>
      </w:r>
    </w:p>
    <w:p w:rsidR="006854DA" w:rsidRDefault="006854DA" w:rsidP="006854DA">
      <w:pPr>
        <w:pStyle w:val="TextoNormal"/>
      </w:pPr>
      <w:r>
        <w:t>El concepto de mercado de valores no se entiende si no es integrado en el concepto más amplio de "sistema financiero", del que forma parte. Si por sistema financiero se tiene al conjunto de instituciones, entidades y operaciones a través de los cuales se canaliza el ahorro hacia la inversión, suministrando (oferta) dinero u otros medios de pago para financiar las actividades de los operadores económicos (demanda), el mercado de valores no es sino un elemento o parte integrante del sistema financiero.  En concreto, aquél que comprende las operaciones de colocación y de financiación a largo plazo así como las instituciones que efectúan principalmente estas operaciones. Más específicamente aun, el elemento definidor del mercado de valores lo constituyen los valores negociables -representados por medio de anotaciones en cuenta o por medio de títulos- emitidos por personas o entidades, públicas o privadas, y agrupados en emisiones. La emisión de dichos valores, y su consecuente negociabilidad, puede tener lugar en el mercado primario de valores (arts. 25 a 30 Ley del Mercado de Valores) o en los mercados secundarios oficiales de valores (arts. 31 a 61 Ley del Mercado de Valores), integrados, según el art. 31, por las Bolsas de Valores, el Mercado de Deuda Pública y aquellos otros de ámbito estatal y referentes a valores representados mediante anotaciones en cuenta, que se creen en virtud de lo previsto en el art. 59 de la Ley.</w:t>
      </w:r>
    </w:p>
    <w:p w:rsidR="006854DA" w:rsidRDefault="006854DA" w:rsidP="006854DA">
      <w:pPr>
        <w:pStyle w:val="TextoNormal"/>
      </w:pPr>
      <w:r>
        <w:t xml:space="preserve">De lo dicho se deduce que la noción de mercado de valores define una realidad distinta, y mucho más amplia, que aquélla a la que se refieren los títulos competenciales invocados por las Comunidades Autónomas recurrentes (arts.  10.29 E.A.P.V. y 9.20 E.A.C.), que aluden, respectivamente, al "establecimiento y regulación de Bolsas de Comercio y demás centros de contratación... de valores" y al "establecimiento y ordenación de centros de contratación... de valores", en ambos casos de conformidad con la legislación mercantil. Lleva razón, por tanto, el Abogado del Estado cuando afirma que no es posible identificar una competencia tan específica como la relativa al establecimiento y regulación de centros de contratación de valores y concretamente de uno de ellos, la Bolsa, con la competencia muy extensa y genérica de ordenar el mercado de valores. Ordenar el mercado de valores es mucho más que crear una Bolsa o mercado secundario equivalente, por cuanto supone disciplinar el tráfico jurídico de la oferta de ahorro y la demanda de inversión, a través de los activos financieros negociables, velando por la seguridad jurídica para que las transmisiones de esos activos sean efectivas, así como por la seguridad económica, para garantizar la solvencia a quienes acudan al mercado de valores, y atendiendo siempre a la transparencia de esas operaciones, para lo cual resulta necesario proporcionar una información adecuada sobre las mismas. Es claro, pues, que el mercado de valores es una pieza fundamental del sistema financiero y, por tanto, un elemento de capital influencia en la economía del país. Por eso, este Tribunal, al resolver una controversia competencial en torno a la titularidad de la facultad para fijar la fecha de emisión de las obligaciones de una sociedad mercantil, calificó dicha facultad de "decisión de política económica (que) desborda el ámbito estricto de la ordenación del crédito, incidiendo en el más amplio de la política </w:t>
      </w:r>
      <w:r>
        <w:lastRenderedPageBreak/>
        <w:t>monetaria y financiera" (STC 96/1984, Fundamento jurídico 7º).  Mercado de valores, sistema crediticio, sistema monetario y política financiera son realidades íntimamente conectadas, que se condicionan entre sí y condicionan a su vez la política económica del Estado, todo ello, además, en el marco del principio de libre circulación de capitales que rige en la Unión Europea.</w:t>
      </w:r>
    </w:p>
    <w:p w:rsidR="006854DA" w:rsidRDefault="006854DA" w:rsidP="006854DA">
      <w:pPr>
        <w:pStyle w:val="TextoNormal"/>
      </w:pPr>
      <w:r>
        <w:t>Delimitada así, grosso modo, la realidad que subyace a la noción de "mercado de valores", que -como ya ha quedado dicho- no puede equipararse sin más a los conceptos, de alcance más restringido, de "Bolsa" o "Centros de contratación de valores", podemos ya determinar los títulos competenciales que definen el bloque de constitucionalidad en la materia, para averiguar, en último término, si alguno de ellos puede legitimar la regulación contenida en la Ley que se impugna.</w:t>
      </w:r>
    </w:p>
    <w:p w:rsidR="006854DA" w:rsidRDefault="006854DA" w:rsidP="006854DA">
      <w:pPr>
        <w:pStyle w:val="TextoNormal"/>
      </w:pPr>
      <w:r>
        <w:t>Lo primero que salta a la vista es que al enumerar las materias que sirven como criterios de delimitación de las competencias entre el Estado y las Comunidades Autónomas, ni la Constitución ni los Estatutos de Autonomía de aquéllas han utilizado de manera explícita la expresión "mercado de valores".  Sin embargo, del mero dato de la omisión de una referencia de tales características al "mercado de valores" no puede extraerse la conclusión de que dicha materia no se encuentre incluida como tal en el sistema de distribución competencial, ni tampoco obliga a acudir a la cláusula residual del art. 149.3 C.E. (SSTC 123/1984, Fundamento jurídico 2º, y 180/1992, Fundamento jurídico 4º). Para acudir a dicha cláusula es necesario que el problema no pueda quedar resuelto con los criterios interpretativos ordinarios (SSTC 123/1984, Fundamento jurídico 2º, y 180/1992, Fundamento jurídico 4º), esto es, averiguando si, por encima y con independencia de las rúbricas o denominaciones empleadas por la Constitución o por los Estatutos de Autonomía, ha sido incluida en una u otros una materia entendida como conjunto de actividades, funciones e institutos jurídicos relativos a un sector de la realidad social. Pues bien, la regulación del mercado de valores, más que con una materia concreta, se identifica con todo un sector de la actividad financiera y económica en el que confluyen, como se verá inmediatamente, varios títulos competenciales, siendo su entrecruzamiento especialmente intenso en este caso (STC 155/1993, Fundamento jurídico 1º).</w:t>
      </w:r>
    </w:p>
    <w:p w:rsidR="006854DA" w:rsidRDefault="006854DA" w:rsidP="006854DA">
      <w:pPr>
        <w:pStyle w:val="TextoNormal"/>
      </w:pPr>
    </w:p>
    <w:p w:rsidR="006854DA" w:rsidRDefault="006854DA" w:rsidP="006854DA">
      <w:pPr>
        <w:pStyle w:val="TextoNormal"/>
      </w:pPr>
      <w:r w:rsidRPr="006854DA">
        <w:rPr>
          <w:rStyle w:val="NumeroAFNegritaCaracter"/>
        </w:rPr>
        <w:t>4</w:t>
      </w:r>
      <w:r>
        <w:t>. Por lo que se refiere a los títulos competenciales del Estado tres son los que principal - aunque no exclusivamente- confluyen en la regulación que contiene esta Ley: legislación mercantil (art. 149.1.6 C.E.), bases de la ordenación del crédito (art.  149.1.11 C.E.)  y bases y coordinación de la planificación general de la actividad económica (art. 149.1.13 C.E.).</w:t>
      </w:r>
    </w:p>
    <w:p w:rsidR="006854DA" w:rsidRDefault="006854DA" w:rsidP="006854DA">
      <w:pPr>
        <w:pStyle w:val="TextoNormal"/>
      </w:pPr>
      <w:r>
        <w:t xml:space="preserve">A. La Constitución (art. 149.1.6) ha reservado al Estado la competencia exclusiva sobre legislación mercantil. La uniformidad en la regulación jurídico-privada del tráfico mercantil es una consecuencia ineludible del principio de unidad de mercado.  Respecto del contenido de dicha competencia este Tribunal ha manifestado que, en todo caso, incluye la regulación de las relaciones jurídico-privadas de los empresarios mercantiles o comerciantes en cuanto tales (STC 137/1981, Fundamento jurídico 3º) y, respecto de su alcance, hemos declarado en nuestra STC 14/1986, que en las sociedades, como la nuestra, que siguen el modelo de la economía de mercado, la actividad mercantil aparece disciplinada por un conjunto de normas en donde se mezclan de manera inextrincable el Derecho público y el privado, dentro del cual hay que situar, sin duda, al Derecho mercantil, siendo oscilantes los criterios para trazar los límites entre la legislación mercantil y la correspondiente a otras ramas del Derecho.  En congruencia con ello -concluíamos entonces- parece obligado admitir que, en principio, y en lo que hace relación con este título competencial, </w:t>
      </w:r>
      <w:r>
        <w:lastRenderedPageBreak/>
        <w:t>sólo las reglas de Derecho privado quedarán comprendidas en la reserva al Estado de la legislación mercantil, teniendo las de Derecho público regímenes diferenciados, de modo que en cada supuesto será menester situar la institución de que se trate, tesis que abona también el hecho de la asunción por parte de algunas Comunidades Autónomas de competencias legislativas en materias claramente encuadrables dentro de la materia mercantil, por lo que en no pocas ocasiones será preciso acudir también a otras determinaciones de las que establece el art. 149.1 C.E. (STC 14/1986, Fundamento jurídico 7º).</w:t>
      </w:r>
    </w:p>
    <w:p w:rsidR="006854DA" w:rsidRDefault="006854DA" w:rsidP="006854DA">
      <w:pPr>
        <w:pStyle w:val="TextoNormal"/>
      </w:pPr>
      <w:r>
        <w:t>Este criterio es el que recientemente hemos seguido también en la STC 37/1997, en la que, distinguiendo lo que es regulación de relaciones contractuales inter privatos y lo que atañe a la intervención de los poderes públicos en esas relaciones contractuales, se encuadra las primeras en el título competencial del art. 149.1.6, en tanto que el encuadramiento de la segunda lo será en función de la calificación a otorgar a la institución de que se trate.  Así, decimos literalmente en dicha Sentencia, recordando lo ya sostenido en la STC 88/1986 [Fundamento jurídico 8º b)], que a efectos de calificación competencial este Tribunal ha distinguido siempre "entre la competencia sobre legislación mercantil y la relativa a la creación y ordenación de los mercados y lugares de contratación en los que se lleva a cabo el tráfico mercantil mediante contratación sometida a este tipo de legislación" (Fundamento jurídico 2º).</w:t>
      </w:r>
    </w:p>
    <w:p w:rsidR="006854DA" w:rsidRDefault="006854DA" w:rsidP="006854DA">
      <w:pPr>
        <w:pStyle w:val="TextoNormal"/>
      </w:pPr>
      <w:r>
        <w:t>Así las cosas, sin prejuzgar ahora el contenido específico de los preceptos de esta Ley que han sido impugnados por el País Vasco y por Cataluña y su posible reconducción al título competencial del art. 149.1.6 C.E., resulta poco discutible la relación con la legislación mercantil de una Ley que, como la que aquí se impugna, tiene por objeto la regulación del tráfico jurídico de los valores negociables -concepto este típicamente mercantil-, de los mercados en que tiene lugar dicho tráfico y de la actividad de los sujetos y entidades que en ellos intervienen.</w:t>
      </w:r>
    </w:p>
    <w:p w:rsidR="006854DA" w:rsidRDefault="006854DA" w:rsidP="006854DA">
      <w:pPr>
        <w:pStyle w:val="TextoNormal"/>
      </w:pPr>
      <w:r>
        <w:t>B. El segundo título competencial del Estado que confluye en la regulación del mercado de valores es el de las bases de la ordenación del crédito (art.  149.1.11 C.E.), materia esta en la que el propio Tribunal ha integrado el mercado de valores conectándolo, además, con el principio de unidad del mercado y, por ende, con la competencia de ordenación general de la economía.  A estos efectos resulta especialmente significativa nuestra STC 96/1984, que puso fin al conflicto positivo de competencia planteado por el Gobierno contra la Orden de la Consejería de Economía y Hacienda del Gobierno Vasco por la que se autorizaba el folleto de una emisión de obligaciones de PETRONOR. La controversia competencial giraba en torno a la titularidad de la competencia para regular las condiciones de la emisión de obligaciones por parte de una Sociedad Anónima.  Este Tribunal Constitucional enmarcó el conflicto competencial en la materia "ordenación del crédito" (Fundamento jurídico 2º), señalando que en las normas que se invocaban en defensa de la competencia del Estado (Reales Decretos 1.851/1978 y 1.847/1980, en los que se regulan las condiciones de las emisiones, así como las intervenciones públicas en dichas operaciones) se contenían, no sólo preceptos que podrían obtener la consideración de "bases de la ordenación del crédito", sino -en defecto de normas de desarrollo legislativo dictadas por las Comunidades Autónomas- el régimen jurídico íntegro referente al contenido y a la autorización de los folletos de emisión. Mediante tales normas, decíamos en la Sentencia citada, se trata de establecer un sistema de información que garantice la transparencia informativa del mercado de valores, dentro de una política económica tendente -como se expresaba en la Exposición de Motivos del Real Decreto 1851/1978- a "liberalizar nuestro sistema financiero, potenciando el funcionamiento de los mecanismos de mercado dentro del mismo" (Fundamento jurídico 6º).</w:t>
      </w:r>
    </w:p>
    <w:p w:rsidR="006854DA" w:rsidRDefault="006854DA" w:rsidP="006854DA">
      <w:pPr>
        <w:pStyle w:val="TextoNormal"/>
      </w:pPr>
      <w:r>
        <w:lastRenderedPageBreak/>
        <w:t>En cuanto al contenido de este título competencial, este Tribunal ha precisado en reiteradas ocasiones desde nuestra STC 1/1982, que las bases de ordenación del crédito deben contener tanto las normas reguladoras de la estructura, organización interna y funciones de los diferentes intermediarios financieros, como aquellas otras que regulen aspectos fundamentales de la actividad de tales intermediarios (SSTC 1/1982, Fundamento jurídico 2º; 49/1988, Fundamento jurídico 2º, 135/1992, Fundamento jurídico 1º; 155/1993, Fundamento jurídico 1º; y 96/1996, Fundamentos jurídicos 19º y 20º). Pues bien, la distribución de competencias en materia de ordenación del crédito ha sido enmarcada, a su vez, "en los principios básicos del orden económico constitutivos o resultantes de la denominada constitución económica... y especialmente en la exigencia de la unidad del orden económico en todo el ámbito del Estado. Una de las manifestaciones de dicha unidad es el principio de unidad del mercado -y, por lo tanto, del mercado de capitales-, reconocido implícitamente por el art.  139.2 C.E., al disponer que "ninguna autoridad podrá adoptar medidas que directa o indirectamente obstaculicen (...)  la libre circulación de bienes en todo el territorio español".  Otra manifestación de esa unidad del orden económico es la exigencia (...)  de la adopción de medidas de política económica aplicables, con carácter general, a todo el territorio nacional, al servicio de una serie de objetivos de carácter económico fijados por la propia C.E. (arts. 40.1, 130.1, 131.1 y 138.1)" (SSTC 96/1984, Fundamento jurídico 3º, 37/1981, 1/1982 y 64/1990). En consonancia con lo dicho, hemos calificado las competencias estatales del art. 149.1.11 C.E. de instrumentos al servicio de una política monetaria y crediticia única y, por lo tanto, de una política económica común. Esa política monetaria y crediticia general no es solamente susceptible de ser establecida por vía normativa, sino que la consecución de intereses generales perseguidos por la ordenación estatal del crédito exigirá en ocasiones, atendiendo a circunstancias coyunturales y a objetivos de política monetaria y financiera, que el Gobierno de la Nación proceda a la concreción e incluso a la cuantificación de medidas contenidas en la regulación básica del crédito, pues al Gobierno de la Nación corresponde la dirección de la política monetaria y financiera general, como parte de la política del Estado -art. 97 C.E.- (SSTC 96/1984, Fundamento jurídico 3º, y 96/1996, Fundamentos jurídicos 19 y 20). En parecidos términos nos hemos manifestado recientemente en la STC 37/1997 (Fundamento jurídico 4º).</w:t>
      </w:r>
    </w:p>
    <w:p w:rsidR="006854DA" w:rsidRDefault="006854DA" w:rsidP="006854DA">
      <w:pPr>
        <w:pStyle w:val="TextoNormal"/>
      </w:pPr>
      <w:r>
        <w:t>Esta concepción, según la cual las bases de la ordenación del crédito pueden ser establecidas por una vía distinta a la normativa, ha sido desarrollada ampliamente por este Tribunal y no es ocioso resumir ahora sus enunciados principales, pues, sin duda, habrán de estar presentes en el análisis pormenorizado que hagamos posteriormente de los preceptos impugnados. Desde nuestra STC 1/1982 (Fundamento jurídico 1º), hemos venido manteniendo reiteradamente, en relación con la materia de ordenación del crédito (SSTC 96/1984, Fundamento jurídico 3º; 48/1988, Fundamento jurídico 6º; 49/1988, Fundamento jurídico 16º; 86/1989, Fundamento jurídico 22; 135/1992, Fundamento jurídico 5º; 178/1992, Fundamento jurídico 2º; 87/1993, Fundamento jurídico 3º; 37/1997, Fundamento jurídico 4º; entre otras), que aun cuando se trate de supuestos excepcionales que sólo pueden admitirse cuando sean realmente imprescindibles para el ejercicio efectivo de la competencia estatal en la materia, no cabe descartar de antemano que las bases comprendan regulaciones detalladas de aspectos concretos de las materias o que, incluso, incluyan la potestad de realizar actos de ejecución. Esta posibilidad tiene su fundamento no sólo en las exigencias de la unidad del sistema económico general, para cuya preservación no bastan los denominadores comunes de naturaleza normativa, sino también en la necesidad de actuaciones singulares directas por razones de urgencia para prevenir naturales perjuicios irreversibles al interés general.  En definitiva, las competencias para el desarrollo legislati</w:t>
      </w:r>
      <w:r>
        <w:lastRenderedPageBreak/>
        <w:t>vo o la ejecución de las Comunidades Autónomas quedan vinculadas a una política monetaria y crediticia general que no es solamente susceptible de ser establecida por vía normativa. A todo ello hemos añadido que, además, en materia de política crediticia general las potestades ejecutivas no pueden identificarse sin más con el mero desarrollo y ejecución de normas previas, sino que se traducen en efectivas decisiones de política económica que transcienden del ámbito estricto de la ordenación del crédito para incidir en el más amplio de la política monetaria y financiera.</w:t>
      </w:r>
    </w:p>
    <w:p w:rsidR="006854DA" w:rsidRDefault="006854DA" w:rsidP="006854DA">
      <w:pPr>
        <w:pStyle w:val="TextoNormal"/>
      </w:pPr>
      <w:r>
        <w:t>C. Finalmente, por lo que a los títulos competenciales del Estado se refiere, además de lo que ya ha quedado expuesto acerca del principio de unidad de mercado, así como de la política económica común, que incluye "una política monetaria y crediticia única" (STC 96/1984, Fundamento jurídico 3º), conviene traer también a colación, muy resumidamente, lo que este Tribunal ha manifestado en relación con la competencia estatal sobre la "ordenación general de la economía". Así, en nuestra STC 29/1986 (Fundamento jurídico 4º) declaramos que "parece claro que, cuando para conseguir objetivos de la política económica nacional, se precise una acción unitaria en el conjunto del territorio del Estado, por la necesidad de asegurar un tratamiento uniforme de determinados problemas económicos o por la estrecha interdependencia de las actuaciones a realizar en distintas partes del territorio nacional, el Estado, en el ejercicio de la competencia de ordenación de la actuación económica general, podrá efectuar una planificación de detalle, siempre, y sólo en tales supuestos, que la necesaria coherencia de la política económica general exija decisiones unitarias y no pueda articularse sin riesgo para la unidad económica del Estado a través de la fijación de bases y de medidas de coordinación". Ahora bien, también hemos advertido que esta competencia estatal -que abarca la definición de las líneas de actuación tendentes a alcanzar los objetivos de política global o sectorial fijados por la Constitución, así como las medidas precisas para garantizar la realización de los mismos (STC 186/1988, Fundamento jurídico 2º)- no puede conducir, sin embargo, a un vaciamiento de las competencias asumidas por las Comunidades Autónomas, ya que dicho título sólo debe llegar hasta donde lo exija el principio que instrumenta. De ello se deduce la necesidad de articular las competencias de ambos entes, Estado y Comunidades Autónomas (SSTC 29/1986, Fundamento jurídico 4º; 186/1988, Fundamento jurídico 8º; 220/1992, Fundamento jurídico 6º; y 96/1996, Fundamento jurídico 20).</w:t>
      </w:r>
    </w:p>
    <w:p w:rsidR="006854DA" w:rsidRDefault="006854DA" w:rsidP="006854DA">
      <w:pPr>
        <w:pStyle w:val="TextoNormal"/>
      </w:pPr>
    </w:p>
    <w:p w:rsidR="006854DA" w:rsidRDefault="006854DA" w:rsidP="006854DA">
      <w:pPr>
        <w:pStyle w:val="TextoNormal"/>
      </w:pPr>
      <w:r w:rsidRPr="006854DA">
        <w:rPr>
          <w:rStyle w:val="NumeroAFNegritaCaracter"/>
        </w:rPr>
        <w:t>5</w:t>
      </w:r>
      <w:r>
        <w:t>. Delimitados así los títulos competenciales del Estado que podrían legitimar la regulación de la Ley 24/1988, corresponde ahora hacer lo propio con los de las Comunidades Autónomas que la han impugnado. Dejando por el momento de lado los títulos competenciales de los arts. 12.3 del Estatuto de Autonomía del País Vasco y 11.4 del Estatuto de Autonomía de Cataluña, relativos a los Agentes de Cambio y Bolsa y a los Corredores de Comercio, y que afectan a un número muy reducido de preceptos, debemos tener presente que estas Comunidades Autónomas han asumido la competencia para el desarrollo legislativo y la ejecución de las bases de la ordenación del crédito [arts. 11.2a) E.A.P.V. y 10.4 E.A.C.], así como la competencia exclusiva sobre la promoción, desarrollo económico y planificación de la actividad económica del País Vasco, de acuerdo con la ordenación general de la economía (art. 10.25 E.A.P.V.)  y la competencia exclusiva sobre la planificación de la actividad económica en Cataluña, de acuerdo con las bases y la ordenación de la actividad económica general y la política monetaria del Estado (art. 12.1.1 E.A.C.). Sin embargo, los títulos competenciales autonómicos que las Comunidades Autónomas han invocado como principal fundamento de sus pretensiones están en los arts.  10.29 del Estatuto de Autonomía del País Vasco y 9.20 del Estatuto de Autonomía de Cataluña, que res</w:t>
      </w:r>
      <w:r>
        <w:lastRenderedPageBreak/>
        <w:t>pectivamente atribuyen la competencia exclusiva en materia de establecimiento y regulación de Bolsas de Comercio y demás centros de contratación de valores, en el caso del País Vasco, y sobre el establecimiento y ordenación de centros de contratación de valores, en el de Cataluña.</w:t>
      </w:r>
    </w:p>
    <w:p w:rsidR="006854DA" w:rsidRDefault="006854DA" w:rsidP="006854DA">
      <w:pPr>
        <w:pStyle w:val="TextoNormal"/>
      </w:pPr>
      <w:r>
        <w:t>Antes de referirnos al alcance de las competencias de los arts. 10.29 del Estatuto de Autonomía del País Vasco y 9.20 del Estatuto de Autonomía de Cataluña, asumidas como exclusivas, si bien de conformidad con la legislación mercantil, conviene dejar sentado que las expresiones empleadas por uno y otro Estatuto de Autonomía ("Bolsas de comercio y demás centros de contratación de valores", en el caso del País Vasco, y "Centros de contratación de valores" sin más, en el de Cataluña) encierran una referencia abierta a la diversidad de espacios dentro de los cuales puede tener lugar la negociación de activos financieros. Las Bolsas constituyen un tipo dentro de tales posibles ámbitos de negociabilidad de los valores, pero no el único. Por eso el Estatuto de Autonomía del País Vasco habla de "Bolsas de comercio y demás centros de contratación de valores", porque las Bolsas son uno más entre los posibles centros o mercados de contratación de valores. Buen ejemplo de esta realidad, plural y superadora del concepto material y físico del mercado de valores que se identifica sólo con la Bolsa, lo constituye la propia clasificación de la Ley que habla de mercado primario y mercados secundarios y, dentro de estos últimos, distingue entre Bolsas, Mercado de Deuda Pública y aquellos otros mercados que puedan crearse en el futuro.</w:t>
      </w:r>
    </w:p>
    <w:p w:rsidR="006854DA" w:rsidRDefault="006854DA" w:rsidP="006854DA">
      <w:pPr>
        <w:pStyle w:val="TextoNormal"/>
      </w:pPr>
      <w:r>
        <w:t>Dicho esto, no parece dudoso que a estas Comunidades Autónomas les corresponde no sólo el desarrollo legislativo y ejecución en materia de ordenación del crédito, sino otra más específica y exclusiva también para el establecimiento y regulación de las Bolsas y Centros de contratación de valores de su territorio, conceptos que, como ya ha quedado expuesto, no coinciden con el más amplio y global de mercado de valores. Esa competencia, aun siendo exclusiva ha de ponerse en relación con otras estatales ya conocidas, ya que los Centros de Contratación de valores, en general, y las Bolsas, en particular, forman parte integrante del mercado de valores, regido por el principio de unidad (STC 96/1984, Fundamento jurídico 3º), sobre el cual el Estado tiene competencias, también exclusivas, para establecer las bases, en virtud de los títulos competenciales de los apartados 11 (ordenación del crédito) y 13 (planificación general de la actividad económica) del art. 149.1 C.E., más la competencia también exclusiva sobre la legislación mercantil ex art. 149.1.6 C.E.</w:t>
      </w:r>
    </w:p>
    <w:p w:rsidR="006854DA" w:rsidRDefault="006854DA" w:rsidP="006854DA">
      <w:pPr>
        <w:pStyle w:val="TextoNormal"/>
      </w:pPr>
      <w:r>
        <w:t>A partir de este esquema de distribución de competencias (salvo lo que corresponda a la legislación mercantil) entre el Estado y las Comunidades Autónomas, hemos, pues, de delimitar el alcance de unas y otras para poder determinar si una materia concreta regulada en la Ley es de competencia del Estado o de las Comunidades Autónomas, todo ello sin perjuicio de que otros títulos, autonómicos o estatales, resulten aplicables para dirimir la contienda competencial establecida en torno a algunos preceptos impugnados. No obstante, antes de afrontar el enjuiciamiento de todos y cada uno de los preceptos que han sido objeto de impugnación se hace necesario dar respuesta a la imputación de inconstitucionalidad total de la Ley.</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Tanto el Gobierno Vasco como el Consejo Ejecutivo de la Generalidad de Cataluña han solicitado que se declare la inconstitucionalidad de la Ley 24/1988 por haberse desconocido la exigencia de Ley formal para el señalamiento de las bases; de toda la Ley, en el caso del Consejo Ejecutivo, y de algunos preceptos (Disposición adicional primera y arts. 31, 59 y 84), en el del País Vasco. Al respecto conviene recordar que, como ha quedado </w:t>
      </w:r>
      <w:r>
        <w:lastRenderedPageBreak/>
        <w:t>recogido en los Antecedentes de esta Sentencia, para el primero de los recurrentes pesa sobre la Ley un vicio de inconstitucionalidad formal por no haber expresado el carácter básico o parcialmente básico de la misma. Unicamente el art. 84 se refiere al carácter básico de ciertos preceptos del título VIII, pero lo hace con tal falta de precisión que es fuente de inseguridad más que de certeza.  Además, la Ley tampoco está dotada de una estructura que permita inferir sin dificultad su carácter básico.  Por su parte, la impugnación del Consejo Ejecutivo, se basa en tres motivos: 1) no contener declaración ninguna de su carácter básico, cuando ésta parece que ha querido ser la condición atribuida por el legislador a esa norma; 2) no especificar qué preceptos de la Ley revisten carácter básico y cuáles no; y 3) no hacer explícita invocación de título competencial alguno que habilite al Estado para regular los mercados de valores.</w:t>
      </w:r>
    </w:p>
    <w:p w:rsidR="006854DA" w:rsidRDefault="006854DA" w:rsidP="006854DA">
      <w:pPr>
        <w:pStyle w:val="TextoNormal"/>
      </w:pPr>
      <w:r>
        <w:t>Para contestar a la tacha de inconstitucionalidad formal que los recurrentes imputan a la Ley es preciso recordar la doctrina reiterada de este Tribunal según la cual la operación de definición de las bases debe llevarse a cabo normalmente por las Cortes Generales, sea de manera expresa, sea de forma que, en razón de la estructura de la norma, se pueda inferir, directa o indirectamente, pero sin especial dificultad, su vocación o pretensión de básica (por todas, STC 213/1994, Fundamento jurídico 10).</w:t>
      </w:r>
    </w:p>
    <w:p w:rsidR="006854DA" w:rsidRDefault="006854DA" w:rsidP="006854DA">
      <w:pPr>
        <w:pStyle w:val="TextoNormal"/>
      </w:pPr>
      <w:r>
        <w:t>En el presente caso la Ley impugnada cumple con las exigencias del principio formal para el establecimiento de las bases por parte del Estado, tanto por las declaraciones explícitas que hace en relación con el carácter básico de la misma, y de los títulos competenciales que la amparan, como por su estructura y contenido, que permiten inferir la vocación y pretensión de norma básica del mercado de valores de la Ley 24/1988.</w:t>
      </w:r>
    </w:p>
    <w:p w:rsidR="006854DA" w:rsidRDefault="006854DA" w:rsidP="006854DA">
      <w:pPr>
        <w:pStyle w:val="TextoNormal"/>
      </w:pPr>
      <w:r>
        <w:t xml:space="preserve">En efecto, no es exacto el triple reproche que los recurrentes dirigen a la Ley por no haber declarado el carácter básico de la misma, por no especificar cuáles de sus preceptos tienen ese carácter y cuáles no y por no haber invocado los títulos competenciales que la amparan. De un lado, el art. 84 contiene una declaración expresa del carácter básico de algunos preceptos, concretamente los que integran el Título VIII (Régimen de supervisión, inspección y sanción). Pero es que además, por lo que respecta al resto de la Ley, existen numerosas referencias en su exposición de motivos que ponen clarísimamente de manifiesto la vocación de norma básica del mercado de valores. Así, por ejemplo, se alude a que la Ley "aspira a dotar a todo el ordenamiento de los mercados de valores de una coherencia interna que hoy se echa en falta.  El fuerte entrelazamiento de los distintos elementos que integran la Ley responde a una visión global de la ordenación de los mercados de valores...". Más adelante se habla de "...una regulación básica unitaria de los mercados de valores..." (apartado 5), así como de que "la Ley parte del irrenunciable principio de unidad del orden económico y del sistema financiero nacional del que el mercado de valores constituye pieza esencial" (apartado 9). También se alude a que la Ley recoge "unas normas mínimas de conducta de cuantos operan con los mercados de valores..." (apartado 14) y a que la Ley contempla un régimen sancionador análogo al de la Ley de Disciplina e Intervención de Entidades de Crédito, que, sumado a éste, permite alcanzar el objetivo de que todas las actividades financieras queden sujetas a "normas homogéneas en la materia" (apartado 15). Todo ello permite deducir, sin dificultad, que la pretensión de la Ley 24/1988 es, cuando menos, ser la Ley de bases del mercado de valores e, incluso, en muchos aspectos ir más allá de lo básico, por cuanto que declara que gran parte de sus preceptos han de ser calificados como normas de Derecho mercantil. No es este el momento de determinar si esa pretensión de regulación básica de la Ley y el encuadramiento que hace de la mayor parte de su articulado en el concepto de "Derecho mercantil" son constitucionalmente legítimos. Esa es, precisamente, la cuestión que hemos de resolver en esta </w:t>
      </w:r>
      <w:r>
        <w:lastRenderedPageBreak/>
        <w:t>Sentencia al examinar precepto por precepto. De lo que ahora se trata es, simplemente, de afirmar que, en contra de lo que sostienen los recurrentes, la Ley 24/1988 ha cumplido con la exigencia formal de poner de manifiesto, si bien de una manera implícita -salvo en lo que se refiere al Título VIII, que lo ha hecho de forma explícita (art. 84)- su carácter de norma básica.</w:t>
      </w:r>
    </w:p>
    <w:p w:rsidR="006854DA" w:rsidRDefault="006854DA" w:rsidP="006854DA">
      <w:pPr>
        <w:pStyle w:val="TextoNormal"/>
      </w:pPr>
      <w:r>
        <w:t>Finalmente, debemos rechazar también la objeción del Consejo Ejecutivo de Cataluña de que la Ley no hace explícita invocación de título competencial alguno que habilite al Estado para regular los mercados de valores. En primer lugar y, sobre todo, porque del principio de Ley formal en la determinación de las bases no se deriva para el legislador la obligación de invocar expresamente el título competencial que ampara sus Leyes. Las competencias son indisponibles e irrenunciables, tanto para el legislador del Estado como para el de las Comunidades Autónomas; operan ope Constitutionis, con independencia de que uno u otro legislador hagan invocación explícita de las mismas. En segundo lugar, porque si bien es verdad que el legislador no ha identificado esos títulos por referencia numérica a los apartados del art. 149 C.E., sí se ha referido materialmente a ellos al hablar de las normas de derecho mercantil, de un lado, y de la unidad del orden económico y del sistema financiero nacional, de otro; referencias todas ellas suficientes para identificarlas con los títulos competenciales del art. 149.1.6, 11 y 13 C.E.</w:t>
      </w:r>
    </w:p>
    <w:p w:rsidR="006854DA" w:rsidRDefault="006854DA" w:rsidP="006854DA">
      <w:pPr>
        <w:pStyle w:val="TextoNormal"/>
      </w:pPr>
      <w:r>
        <w:t>Rechazada en estos términos la tacha de inconstitucionalidad formal que el Gobierno Vasco y el Consejo Ejecutivo de Cataluña han hecho a la Ley, procede que nos adentremos ya sin más en el análisis pormenorizado de los preceptos que han sido objeto de impugnación en los tres recursos de inconstitucionalidad; lo que haremos, en aras de la claridad, agrupando dichos preceptos en los siguientes apartados: la Comisión Nacional del Mercado de Valores,el mercado primario de valores, los mercados secundarios, las Sociedades y Agencias de Valores y, finalmente, el régimen de supervisión, inspección y sanción.</w:t>
      </w:r>
    </w:p>
    <w:p w:rsidR="006854DA" w:rsidRDefault="006854DA" w:rsidP="006854DA">
      <w:pPr>
        <w:pStyle w:val="TextoNormal"/>
      </w:pPr>
      <w:r>
        <w:t>Antes de examinar los preceptos de la Ley del Mercado de Valores que han sido impugnados, sólo nos resta advertir que en caso de que procediese acoger las alegaciones de los recurrentes, dicho acogimiento no puede llevarnos a la declaración de nulidad que éstos pretenden, ya que al ser una contienda competencial la que está en el fundamento de sus recursos de inconstitucionalidad, los preceptos que resultaran viciados de incompetencia serían inaplicables en las Comunidades Autónomas recurrentes, pero seguirían siendo válidos y resultarían de aplicación en las demás Comunidades Autónomas.</w:t>
      </w:r>
    </w:p>
    <w:p w:rsidR="006854DA" w:rsidRDefault="006854DA" w:rsidP="006854DA">
      <w:pPr>
        <w:pStyle w:val="TextoNormal"/>
      </w:pPr>
    </w:p>
    <w:p w:rsidR="006854DA" w:rsidRDefault="006854DA" w:rsidP="006854DA">
      <w:pPr>
        <w:pStyle w:val="TextoNormal"/>
      </w:pPr>
      <w:r w:rsidRPr="006854DA">
        <w:rPr>
          <w:rStyle w:val="NumeroAFNegritaCaracter"/>
        </w:rPr>
        <w:t>7</w:t>
      </w:r>
      <w:r>
        <w:t>. En la Ley tiene un protagonismo estelar una institución de nuevo cuño, la Comisión Nacional del Mercado de Valores, pieza central y clave de bóveda del sistema, como expresamente viene a reconocer su propia Exposición de Motivos, que cumple en este ámbito una misión equivalente a la que en el sector financiero corresponde al Banco de España y a la que se "encomienda la supervisión e inspección del mercado de valores, sin perjuicio de su colaboración en las labores de ordenación del mismo y en el impulso de la implantación de su reforma", correspondiéndole, entre otras funciones, "velar por la transparencia de los diversos mercados, la correcta formación de los precios en los mismos y la protección de los inversores" (ap. 3). A su regulación la Ley dedica su Título II y de él son impugnados en su integridad los arts. 13, 15, 17, 19 y 20.</w:t>
      </w:r>
    </w:p>
    <w:p w:rsidR="006854DA" w:rsidRDefault="006854DA" w:rsidP="006854DA">
      <w:pPr>
        <w:pStyle w:val="TextoNormal"/>
      </w:pPr>
      <w:r>
        <w:t>a) El art. 13 crea esa Comisión y define, de manera genérica, las funciones que le corresponde ejercer como órgano encargado de velar por la transparencia de los mercados de valores, la correcta formación de los precios en los mismos y la protección de los inverso</w:t>
      </w:r>
      <w:r>
        <w:lastRenderedPageBreak/>
        <w:t>res, promoviendo la difusión de cuanta información sea necesaria para asegurar la consecución de esos fines.</w:t>
      </w:r>
    </w:p>
    <w:p w:rsidR="006854DA" w:rsidRDefault="006854DA" w:rsidP="006854DA">
      <w:pPr>
        <w:pStyle w:val="TextoNormal"/>
      </w:pPr>
      <w:r>
        <w:t>El Gobierno Vasco, que ha impugnado este precepto, admite su constitucionalidad a condición de que se interprete en el sentido de que tales funciones, que la Ley atribuye a la Comisión Nacional, lo son sin perjuicio de las competencias que la Comunidad Autónoma tiene, ex art. 10.29 del Estatuto de Autonomía del País Vasco, de supervisión, inspección, ejercicio de la potestad sancionadora, protección de los inversores, vigilancia de la correcta formación de los precios y de la transparencia del mercado.  Por su parte, el Consejo Ejecutivo de la Generalidad de Cataluña limita su impugnación al primer párrafo del art. 13 por considerar que invade las competencias autonómicas al atribuir a la Comisión Nacional del Mercado de Valores funciones ejecutivas cuyo ejercicio se extiende a la totalidad del Estado.  Así, pues, se trata de saber si los párrafos primero y segundo del art. 13 de la Ley, únicos a los cuales se dirigen los reproches, respetan o no el bloque de la constitucionalidad.</w:t>
      </w:r>
    </w:p>
    <w:p w:rsidR="006854DA" w:rsidRDefault="006854DA" w:rsidP="006854DA">
      <w:pPr>
        <w:pStyle w:val="TextoNormal"/>
      </w:pPr>
      <w:r>
        <w:t>Por cuanto se refiere al apartado primero, esto es, a la supervisión, inspección y sanción de los mercados de valores y de la actividad de cuantas personas físicas y jurídicas se relacionan en el tráfico de los mismos, es evidente la conformidad del precepto impugnado con la Constitución y los Estatutos de Autonomía de las Comunidades Autónomas, por cuanto que es la propia Ley la que explícitamente ha salvado las competencias autonómicas al decir, en el apartado 2º del art. 84, que la atribución de esas funciones a la Comisión Nacional "se entenderá sin perjuicio de las competencias de supervisión, inspección y sanción que correspondan a las Comunidades Autónomas que las tengan atribuidas...". Es claro, pues, que las competencias de éstas han sido salvadas por la propia Ley, explícita y suficientemente, y, en consecuencia, con la excepción de cuánto se dirá a la hora de enjuiciar el art. 84, nada hay de reprochable en tal aspecto del precepto impugnado.</w:t>
      </w:r>
    </w:p>
    <w:p w:rsidR="006854DA" w:rsidRDefault="006854DA" w:rsidP="006854DA">
      <w:pPr>
        <w:pStyle w:val="TextoNormal"/>
      </w:pPr>
      <w:r>
        <w:t>Con independencia de lo anterior, ya hemos declarado (STC 96/1996, Fundamento jurídico 7º) el carácter básico de la norma que atribuye a instituciones del Estado (en aquel caso, el Banco de España) la potestad sancionadora en materias que, como la que ahora nos ocupa, afectan a la estabilidad del sistema financiero y a la unidad del mercado y, por tanto, encuadrables en el título competencial ex art. 149.1.11 C.E.</w:t>
      </w:r>
    </w:p>
    <w:p w:rsidR="006854DA" w:rsidRDefault="006854DA" w:rsidP="006854DA">
      <w:pPr>
        <w:pStyle w:val="TextoNormal"/>
      </w:pPr>
      <w:r>
        <w:t>A la misma conclusión -aun cuando por caminos diferentes- hay que llegar respecto del segundo apartado del art. 13, según el cual "la Comisión Nacional del Mercado de Valores velará por la transparencia de los mercados de valores, la correcta formación de los precios en los mismos y la protección de los inversores, promoviendo la difusión de cuanta información sea necesaria para asegurar la consecución de esos fines". La simple lectura del precepto pone de relieve que no se trata de una atribución de funciones concretas y específicas a la Comisión Nacional del Mercado de Valores en menoscabo de las competencias de las Comunidades Autónomas recurrentes, sino de la definición de unos fines u objetivos cuyo cumplimiento encomienda el Estado a dicho órgano. La legitimación constitucional del legislador estatal para atender a dichos fines, así como para responsabilizar de su cumplimiento a la Comisión Nacional, no puede albergar duda alguna. Y ello por la sencilla razón de que los tres objetivos (transparencia en los mercados, correcta formación de los precios y protección de los inversores) sirven a la finalidad común de garantizar la unidad del mercado donde ha de insertarse el comercio de los valores.</w:t>
      </w:r>
    </w:p>
    <w:p w:rsidR="006854DA" w:rsidRDefault="006854DA" w:rsidP="006854DA">
      <w:pPr>
        <w:pStyle w:val="TextoNormal"/>
      </w:pPr>
      <w:r>
        <w:t>No dice la Ley que las Comunidades Autónomas con competencias en la materia que hayan establecido, o establezcan en el futuro, mercados de valores no puedan atender a los mismos objetivos, sino que el Estado, a través de la Comisión Nacional, velará por su cumplimiento; lo cual es algo que está dentro de su competencia para establecer ese mí</w:t>
      </w:r>
      <w:r>
        <w:lastRenderedPageBreak/>
        <w:t>nimo común normativo, necesario -como ha admitido el propio Gobierno Vasco- para la construcción del mercado único de valores, en expresión igualmente empleada en su demanda. Todo ello con mayor motivo si se piensa que uno de los objetivos -la correcta formación de los precios- desborda el ámbito estricto de la ordenación del crédito, para incidir en el más amplio de la política monetaria y financiera.</w:t>
      </w:r>
    </w:p>
    <w:p w:rsidR="006854DA" w:rsidRDefault="006854DA" w:rsidP="006854DA">
      <w:pPr>
        <w:pStyle w:val="TextoNormal"/>
      </w:pPr>
      <w:r>
        <w:t>b) El art. 15 atribuye a la Comisión Nacional una potestad reglamentaria, en virtud de la cual "podrá dictar las disposiciones que exija el desarrollo y ejecución de las normas contenidas en los Reales Decretos aprobados por el Gobierno o en las Ordenes del Ministerio de Economía y Hacienda, siempre que estas disposiciones le habiliten de modo expreso para ello". El precepto únicamente ha sido impugnado por el Parlamento de Cataluña, para quien el art.  15 vulnera, de un lado, el art. 9.20 del Estatuto de Autonomía de Cataluña, por cuanto es claro que atribuye a tal Comisión funciones ejecutivas, que corresponden exclusivamente a la Generalidad, ya que al Estado sólo puede corresponderle la determinación de las bases. De otro, el precepto impugnado vulnera, según el Parlamento Catalán, el art. 97 C.E., de acuerdo con el cual la potestad reglamentaria corresponde exclusivamente al Consejo de Ministros cuando se trata de dictar reglamentos de ejecución, sin que quepa admitir la delegación del ejercicio de esta potestad, ni tan siquiera en un Ministro, que sólo puede dictar reglamentos de organización en materias propias de su Departamento.</w:t>
      </w:r>
    </w:p>
    <w:p w:rsidR="006854DA" w:rsidRDefault="006854DA" w:rsidP="006854DA">
      <w:pPr>
        <w:pStyle w:val="TextoNormal"/>
      </w:pPr>
      <w:r>
        <w:t>Pues bien, por lo que respecta, en primer lugar, a la vulneración del art.  97 C.E., hay que decir que la interpretación que del mismo hace el Parlamento de Cataluña está muy lejos de la que este Tribunal ha hecho de este precepto constitucional.  En efecto, ya en nuestra STC 13/1988 dijimos que era rechazable el argumento según el cual la potestad reglamentaria corresponde exclusivamente al Gobierno, sin que éste pueda a su vez conferirla validamente a otros órganos diferentes, toda vez que la potestad reglamentaria del Gobierno, por ser originaria, no excluye la posibilidad de delegaciones singulares (Fundamento jurídico 4º).  Pero es más, como ha quedado dicho en nuestra STC 135/1992, "la desconcentración de la potestad reglamentaria es posible formalmente y, en muchas ocasiones, necesaria desde la perspectiva del contenido de la norma.  Efectivamente, la habilitación al Gobierno de la Nación que contiene el art. 97 C.E.  no puede entenderse con un criterio estricto, al pie de la letra, sin limitar la advocación del titular a un órgano colegiado específico, el Consejo de Ministros, sino también a éstos, que lo componen, y a instituciones como el Banco de España, asesor de aquél y ejecutor inmediato de su política monetaria y crediticia (...), que ... tiene conferida explícitamente la potestad reglamentaria en el ámbito de su actuación" (Fundamento jurídico 3º).</w:t>
      </w:r>
    </w:p>
    <w:p w:rsidR="006854DA" w:rsidRDefault="006854DA" w:rsidP="006854DA">
      <w:pPr>
        <w:pStyle w:val="TextoNormal"/>
      </w:pPr>
      <w:r>
        <w:t>La aplicación de la doctrina que acaba de exponerse al caso que nos ocupa ha de llevarnos, sin necesidad de mayores argumentos, a la conclusión de que el art. 15 de la Ley impugnada es conforme al art. 97 C.E., ya que la Comisión Nacional del Mercado de Valores es un ente de Derecho público a quien la Ley encomienda la supervisión e inspección de los mercados de valores, así como el asesoramiento al Gobierno, al Ministerio de Economía y Hacienda, y, en su caso, a los órganos equivalentes de las Comunidades Autónomas, en las materias relacionadas con los mercados de valores. Nada hay que oponer, pues, desde la perspectiva del art. 97 C.E. al hecho de que el legislador estatal haya dotado a la Comisión Nacional del Mercado de Valores de una serie de potestades, incluida la reglamentaria, para que pueda cumplir adecuadamente sus funciones.</w:t>
      </w:r>
    </w:p>
    <w:p w:rsidR="006854DA" w:rsidRDefault="006854DA" w:rsidP="006854DA">
      <w:pPr>
        <w:pStyle w:val="TextoNormal"/>
      </w:pPr>
      <w:r>
        <w:t>Tampoco puede compartirse la alegación del recurrente de que el art. 15 de la Ley supone una invasión en las competencias de la Generalidad de Cataluña (art. 9.20 E.A.C.), por el hecho de reservar al Estado competencias ejecutivas. En primer lugar hay que dis</w:t>
      </w:r>
      <w:r>
        <w:lastRenderedPageBreak/>
        <w:t>tinguir la decisión legislativa de atribuir potestad reglamentaria a la Comisión Nacional del Mercado de Valores, de un lado, de la naturaleza (ejecutiva o no) que tiene el concreto ejercicio de dicha potestad por parte del órgano administrativo a quien le ha sido atribuida. Cuando el legislador estatal dota de potestad reglamentaria a la citada Comisión, con los límites subjetivos y objetivos a los que se ha hecho referencia, no está ejerciendo, obvio es decirlo, una competencia ejecutiva, sino una función de ordenación del sector que tiene carácter básico, por la sencilla razón de que se trata de una decisión en virtud de la cual una Administración, la Comisión Nacional del Mercado de Valores, se convierte en productora de normas con el alcance y la eficacia que las normas tienen, esto es, con efectos de obligar a todos, en la materia a la que se refieren. Por lo que respecta al segundo plano que hemos distinguido, esto es, a la calificación que merece la producción de Circulares por parte de este ente o entidad de Derecho público, no pueden confundirse los términos y calificar, sin más, a unas competencias -las de elaboración de Reglamentos- como ejecutivas sólo por el hecho de que dichas Circulares se justifiquen por la necesidad de dar desarrollo y ejecución a unas normas de rango jerárquico superior que serían los Decretos del Consejo de Ministros y las Ordenes Ministeriales. Dictar este tipo de Circulares es una actividad normativa y, en consecuencia, ha de situarse en el plano de la ordenación general por parte de la Comisión Nacional del Mercado de Valores de las materias que les son propias y no en el de las competencias ejecutivas.</w:t>
      </w:r>
    </w:p>
    <w:p w:rsidR="006854DA" w:rsidRDefault="006854DA" w:rsidP="006854DA">
      <w:pPr>
        <w:pStyle w:val="TextoNormal"/>
      </w:pPr>
      <w:r>
        <w:t>Conviene recordar aquí que, como hemos declarado en numerosas Sentencias, "no cabe descartar de antemano que las bases pueden comprender regulaciones detalladas de aspectos concretos de las materias o que, incluso, pueden incluir la potestad de realizar actos de ejecución... En la ordenación de sectores económicos como el crédito, la consecución de aquellos intereses generales perseguidos por la regulación estatal de las bases del crédito, exigirá que, atendiendo a circunstancias coyunturales y a objetivos de política monetaria y financiera, el Gobierno de la Nación proceda a la concreción e incluso a la cuantificación de medidas contenidas en la regulación básica del crédito, pues al Gobierno de la Nación le corresponde tanto la dirección de la política financiera nacional y de la política económica general, como la coordinación de las mismas con las que pueda tener cada Comunidad en su ámbito respectivo" (por todas, STC 178/1992, Fundamento jurídico 2º).</w:t>
      </w:r>
    </w:p>
    <w:p w:rsidR="006854DA" w:rsidRDefault="006854DA" w:rsidP="006854DA">
      <w:pPr>
        <w:pStyle w:val="TextoNormal"/>
      </w:pPr>
      <w:r>
        <w:t>Dicho eso, sólo a la luz del contenido concreto de las Circulares que dicte la Comisión Nacional del Mercado de Valores podremos preguntarnos si están o no dentro del ejercicio legítimo de las competencias que la Constitución ha reservado al Estado en la materia. Pero en abstracto y a priori no puede decirse que la atribución de potestad reglamentaria a la citada Comisión, dentro del ámbito material que le es propio, invada por sí sola las competencias de la Comunidad Autónoma recurrente.</w:t>
      </w:r>
    </w:p>
    <w:p w:rsidR="006854DA" w:rsidRDefault="006854DA" w:rsidP="006854DA">
      <w:pPr>
        <w:pStyle w:val="TextoNormal"/>
      </w:pPr>
      <w:r>
        <w:t>c) El art. 17 -que ha sido impugnado por los tres recurrentes- regula la composición del Consejo de la Comisión Nacional del Mercado de Valores, órgano decisor que cuenta con otro asesor, el Comité Consultivo (arts. 22 y 23).  Los demandantes consideran que este precepto es inconstitucional por no prever la presencia de las Comunidades Autónomas en el órgano decisor de la Comisión Nacional del Mercado de Valores, a quien se encomiendan funciones de naturaleza ejecutiva cuyo ejercicio corresponde, en su ámbito territorial respectivo, a aquellas Comunidades Autónomas, razón por la cual han de estar presentes en la composición de tal órgano rector. En apoyo de estas alegaciones se invoca la doctrina de la STC 29/1986, según la cual, en materias sobre las que las Comunidades Autónomas tienen competencias, éstas no pueden quedar ausentes en los órganos de ejecución del Estado. También coinciden los tres demandantes en que la presencia de las Comunidades Autónomas en el Comité consultivo de la Comisión no es suficiente para colmar la nece</w:t>
      </w:r>
      <w:r>
        <w:lastRenderedPageBreak/>
        <w:t>saria participación de las mismas en dicho órgano; ello no sólo por el carácter consultivo, y no ejecutivo del Comité, sino también porque la articulación del mismo permite que el Estado pueda tener la mayoría absoluta.  Por su parte, el Abogado del Estado rechaza las alegaciones de los recurrentes, haciendo hincapié en que los mismos no han interpretado bien la doctrina de la STC 29/1986 que citan como fundamento de su pretensión.</w:t>
      </w:r>
    </w:p>
    <w:p w:rsidR="006854DA" w:rsidRDefault="006854DA" w:rsidP="006854DA">
      <w:pPr>
        <w:pStyle w:val="TextoNormal"/>
      </w:pPr>
      <w:r>
        <w:t>Y en efecto, hay que convenir con el Abogado del Estado que la doctrina de la STC 29/1986, confirmada, entre otras, por las SSTC 199/1989 y 177/1990, no resulta aplicable al presente caso porque, si bien es cierto que en aquel supuesto declaramos que las Comunidades Autónomas con competencias para la ejecución de los planes de reconversión industrial y los relativos a las zonas de urgente reindustrialización (Z.U.R.)  no podían quedar ausentes de los órganos de ejecución del Estado, no lo es menos que se trataba de un caso de "concurrencia competencial a ejercer en régimen de responsabilidad común" o lo que es igual, de "una tarea común o responsabilidad común del Estado y las Comunidades Autónomas". Aun así, declaramos entonces que "ni la Constitución ni los Estatutos imponen criterios ciertos para determinar cuántas y cuáles Comunidades Autónomas deben estar representadas en tales órganos; y menos aún, en qué órganos y de qué manera" (STC 29/1986, Fundamento jurídico 5º).</w:t>
      </w:r>
    </w:p>
    <w:p w:rsidR="006854DA" w:rsidRDefault="006854DA" w:rsidP="006854DA">
      <w:pPr>
        <w:pStyle w:val="TextoNormal"/>
      </w:pPr>
      <w:r>
        <w:t>En el presente caso no estamos ante una tarea a realizar conjuntamente por el Estado y las Comunidades Autónomas, sino ante el ejercicio de una competencia exclusiva del Estado derivada del título "bases de la ordenación del crédito" que, a su vez, debe ser enmarcada, como si de dos círculos concéntricos se tratara, en los principios básicos de la denominada "Constitución económica" y, especialmente, en la exigencia de la unidad del orden económico en todo el ámbito del Estado (STC 96/1984, Fundamento jurídico 3º).</w:t>
      </w:r>
    </w:p>
    <w:p w:rsidR="006854DA" w:rsidRDefault="006854DA" w:rsidP="006854DA">
      <w:pPr>
        <w:pStyle w:val="TextoNormal"/>
      </w:pPr>
      <w:r>
        <w:t>Una de las manifestaciones de la unidad del orden económico es el principio de unidad de mercado, incluido el mercado de valores, reconocido implícitamente -como también dijimos en la Sentencia que acaba de citarse- por el art. 139.2 C.E. Pues bien, la construcción de un mercado de valores regido por el principio de unidad, esto es, de un "mercado único", en la expresión empleada por uno de los recurrentes (Gobierno Vasco), exige un mínimo normativo, presupuesto necesario para que el reparto de competencias entre el Estado y las distintas Comunidades Autónomas en materias económicas no conduzca a resultados disfuncionales o disgregadores (STC 1/1982, Fundamento jurídico 1º).  Este planteamiento, aceptado explícitamente por el Gobierno Vasco, ha de llevarnos a concluir que el Estado -que es a quien corresponde garantizar la unidad del mercado de valores- es competente para crear un Ente público y para encomendarle el ejercicio de las facultades que sean necesarias para preservar dicha unidad (velar por la transparencia de los mercados, la correcta formación de los precios en ellos y la protección de los inversores). Por las mismas razones, es igualmente competente para dotar a ese Ente público de la organización que estime más conveniente para atender a dicho cometido, sin perjuicio de que, habida cuenta de su transcendencia y de la intercomunicabilidad del mercado primario de valores, hubiera sido igualmente legítimo constitucionalmente dar entrada a las Comunidades Autónomas con competencias en el mercado secundario para la composición de dicho Consejo.  Así pues, el art. 17 no resulta contrario al orden constitucional de competencias.</w:t>
      </w:r>
    </w:p>
    <w:p w:rsidR="006854DA" w:rsidRDefault="006854DA" w:rsidP="006854DA">
      <w:pPr>
        <w:pStyle w:val="TextoNormal"/>
      </w:pPr>
      <w:r>
        <w:t>d) Los arts. 19 y 20 de la Ley regulan la duración del mandato del Presidente, el Vicepresidente y los Consejeros electos del Consejo de la Comisión Nacional del Mercado de Valores (art. 19), así como las causas de cese en estos cargos (art. 20).</w:t>
      </w:r>
    </w:p>
    <w:p w:rsidR="006854DA" w:rsidRDefault="006854DA" w:rsidP="006854DA">
      <w:pPr>
        <w:pStyle w:val="TextoNormal"/>
      </w:pPr>
      <w:r>
        <w:t xml:space="preserve">El Parlamento de Cataluña, único que ha impugnado el art. 19, considera que el precepto es inconstitucional por conexión con el art. 17 y, por lo tanto, por el hecho de que la </w:t>
      </w:r>
      <w:r>
        <w:lastRenderedPageBreak/>
        <w:t>Comunidad Autónoma no tenga ni un solo representante en el Consejo de la Comisión. Respecto del art. 20, el Parlamento de Cataluña reitera la misma alegación y el Consejo Ejecutivo, por su parte, añade que su inconstitucionalidad -predicada en términos generales de los arts. 17 a 20- deriva del hecho de no prever la presencia en el Comité de representantes de las Comunidades Autónomas y atribuir únicamente su nombramiento y cese al Gobierno.</w:t>
      </w:r>
    </w:p>
    <w:p w:rsidR="006854DA" w:rsidRDefault="006854DA" w:rsidP="006854DA">
      <w:pPr>
        <w:pStyle w:val="TextoNormal"/>
      </w:pPr>
      <w:r>
        <w:t>Aparte del hecho de que tanto la composición del Consejo, como el nombramiento de sus miembros no están regulados en los arts. 19 y 20, sino en el 17, es manifiesto que, por las mismas razones que se han invocado respecto de este precepto, los arts. 19 y 20 de la Ley no invaden competencia alguna de las Comunidades Autónomas, desde el momento en que siendo la Comisión Nacional del Mercado de Valores un Ente Público estatal en la terminología coetánea a su promulgación (art. 14 de su Ley) o un "Organismo público" en la actual (Ley 6/1997, de Organización y Funcionamiento de la Administración General del Estado, que ha derogado el art. 6.5 del Texto Refundido de la Ley General Presupuestaria), es al Estado a quien corresponde, en la expresión más elemental de su competencia de autoorganización, determinar que órganos designan a los miembros del Consejo, así como los aspectos relativos a la duración de su mandato y a las causas y consecuencias del cese en sus respectivos cargos. Por tanto, los arts.  19 y 20 de la Ley son respetuosos con el orden de distribución de competencias en esta materia.</w:t>
      </w:r>
    </w:p>
    <w:p w:rsidR="006854DA" w:rsidRDefault="006854DA" w:rsidP="006854DA">
      <w:pPr>
        <w:pStyle w:val="TextoNormal"/>
      </w:pPr>
    </w:p>
    <w:p w:rsidR="006854DA" w:rsidRDefault="006854DA" w:rsidP="006854DA">
      <w:pPr>
        <w:pStyle w:val="TextoNormal"/>
      </w:pPr>
      <w:r w:rsidRPr="006854DA">
        <w:rPr>
          <w:rStyle w:val="NumeroAFNegritaCaracter"/>
        </w:rPr>
        <w:t>8</w:t>
      </w:r>
      <w:r>
        <w:t>. En relación con el mercado primario de valores, concepto que sirve de rótulo al Título III de la Ley, el Gobierno Vasco ha impugnado los arts. 26, 27 y 28, mientras que el Parlamento de Cataluña reduce su discrepancia al párrafo cuarto del último y el Consejo Ejecutivo de la Generalidad no le encuentra tacha alguna. Dada la íntima conexión de todos ellos con el art. 92, la respuesta que demos a la impugnación de aquéllos ha de alcanzar también a éste.</w:t>
      </w:r>
    </w:p>
    <w:p w:rsidR="006854DA" w:rsidRDefault="006854DA" w:rsidP="006854DA">
      <w:pPr>
        <w:pStyle w:val="TextoNormal"/>
      </w:pPr>
      <w:r>
        <w:t>El Gobierno Vasco considera que los arts. 26, 27 y 28 presuponen la exclusiva competencia de la Comisión Nacional del Mercado de Valores para la llevanza de los Registros a que alude el art. 92 de la Ley, siendo ésta una competencia de la Comunidad Autónoma (art. 10.29 E.A.P.V.)  por tratarse de una actividad de mera ejecución. Podría exigirse, argumenta la representación del Gobierno Vasco, la máxima coordinación entre los Registros de los distintos ámbitos territoriales, pero no sustraer a la Comunidad Autónoma esta competencia sobre meros actos de ejecución. Por tanto, las referencias a la Comisión Nacional del Mercado de Valores deberían entenderse hechas al órgano que ejerza tales funciones en la Comunidad Autónoma del País Vasco.  Dicho esto, queda de manifiesto que, a pesar de la impugnación global y aparentemente íntegra del contenido de esos tres preceptos, el Gobierno Vasco sólo cuestiona la constitucionalidad de la llevanza por la Comisión Nacional de los Registros aludidos en el art. 92, en relación con las actuaciones previas reguladas por los arts. 26, 27 y 28. A esa, pues, y sólo a esa cuestión debemos dar respuesta en nuestra STC. Por su parte, el Parlamento de Cataluña, que sólo ha impugnado el párrafo cuarto del art.  28 (verificación por la Comisión Nacional del Mercado de Valores del cumplimiento de los requisitos del folleto informativo y Registro del mismo), lo considera inconstitucional por entender que este Tribunal ya ha establecido claramente que la autorización del folleto es un acto de ejecución que corresponde a la Comunidad Autónoma.</w:t>
      </w:r>
    </w:p>
    <w:p w:rsidR="006854DA" w:rsidRDefault="006854DA" w:rsidP="006854DA">
      <w:pPr>
        <w:pStyle w:val="TextoNormal"/>
      </w:pPr>
      <w:r>
        <w:t>El Abogado del Estado rechaza las alegaciones de uno y otro recurrente argumentando que la doctrina de la STC 96/1984, relativa a la competencia para la autorización del folleto de emisión, no resulta aplicable al caso, porque la Ley del Mercado de Valores ha su</w:t>
      </w:r>
      <w:r>
        <w:lastRenderedPageBreak/>
        <w:t>primido la autorización administrativa de la emisión de valores y la ha sustituido por un mecanismo de verificación-inscripción en los Registros. Esa actividad, según añade, tiene carácter ejecutivo, pero constituye un instrumento al servicio de una finalidad que no se puede considerar inconstitucional: la de obtener la máxima difusión de información. Ello, además, no impide que las Comunidades Autónomas puedan crear instrumentos auxiliares para dar aún mayor publicidad a las emisiones de valores que tengan lugar en su territorio, pero sin impedir que la Comisión Nacional del Mercado de Valores pueda contar con sus propios instrumentos de publicidad.</w:t>
      </w:r>
    </w:p>
    <w:p w:rsidR="006854DA" w:rsidRDefault="006854DA" w:rsidP="006854DA">
      <w:pPr>
        <w:pStyle w:val="TextoNormal"/>
      </w:pPr>
      <w:r>
        <w:t>Expuestas, de esta forma sucinta, las posiciones que mantienen las partes en torno a los arts.  26, 27 y 28 de la Ley, dos son las preguntas a contestar, ciñéndonos a los términos en que han sido planteadas por el Gobierno del País Vasco y por el Parlamento de Cataluña: la de si la llevanza de los Registros del art. 92 por la Comisión Nacional del Mercado de Valores invade las competencias autonómicas y la de si el Registro del folleto de emisión de valores vulnera la competencia para autorizar el folleto que, como reconocimos en nuestra STC 96/1984, corresponde a las Comunidades Autónomas</w:t>
      </w:r>
    </w:p>
    <w:p w:rsidR="006854DA" w:rsidRDefault="006854DA" w:rsidP="006854DA">
      <w:pPr>
        <w:pStyle w:val="TextoNormal"/>
      </w:pPr>
      <w:r>
        <w:t>a) De acuerdo con los arts. 26, 27 y 28, y con el art. 92 con el que estos preceptos están estrechamente conectados -a cuya impugnación damos también respuesta ahora-, la Comisión mantendrá, con el carácter de Registros oficiales, y con relación al Mercado Primario de Valores, los siguientes Registros: el Registro de comunicación de proyectos de emisión [art. 26 a) y 92 b)]; el Registro del acuerdo de emisión, las características de los valores emitidos y los derechos y obligaciones de sus tenedores [arts. 26 b) y 92 b)]; el Registro de las auditorías de cuentas de los estados financieros del emisor [arts. 26 c) y 92 c)] y el Registro de los folletos informativos aprobados por la comisión [arts. 26 b) y 92 b)].</w:t>
      </w:r>
    </w:p>
    <w:p w:rsidR="006854DA" w:rsidRDefault="006854DA" w:rsidP="006854DA">
      <w:pPr>
        <w:pStyle w:val="TextoNormal"/>
      </w:pPr>
      <w:r>
        <w:t>El carácter público de estos Registros, puesto de manifiesto en el principio de libre acceso a los mismos que consagra el art. 92, junto con la función de difusión de la información que cumplen, son elementos inseparables del nuevo régimen jurídico implantado por la Ley del Mercado de Valores, que ha venido a sustituir la autorización administrativa de la emisión de valores por la verificación-Registro del cumplimiento de los requisitos a que ahora se sujeta esta actividad económica. Por esa razón, la respuesta a las dos cuestiones planteadas por el Gobierno Vasco y por el Parlamento de Cataluña en relación con estos preceptos ha de ser unitaria.</w:t>
      </w:r>
    </w:p>
    <w:p w:rsidR="006854DA" w:rsidRDefault="006854DA" w:rsidP="006854DA">
      <w:pPr>
        <w:pStyle w:val="TextoNormal"/>
      </w:pPr>
      <w:r>
        <w:t>Como ya ha quedado dicho, la atribución a un Ente público de las funciones que el art. 13 de la Ley encomienda a la Comisión Nacional del Mercado de Valores (velar por la transparencia de los Mercados de Valores, la correcta formación de los precios en los mismos y la protección de los inversores) forma parte del ejercicio legítimo de las competencias del Estado, por cuanto constituye un presupuesto necesario para garantizar el principio de unidad del mercado de valores que es, como también hemos dicho, una manifestación del principio de la unidad del orden económico (STC 96/1984, Fundamento jurídico 3º). La llevanza de los Registros enumerados en el art. 92 de la Ley por la Comisión Nacional del Mercado de Valores responde a la necesidad de poner en conocimiento de los inversores todos los elementos necesarios para que éstos puedan tomar la decisión de invertir en los mercados de valores conociendo la entidad del emisor, sus estados financieros, así como todas las características de los valores que se emiten; extremos todos ellos que influyen en la rentabilidad de la operación realizada por los ahorradores.</w:t>
      </w:r>
    </w:p>
    <w:p w:rsidR="006854DA" w:rsidRDefault="006854DA" w:rsidP="006854DA">
      <w:pPr>
        <w:pStyle w:val="TextoNormal"/>
      </w:pPr>
      <w:r>
        <w:t>La concentración en el órgano rector de los mercados de valores de la llevanza de estos Registros es una garantía de la igualdad en el acceso de los inversores a unos mercados en los que, por la desmaterialización de los bienes que son objeto de los mismos y por la in</w:t>
      </w:r>
      <w:r>
        <w:lastRenderedPageBreak/>
        <w:t>terconexión con los mercados internacionales, la información resulta ser el elemento de mayor trascendencia a la hora de realizar las correspondientes operaciones.</w:t>
      </w:r>
    </w:p>
    <w:p w:rsidR="006854DA" w:rsidRDefault="006854DA" w:rsidP="006854DA">
      <w:pPr>
        <w:pStyle w:val="TextoNormal"/>
      </w:pPr>
      <w:r>
        <w:t>Por otro lado, debe señalarse que la existencia de estos Registros en manos de la Comisión Nacional del Mercado de Valores resulta inseparable de la exigencia, por parte de la Ley, del cumplimiento de una serie de requisitos a los que se sujeta la emisión de valores. Y es que, como ha quedado dicho, la emisión de valores ya no requiere autorización administrativa previa y, en su lugar, se exigen una serie de requisitos cuya verificación y posterior inscripción se encomienda a la Comisión Nacional (art.  25 L.M.V.).</w:t>
      </w:r>
    </w:p>
    <w:p w:rsidR="006854DA" w:rsidRDefault="006854DA" w:rsidP="006854DA">
      <w:pPr>
        <w:pStyle w:val="TextoNormal"/>
      </w:pPr>
      <w:r>
        <w:t>Pues bien, la determinación de los requisitos que deben acompañar a una emisión de obligaciones (comunicación del proyecto de emisión; aportación de los documentos que acrediten el acuerdo de emisión, las características de los valores emitidos y los derechos y obligaciones de sus tenedores; Registro de una auditoría de cuentas de los estados financieros del emisor y presentación y Registro del folleto informativo sobre la emisión proyectada) es una decisión básica que corresponde adoptar al Estado por cuanto que con ello se pretende preservar la unidad del mercado de capitales. Para alcanzar los objetivos inherentes al principio de unidad del mercado es necesario, en efecto, que las condiciones de emisión de valores sean homogéneas, pues en caso contrario se pondría en riesgo la igualdad y la seguridad de los inversores en todo el territorio nacional.</w:t>
      </w:r>
    </w:p>
    <w:p w:rsidR="006854DA" w:rsidRDefault="006854DA" w:rsidP="006854DA">
      <w:pPr>
        <w:pStyle w:val="TextoNormal"/>
      </w:pPr>
      <w:r>
        <w:t>Una vez sentado que fijar esos requisitos es competencia del Estado, es fácil concluir que los Registros cuya llevanza se encomienda a la tan citada Comisión no son más que un instrumento del que el Estado puede dotarse legítimamente para el ejercicio eficaz de dicha competencia. En efecto, y en aplicación de la doctrina de nuestra STC 157/1985, reiterada luego en otras tres, las SSTC 243/1994, 102/1995 y 197/1996, hay que decir que la inscripción registral está al servicio del correcto y eficaz cumplimiento de los fines a que sirve la Comisión Nacional del Mercado de Valores y se presenta, así, como el ejercicio de una facultad estrictamente auxiliar o instrumental respecto de la competencia estatal de garantizar la unidad del mercado de capitales, a través de la difusión de la información necesaria para asegurar, en términos de igualdad, la protección de los inversores en todo el territorio nacional.  Esta es nuestra doctrina, cuya más reciente expresión es la STC 197/1996 (Fundamentos jurídicos 12 y 13)</w:t>
      </w:r>
    </w:p>
    <w:p w:rsidR="006854DA" w:rsidRDefault="006854DA" w:rsidP="006854DA">
      <w:pPr>
        <w:pStyle w:val="TextoNormal"/>
      </w:pPr>
      <w:r>
        <w:t>b) Por último, el alegato del Parlamento de Cataluña en el sentido de que atribuir a la Comisión Nacional del Mercado de Valores de la facultad de verificar y registar el folleto informativo invade la competencia autonómica de autorización de dicho folleto (STC 96/1984) debe rechazarse por otras razones. Ante todo ha de recordarse que las bases, por su propia esencia, tienen vocación de estabilidad, pero en ningún caso son inamovibles ni puede predicarse de ellas la petrificación, incompatible no sólo con el talante evolutivo del Derecho, sino con el propio dinamismo del sector de la economía en el cual se insertan (STC 135/1992, Fundamento jurídico 2º), lo que resulta especialmente significativo en el presente caso. En el régimen jurídico actual se ha suprimido la exigencia de la autorización administrativa previa para la emisión de valores, que fue introducida por el Real Decreto 1.851/1978, de 10 de julio. En su lugar, se ha vuelto al principio de libertad de emisión, exigiéndose -en consonancia con la Directiva del Consejo 89/298, de 17 de abril- la difusión del folleto informativo con unos contenidos mínimos para conocimiento de los posibles inversores. Por ello, el folleto adquiere un peso específico mayor; su sentido, alcance y función no es hoy el mismo que cuando por el Pleno de este Tribunal se dictó la STC 96/1984. Esta última Sentencia no puede ser considerada haciendo abstracción del contexto en el que fue dictada, como en la misma se viene a reconocer explícitamente (Fundamento jurídico 6º), habida cuenta de "la situación legislativa" al tiempo de su pro</w:t>
      </w:r>
      <w:r>
        <w:lastRenderedPageBreak/>
        <w:t>nunciamiento "no habiéndose dictado su regulación por normas del Estado posconstitucionales". Hoy, sin embargo, la situación es bien distinta; existe una normativa estatal -cuya cabecera es la Ley impugnada- que ha operado una radical transformación en la organización y funcionamiento de los mercados de valores y, entre ellos, del primario, dentro de un contexto internacional de globalización de los mercados que no se compadece con la división o atomización del mercado de valores nacional, y en el cual el folleto informativo y su verificación por la Comisión Nacional cumplen un papel capital para la garantía de los inversores y la transparencia del mercado. Por tanto, no puede la Comunidad Autónoma seguir reivindicando la competencia de autorización del folleto con fundamento en lo dicho en tal Sentencia (Fundamento jurídico 6º), pues siendo cierto que este Tribunal reconoció en ella la titularidad autonómica sobre aquella autorización, no lo es menos que el legislador estatal, en una decisión que participa, sin duda, de la naturaleza de básica, ha suprimido la autorización administrativa  previa, dando por ello mayor realce al folleto informativo.  Por otra parte, ello se encuadra en el marco del mercado primario de valores, como concepto muy distinto del "secundario", materializado en las Bolsas como su manifestación más representativa (art. 31 L.M.V.).</w:t>
      </w:r>
    </w:p>
    <w:p w:rsidR="006854DA" w:rsidRDefault="006854DA" w:rsidP="006854DA">
      <w:pPr>
        <w:pStyle w:val="TextoNormal"/>
      </w:pPr>
      <w:r>
        <w:t>Lo que habrá que preguntarse, por tanto, y esto es lo que en el fondo está planteando realmente el Parlamento de Cataluña, es si el acto de verificación a que se refiere el párrafo 4º del art. 28 invade las competencias de la Comunidad Autónoma.  La respuesta ha de ser necesariamente negativa, por cuanto, como ya ha quedado dicho, mediante las exigencias que el art. 26 de la Ley impone a las emisiones de valores se trata de establecer un sistema de información que garantice la transparencia en el mercado de valores, dentro de una política económica tendente a liberalizar nuestro sistema financiero, potenciando el funcionamiento de los mecanismos de mercado dentro del mismo.  Estas normas tienen, pues, carácter básico, y si bien es cierto que la verificación del cumplimiento de las mismas es un acto de ejecución, no lo es menos que ello no puede impedir que el Estado, a través de la Comisión Nacional del Mercado de Valores, sea quien haya de asumir esa competencia de verificación como condición cronológicamente previa y necesaria a la posterior inscripción en los respectivos Registros de una información, mínima y homogénea, que resulta indispensable para garantizar, en términos de igualdad, la protección de los inversores. La verificación es, pues, un acto de ejecución encuadrable dentro de la competencia estatal sobre las bases de la ordenación del crédito (en sentido análogo STC 155/1996, Fundamento jurídico 7º).</w:t>
      </w:r>
    </w:p>
    <w:p w:rsidR="006854DA" w:rsidRDefault="006854DA" w:rsidP="006854DA">
      <w:pPr>
        <w:pStyle w:val="TextoNormal"/>
      </w:pPr>
      <w:r>
        <w:t>Hay que concluir, por lo dicho, que los arts. 26, 27, 28 y 92 de la Ley del Mercado de Valores respetan el orden constitucional de competencias.</w:t>
      </w:r>
    </w:p>
    <w:p w:rsidR="006854DA" w:rsidRDefault="006854DA" w:rsidP="006854DA">
      <w:pPr>
        <w:pStyle w:val="TextoNormal"/>
      </w:pPr>
    </w:p>
    <w:p w:rsidR="006854DA" w:rsidRDefault="006854DA" w:rsidP="006854DA">
      <w:pPr>
        <w:pStyle w:val="TextoNormal"/>
      </w:pPr>
      <w:r w:rsidRPr="006854DA">
        <w:rPr>
          <w:rStyle w:val="NumeroAFNegritaCaracter"/>
        </w:rPr>
        <w:t>9</w:t>
      </w:r>
      <w:r>
        <w:t>. Los mercados secundarios oficiales de valores se regulan en el Título IV de la Ley y en este ámbito se mueven su Capítulo Primero, Disposiciones generales (arts. 31, 32, 33, 34, 35, 36, 40, párrafo 2º, y 42), el Segundo, Bolsas de Valores (arts.  45, 46, 47, 48, 49, 50, 51, 52, 53, párrafo 1º, y 54), y el Cuarto, otros mercados secundarios (art. 59), preceptos los acotados que han sido objeto de impugnación.</w:t>
      </w:r>
    </w:p>
    <w:p w:rsidR="006854DA" w:rsidRDefault="006854DA" w:rsidP="006854DA">
      <w:pPr>
        <w:pStyle w:val="TextoNormal"/>
      </w:pPr>
      <w:r>
        <w:t xml:space="preserve">Antes de abordar el examen de cada una de dichas disposiciones conviene recordar que, como ha quedado dicho supra (Fundamento jurídico 5º), las competencias exclusivas de las Comunidades Autónomas sobre la materia atañen al establecimiento y regulación de Bolsas de Comercio y demás centros de contratación de valores, esto es, recaen sobre un ámbito concreto de negociabilidad de valores en el mercado secundario, sin perjuicio, claro está, del desarrollo legislativo y la ejecución de las bases que el Estado adopte en la ordenación del crédito y en la planificación general de la actividad económica.  Tampoco </w:t>
      </w:r>
      <w:r>
        <w:lastRenderedPageBreak/>
        <w:t>puede quedar en el olvido el talante polisémico del vocablo "mercado", que, junto a un concepto genérico, abstracto y funcional, presenta una dimensión concreta, física y espacial, como "centro de contratación". Pues bien, las funciones de la Comisión Nacional del Mercado de Valores operan en el mercado entendido en la primera de las dos acepciones.</w:t>
      </w:r>
    </w:p>
    <w:p w:rsidR="006854DA" w:rsidRDefault="006854DA" w:rsidP="006854DA">
      <w:pPr>
        <w:pStyle w:val="TextoNormal"/>
      </w:pPr>
      <w:r>
        <w:t>A. Disposiciones generales: arts. 31, 32, 33, 34, 35, 36, 40.2 y 42.</w:t>
      </w:r>
    </w:p>
    <w:p w:rsidR="006854DA" w:rsidRDefault="006854DA" w:rsidP="006854DA">
      <w:pPr>
        <w:pStyle w:val="TextoNormal"/>
      </w:pPr>
      <w:r>
        <w:t>a) Del art. 31, impugnado por el Gobierno Vasco y por el Consejo Ejecutivo Catalán, es problemático tan sólo su apartado c), con una evidente conexión con el art. 59, también puesto en tela de juicio. Allí se dice que, además de las Bolsas de Valores y del Mercado de la Deuda Pública tendrán también la misma consideración "aquellos otros, de ámbito estatal y referentes a valores representados mediante anotaciones en cuenta, que se creen en virtud de lo previsto en el art. 59", donde, por su parte, se faculta al Gobierno para regular la organización y el funcionamiento de ellos con arreglo a los mismos principios establecidos en la Ley para los otros dos</w:t>
      </w:r>
    </w:p>
    <w:p w:rsidR="006854DA" w:rsidRDefault="006854DA" w:rsidP="006854DA">
      <w:pPr>
        <w:pStyle w:val="TextoNormal"/>
      </w:pPr>
      <w:r>
        <w:t>Según el Gobierno Vasco y la Generalidad de Cataluña ambos preceptos infringen los arts.  10.29 y 9.20 de los respectivos Estatutos de Autonomía, que atribuyen a esas Comunidades Autónomas la competencia exclusiva para el establecimiento y la ordenación o regulación de centros de contratación de valores, por cuanto impiden que las Comunidades Autónomas puedan crear otros mercados secundarios que no sean los allí previstos, a lo cual se añade que resulta totalmente ficticia la posibilidad de que puedan subsistir mercados de valores de ámbito local o autonómico, pues cualquier empresa optaría sin duda por ofrecer sus valores en los mercados estatales o internacionales, donde los superiores volúmenes de demanda garantizan en mejor medida la cobertura.</w:t>
      </w:r>
    </w:p>
    <w:p w:rsidR="006854DA" w:rsidRDefault="006854DA" w:rsidP="006854DA">
      <w:pPr>
        <w:pStyle w:val="TextoNormal"/>
      </w:pPr>
      <w:r>
        <w:t>El Abogado del Estado se opone a la pretensión de los recurrentes argumentando que su razonamiento es palmariamente erróneo, al confundir la organización de nuevos mercados secundarios oficiales de valores representados mediante anotaciones en cuenta con el establecimiento de centros de contratación.  Organizar nuevos mercados oficiales de valores representados por anotaciones en cuenta es una decisión que entraña la creación, con carácter oficial, de un nuevo tipo de valores "desmaterializados", es decir, de un nuevo tipo de cosa u objeto de tráfico mercantil, lo que significa que la competencia para hacerlo se sitúa en el ámbito de la legislación mercantil. Organizado que sea un mercado secundario oficial de valores, es decir, una vez creado y ordenado por el Estado, las Comunidades Autónomas competentes podrán establecer, dentro de su territorio, centros de contratación de los valores que se negocien en los nuevos mercados.</w:t>
      </w:r>
    </w:p>
    <w:p w:rsidR="006854DA" w:rsidRDefault="006854DA" w:rsidP="006854DA">
      <w:pPr>
        <w:pStyle w:val="TextoNormal"/>
      </w:pPr>
      <w:r>
        <w:t>En efecto, como sostiene el Abogado del Estado, una cosa es regular los mercados de valores, creando el primario y los secundarios, y estableciendo dentro de estos últimos los diferentes tipos de mercados oficiales y mercados no oficiales, y otra muy diferente es decidir sobre el establecimiento, en el territorio correspondiente, de esos mercados concretos. En virtud de los títulos competenciales que se derivan de los apartados 6, 11 y 13 del art.  149.1 C.E., corresponde al Estado configurar los tipos de mercados oficiales, y no oficiales, en los que haya de tener lugar la negociación de los valores, según su diversa naturaleza, correspondiéndole asimismo determinar las condiciones generales de los contratos propios de estos mercados.  Ahora bien, una vez establecido el marco legal de dichos mercados -elemento esencial del cual lo constituye, sin duda alguna, la creación misma del tipo de mercado de que se trate-, es de la competencia exclusiva de la Comunidad Autónoma instaurar en su respectivo territorio los distintos mercados (Bolsas, mercado de deuda pública, mercados de futuros y opciones, etc.)  y proceder a su regulación dentro del marco de las bases establecidas por el Estado.</w:t>
      </w:r>
    </w:p>
    <w:p w:rsidR="006854DA" w:rsidRDefault="006854DA" w:rsidP="006854DA">
      <w:pPr>
        <w:pStyle w:val="TextoNormal"/>
      </w:pPr>
      <w:r>
        <w:lastRenderedPageBreak/>
        <w:t>De acuerdo con lo dicho, los arts. 31 c) y 59 de la Ley invadirían las competencias autonómicas si se entendiera que impiden a las Comunidades Autónomas recurrentes establecer y ordenar otro tipo de mercado que no sean las Bolsas de Valores, ya que las Comunidades Autónomas han asumido la competencia exclusiva para el establecimiento y regulación no sólo de las Bolsas, sino de los centros de contratación de valores. La denominación "centros de contratación de valores" engloba, como ha quedado dicho, la diversidad de tipos de mercados que, con independencia de su materialización o no en espacios físicos concretos, puedan existir en el sistema financiero. De acuerdo con ello, la competencia exclusiva de las Comunidades Autónomas no puede quedar limitada al establecimiento y regulación de las Bolsas de Valores y, en consecuencia, debe entenderse que los arts. 31 c) y 59 se refieren sólo y exclusivamente a los mercados secundarios oficiales de ámbito estatal, cuya creación, establecimiento y regulación corresponde al Gobierno por disposición expresa de la Ley, pero no afectan a los mercados de ámbito autonómico.</w:t>
      </w:r>
    </w:p>
    <w:p w:rsidR="006854DA" w:rsidRDefault="006854DA" w:rsidP="006854DA">
      <w:pPr>
        <w:pStyle w:val="TextoNormal"/>
      </w:pPr>
      <w:r>
        <w:t>En apoyo de esta interpretación debe decirse que, en el ejercicio de la facultad que le atribuye el art. 59 de la Ley, el Gobierno ha regulado los denominados mercados oficiales de futuros y opciones en el Real Decreto 1.814/1991, respecto del cual ninguna de las Comunidades Autónomas recurrentes ha planteado conflicto de competencias.  El citado Real Decreto ciñe su ámbito de aplicación a la creación, organización y funcionamiento de los mercados oficiales de futuros financieros y de opciones financieras de ámbito estatal (art. 1), y ello deja abierta la posibilidad de que las Comunidades Autónomas establezcan y regulen, en sus respectivos ámbitos, ese tipo de mercados, siempre que dicha regulación se ajuste a los principios establecidos en la Ley para las Bolsas de Valores y el Mercado de Deuda Pública en anotaciones en cuenta, por cuanto dichos principios constituyen el marco normativo común de los mercados secundarios oficiales de valores.</w:t>
      </w:r>
    </w:p>
    <w:p w:rsidR="006854DA" w:rsidRDefault="006854DA" w:rsidP="006854DA">
      <w:pPr>
        <w:pStyle w:val="TextoNormal"/>
      </w:pPr>
      <w:r>
        <w:t>Así interpretados, los preceptos impugnados por el Gobierno Vasco y el Consejo Ejecutivo de Cataluña [arts. 31 c) y 59] son conformes con la distribución competencial que rige en la materia.</w:t>
      </w:r>
    </w:p>
    <w:p w:rsidR="006854DA" w:rsidRDefault="006854DA" w:rsidP="006854DA">
      <w:pPr>
        <w:pStyle w:val="TextoNormal"/>
      </w:pPr>
      <w:r>
        <w:t>b) Del art. 32 sólo se impugna el párrafo primero. Así se dice en las demandas del Parlamento y del Consejo Ejecutivo de Cataluña y así se deduce con suficiente claridad de la demanda del Gobierno Vasco. El reproche sustancial que en las tres se le hace es que la verificación del cumplimiento de los requisitos para la admisión de valores a negociación es un acto de naturaleza ejecutiva que deben realizar las Comunidades Autónomas con competencia en la materia, sin que la construcción de un mercado único de valores pueda justificar -porque no lo exige- su centralización en la Comisión Nacional del Mercado de Valores. La garantía de la creación de un mercado único es plenamente compatible con que la verificación del cumplimiento de los requisitos se haga, con eficacia para todas las Bolsas de Valores, por la Comunidad Autónoma respecto de los valores que se negocian en los mercados radicados en su territorio.</w:t>
      </w:r>
    </w:p>
    <w:p w:rsidR="006854DA" w:rsidRDefault="006854DA" w:rsidP="006854DA">
      <w:pPr>
        <w:pStyle w:val="TextoNormal"/>
      </w:pPr>
      <w:r>
        <w:t>El Abogado del Estado rechaza las alegaciones de los recurrentes y defiende la constitucionalidad del precepto impugnado argumentando que la admisión a negociación ha sido configurada como un procedimiento complejo que incluye la verificación de la Comisión Nacional del Mercado de Valores y el posterior acuerdo de admisión del organismo rector de cada mercado. La intervención de la Comisión Nacional del Mercado de Valores en el procedimiento atiende a la finalidad de lograr la publicidad de las admisiones a negociación y por ello no puede reputarse que el art. 32.1 sea lesivo de competencia autonómica alguna, por cuanto nada impide a las Comunidades Autónomas crear medios adicionales de publicidad de la admisión de valores a negociación en las Bolsas ubicadas en su territorio.</w:t>
      </w:r>
    </w:p>
    <w:p w:rsidR="006854DA" w:rsidRDefault="006854DA" w:rsidP="006854DA">
      <w:pPr>
        <w:pStyle w:val="TextoNormal"/>
      </w:pPr>
      <w:r>
        <w:lastRenderedPageBreak/>
        <w:t>En efecto así es. El art. 32, párrafo 1º, no vulnera las competencias de las Comunidades Autónomas recurrentes por atribuir a la Comisión Nacional del Mercado de Valores la facultad de verificar el cumplimiento de los requisitos exigidos para la admisión de valores a negociación. La naturaleza ejecutiva del acto de verificación no es suficiente para determinar, por sí sola, la competencia autonómica para llevar a cabo dicha actividad. En primer lugar, porque es doctrina reiterada de este Tribunal Constitucional que, aun cuando en principio la aplicación de la norma a cada supuesto de hecho individualizado parezca quedar extramuros de la ordenación básica de una materia, es posible que queden comprendidos en el ámbito de lo básico meros actos de ejecución, esto es, actos administrativos singulares, en cuanto resulten necesarios para la preservación de lo básico o para garantizar, con carácter complementario, la consecución de los fines inherentes a la regulación básica. Esta posibilidad tiene su fundamento en las exigencias de la unidad del sistema económico financiero, para cuya preservación no bastan los denominadores comunes de naturaleza normativa. En definitiva, las competencias para el desarrollo legislativo o la ejecución de las Comunidades Autónomas quedan vinculadas a una política monetaria y crediticia que no es solamente susceptible de ser establecida por vía normativa (por todas, STC 135/1992, Fundamento jurídico 5º). Es posible, e incluso necesaria, y así lo hemos reconocido (SSTC 1/1982, Fundamento jurídico 1º; 96/1984, Fundamento jurídico 7º; 178/1992, Fundamento jurídico 2º; y 155/1996, Fundamento jurídico 7º), la existencia de actuaciones de ejecución en el ámbito de ordenación del crédito y de la política monetaria y financiera que tengan la consideración de básicas.</w:t>
      </w:r>
    </w:p>
    <w:p w:rsidR="006854DA" w:rsidRDefault="006854DA" w:rsidP="006854DA">
      <w:pPr>
        <w:pStyle w:val="TextoNormal"/>
      </w:pPr>
      <w:r>
        <w:t>Si partimos -como expresamente admite en su demanda el Gobierno Vasco- de que la garantía de la creación de un mercado único de valores reside en el establecimiento, de modo unitario, de los requisitos que deben reunir los valores para su admisión a negociación, hemos de concluir que también de modo unitario ha de llevarse a cabo la supervisión del cumplimiento de dichos requisitos, que afectan a todos los mercados secundarios oficiales. Con ello se está velando por la correcta incorporación al tráfico mercantil de los valores de que se trate, con lo que ello supone de seguridad y confianza para los futuros inversores y de garantía de la unidad del sistema financiero. Esa función de verificación, que por otra parte no es automática y totalmente reglada al integrarse en ella aspectos con un margen de apreciación (v.gr.: solvencia y honorabilidad del emisor), tiene carácter básico y por tanto exige su atribución a un órgano único, la Comisión Nacional del Mercado de Valores.  Por lo demás, el propio precepto establece en su párrafo primero, in fine, que "la admisión a negociación en cada uno de los mercados secundarios oficiales se producirá, a solicitud del emisor, por acuerdo del organismo rector del correspondiente mercado".</w:t>
      </w:r>
    </w:p>
    <w:p w:rsidR="006854DA" w:rsidRDefault="006854DA" w:rsidP="006854DA">
      <w:pPr>
        <w:pStyle w:val="TextoNormal"/>
      </w:pPr>
      <w:r>
        <w:t>Así, pues, ha de concluirse que este párrafo 1º del art. 32 no quebranta el orden constitucional de distribución de competencias.</w:t>
      </w:r>
    </w:p>
    <w:p w:rsidR="006854DA" w:rsidRDefault="006854DA" w:rsidP="006854DA">
      <w:pPr>
        <w:pStyle w:val="TextoNormal"/>
      </w:pPr>
      <w:r>
        <w:t>c) Tampoco lo hace el siguiente art. 33, que atribuye a la Comisión la facultad de suspender la negociación de un valor en todos los mercados secundarios oficiales donde se haya admitido, cuando concurran circunstancias especiales que puedan perturbar el normal desarrollo de las operaciones sobre él o aconsejen dicha medida en aras de la protección a los inversores.</w:t>
      </w:r>
    </w:p>
    <w:p w:rsidR="006854DA" w:rsidRDefault="006854DA" w:rsidP="006854DA">
      <w:pPr>
        <w:pStyle w:val="TextoNormal"/>
      </w:pPr>
      <w:r>
        <w:t xml:space="preserve">Los recurrentes reiteran las alegaciones hechas respecto del art. 32 y, así, argumentan que la suspensión corresponde a las Comunidades Autónomas y no a la Comisión Nacional del Mercado de Valores, pues si bien podría ser básica la regulación de los supuestos de suspensión de la negociación de valores, nunca podría serlo el acto administrativo de ejecución que es la suspensión misma.  El Abogado del Estado rechaza esta argumentación por considerar que la finalidad de la medida de suspensión es impedir la negociación </w:t>
      </w:r>
      <w:r>
        <w:lastRenderedPageBreak/>
        <w:t>"confiada" de un valor cuando el mercado no reúna sus estándares normales de transparencia y funcionamiento regular, argumentando que sería contradictorio con esta finalidad que la suspensión pudiese ser adoptada sólo en relación con fragmentos del mercado de valores delimitados territorialmente. La suspensión de la negociación hace al valor inepto para ser objeto de transmisión dentro de los mercados secundarios de valores, con lo cual la medida incide en las relaciones inter privatos y, por eso, confiar la decisión de suspender a un único órgano central aparece como condición básica para garantizar la igualdad de quienes emiten títulos negociados en mercados secundarios, así como para preservar la igualdad en la protección de los inversores.</w:t>
      </w:r>
    </w:p>
    <w:p w:rsidR="006854DA" w:rsidRDefault="006854DA" w:rsidP="006854DA">
      <w:pPr>
        <w:pStyle w:val="TextoNormal"/>
      </w:pPr>
      <w:r>
        <w:t>En efecto, hay que convenir con el Abogado del Estado que la facultad de suspender la negociación de un valor en todos los mercados secundarios oficiales se integra dentro de las facultades de ejecución de naturaleza básica, por cuanto que con ello se trata de garantizar la solvencia de los valores que son objeto del tráfico mercantil y, en último término, cumple una función de garantizar la estabilidad y confianza del sistema financiero, ya que la habilitación a la Comisión Nacional del Mercado de Valores para suspender la negociabilidad de los valores se hace para "cuando concurran circunstancias especiales que puedan perturbar el normal desarrollo de las operaciones sobre los mismos o aconsejen dicha medida en aras a la protección de los inversores". Se trata, pues, de una medida que no tiene carácter sancionador y sí cautelar para evitar consecuencias perturbadoras en el desenvolvimiento de la negociación del valor o valores a los que afecte o proteger a los inversores y cuya adopción, por ello, al igual que la verificación de los requisitos para la admisión a negociación, tiene carácter básico por las mismas razones más arriba expuestas. La atribución a la referida Comisión del ejercicio de dicha facultad de suspensión se justifica, pues, por la necesidad de imponer un nivel mínimo, común en todo el territorio nacional, de garantías de solvencia de los valores admitidos a negociación en todos los mercados en un momento dado, para, en último término, asegurar, con ello la estabilidad del sistema financiero y la confianza de los inversores en el mismo.</w:t>
      </w:r>
    </w:p>
    <w:p w:rsidR="006854DA" w:rsidRDefault="006854DA" w:rsidP="006854DA">
      <w:pPr>
        <w:pStyle w:val="TextoNormal"/>
      </w:pPr>
      <w:r>
        <w:t>Así, pues, hay que concluir que el art. 33 de la Ley es respetuoso con el bloque de constitucionalidad.</w:t>
      </w:r>
    </w:p>
    <w:p w:rsidR="006854DA" w:rsidRDefault="006854DA" w:rsidP="006854DA">
      <w:pPr>
        <w:pStyle w:val="TextoNormal"/>
      </w:pPr>
      <w:r>
        <w:t>d) En relación con el art. 34, donde se atribuye a la Comisión Nacional del Mercado de Valores la facultad de excluir de la negociación a los valores cuando no alcancen los requisitos de difusión o frecuencia y volumen de contratación que reglamentariamente se establezcan, se reitera, grosso modo, lo aducido contra el anterior.  Excluir la negociación de valores -se dice en las demandas- es un mero acto ejecutivo que se presenta como una medida de eficacia interna del propio mercado, con el fin de evitar que valores de escasa aceptación en el mercado lastren el funcionamiento y actividad de la respectiva Bolsa, por lo que su centralización resulta injustificada.</w:t>
      </w:r>
    </w:p>
    <w:p w:rsidR="006854DA" w:rsidRDefault="006854DA" w:rsidP="006854DA">
      <w:pPr>
        <w:pStyle w:val="TextoNormal"/>
      </w:pPr>
      <w:r>
        <w:t xml:space="preserve">El art. 34 habilita a la Comisión Nacional del Mercado de Valores para excluir de la negociación los valores en dos supuestos distintos: en caso de incumplimiento de los índices reglamentarios de difusión o los de frecuencia y volumen de contratación, de un lado, y en caso de que así lo soliciten las entidades emisoras, de otro. En uno y otro, la facultad atribuida a la Comisión tiene por finalidad proteger a los inversores, titulares de dichos valores, tanto frente a la pérdida de liquidez, por bajo de los índices que expresan el estándar de la normalidad de la negociación, como frente a la lesión que pueden sufrir como consecuencia de la exclusión de la negociación de valores por voluntad de la entidad emisora. La protección de los inversores y la garantía de la estabilidad del mercado que esta medida persigue serían ineficaces si no pudiesen procurarse desde una instancia central cual es la Comisión Nacional del Mercado de Valores, donde con criterios unitarios se </w:t>
      </w:r>
      <w:r>
        <w:lastRenderedPageBreak/>
        <w:t>ejercite esta potestad, con amplios márgenes en la apreciación de una eventual lesión de los legítimos intereses de los titulares y tenedores del valor o valores afectados por la medida. No cabe excluir que a la Comisión Nacional le quepa eliminar ciertos valores del mercado.  No obstante, pueden darse dos circunstancias en las que el ejercicio de tal competencia no tenga carácter básico: la primera hace referencia a valores negociados en una sola Bolsa (art. 84, párrafo 2º) y la segunda, el incumplimiento de las condiciones específicas previstas en el art. 32, in fine.</w:t>
      </w:r>
    </w:p>
    <w:p w:rsidR="006854DA" w:rsidRDefault="006854DA" w:rsidP="006854DA">
      <w:pPr>
        <w:pStyle w:val="TextoNormal"/>
      </w:pPr>
      <w:r>
        <w:t>Así entendido, hay que concluir que el art. 34 de la Ley del Mercado de Valores no invade las competencias de las Comunidades Autónomas.</w:t>
      </w:r>
    </w:p>
    <w:p w:rsidR="006854DA" w:rsidRDefault="006854DA" w:rsidP="006854DA">
      <w:pPr>
        <w:pStyle w:val="TextoNormal"/>
      </w:pPr>
      <w:r>
        <w:t>e) El art. 35, impugnado tan sólo por el Gobierno Vasco, establece que las entidades emisoras de valores admitidos a negociación en algún mercado secundario oficial deberán someter anualmente a auditoría de cuentas sus estados financieros, cuya sediciente inconstitucionalidad no se pone en la exigencia de la auditoría, sino en que atrae la aplicación del art. 92 de la Ley, inconstitucional a su vez. Por ello, la invasión competencial se sitúa en el hecho de que la Comisión Nacional del Mercado de Valores lleve, con el carácter de Registro oficial y de libre acceso del público, el Registro de las auditorías de cuentas de las entidades emisoras de valores admitidos a negociación.</w:t>
      </w:r>
    </w:p>
    <w:p w:rsidR="006854DA" w:rsidRDefault="006854DA" w:rsidP="006854DA">
      <w:pPr>
        <w:pStyle w:val="TextoNormal"/>
      </w:pPr>
      <w:r>
        <w:t>El problema que ahora se plantea ha sido ya resuelto más arriba dando respuesta a la impugnación de los arts. 26, 27 y 28, en conexión con el 92. La difusión, a través de un Registro público, de las auditorías de cuentas de las entidades emisoras de valores admitidos a negociación en los mercados secundarios oficiales, permite a los titulares de valores y a los futuros inversores conocer el estado económico y financiero de la entidad emisora, dato esencial para la rentabilidad de las operaciones que pretendan realizar.  Como ha quedado dicho en el citado fundamento jurídico, la llevanza del Registro de auditorías por la Comisión Nacional del Mercado de Valores está al servicio del correcto y eficaz cumplimiento de los fines a que atiende este Ente Público y se presenta, así, como el ejercicio de una facultad estrictamente auxiliar o instrumental respecto de la competencia estatal de garantizar la unidad del mercado de capitales, a través de la difusión de la información necesaria para asegurar, en términos de igualdad, la transparencia del mercado y la protección de los inversores en todo el territorio nacional (en igual sentido nos hemos pronunciado en materia de ordenación del sector petrolero en la STC 197/1996, Fundamento jurídico 13).  No en vano, el art. 14 del Real Decreto 291/1992, que regula las emisiones y ofertas públicas de renta de valores -y sobre el que ninguna de las Comunidades Autónomas recurrentes ha planteado conflicto de competencia- califica expresamente los informes de auditoría de los emisores de valores como "información pública".</w:t>
      </w:r>
    </w:p>
    <w:p w:rsidR="006854DA" w:rsidRDefault="006854DA" w:rsidP="006854DA">
      <w:pPr>
        <w:pStyle w:val="TextoNormal"/>
      </w:pPr>
      <w:r>
        <w:t>f) El art. 36 define cual tipo de transmisión de valores tiene la consideración de "operaciones de un mercado secundario oficial"; cuales tipos de sujetos han de realizarlas para gozar de dicha consideración; y, finalmente, cual sea la sanción legal correspondiente al quebrantamiento de estas condiciones. El Parlamento de Cataluña alega que el precepto en cuestión regula un aspecto puramente organizativo y de desarrollo y lo hace con tal grado de detalle que de ninguna manera puede considerarse ni básico ni como parte integrante del Derecho mercantil privado. El Consejo Ejecutivo de la Generalidad de Cataluña, por su parte, admite que la regulación de este precepto podría considerarse, en algún aspecto, próxima al ámbito de la regulación material de la legislación mercantil, reservada al Estado por el art. 149.1.6 C.E., pero considera que la directa repercusión que tiene en las competencias de la Generalidad, al sustraer en buena medida el objeto material sobre el que tal competencia autonómica venía ejerciéndose, determina su inconstitucionalidad.</w:t>
      </w:r>
    </w:p>
    <w:p w:rsidR="006854DA" w:rsidRDefault="006854DA" w:rsidP="006854DA">
      <w:pPr>
        <w:pStyle w:val="TextoNormal"/>
      </w:pPr>
      <w:r>
        <w:lastRenderedPageBreak/>
        <w:t>El Abogado del Estado rechaza esta imputación argumentando que el precepto entra de lleno en el ámbito de la legislación mercantil, reservada, con carácter exclusivo, al Estado por el art.  149.1.6 C.E. Y, en efecto, así debe entenderse por cuanto que, de acuerdo con nuestra doctrina, la legislación mercantil reservada al Estado, esto es, las reglas de Derecho privado, habrá de incluir, en todo caso, la regulación de las relaciones jurídico- privadas de los empresarios mercantiles o comerciantes en cuanto tales. Sólo a través de sus órganos centrales puede el Estado determinar cuál es el ámbito propio de la actividad libre del empresario mercantil y sólo la legislación que emana de esos órganos centrales puede regular la forma en que nacen y se extinguen los derechos y obligaciones a que el ejercicio de esa actividad puede dar lugar y el contenido necesario de aquéllos y éstas (SSTC 37/1981, Fundamento jurídico 3º, y 14/1986, Fundamento jurídico 7º).</w:t>
      </w:r>
    </w:p>
    <w:p w:rsidR="006854DA" w:rsidRDefault="006854DA" w:rsidP="006854DA">
      <w:pPr>
        <w:pStyle w:val="TextoNormal"/>
      </w:pPr>
      <w:r>
        <w:t>Pues bien, la regulación del art. 36 entra plenamente en el ámbito de la legislación mercantil al definir los elementos -objetivos y subjetivos- que convierten a una transmisión de valores en una operación de un mercado secundario oficial, así como la sanción legal que corresponde a una transmisión realizada sin observar dichos requisitos. En efecto, de acuerdo con el art. 36, para que una transmisión tenga la consideración de "operación de un mercado secundario oficial", es necesario que se haga por título de compraventa (elemento objetivo) y con la participación obligatoria de, al menos, una entidad que tenga la condición de "miembro" del correspondiente mercado (elemento subjetivo). Sin esta mediación obligatoria -con la que, según la Exposición de Motivos de la Ley, se pretende garantizar que la totalidad de las operaciones se integre en el mercado, así como la supervisión del sistema y la información fiscal necesaria- la transmisión será nula de pleno derecho (sanción). Esta regulación del negocio jurídico típico del mercado de valores (la compraventa) se completa en los arts. 37 y 38 -no impugnados por ninguno de los recurrentes-, que hacen referencia a las transmisiones que quedan excluidas de la consideración de "operaciones" de un mercado secundario (art. 37), así como a la naturaleza (al contado o a plazo) de la operación concertada.</w:t>
      </w:r>
    </w:p>
    <w:p w:rsidR="006854DA" w:rsidRDefault="006854DA" w:rsidP="006854DA">
      <w:pPr>
        <w:pStyle w:val="TextoNormal"/>
      </w:pPr>
      <w:r>
        <w:t>Así, pues, hay que convenir con el Abogado del Estado que la determinación del título contractual (compraventa) y de la mediación obligatoria de, al menos, un "miembro del mercado", como requisitos necesarios para que una transmisión de valores tenga la consideración de "operación" de este tipo de mercados, así como el establecimiento de la sanción de nulidad de pleno Derecho para aquéllas transmisiones realizadas sin esa mediación, inciden plenamente en la regulación de la relación mercantil inter privatos que la Constitución ha reservado al Estado y a cuyo respeto los Estatutos de Autonomía de las Comunidades Autónomas han condicionado el ejercicio de la competencia en materia de Bolsas y Centros de contratación de valores (arts. 10.29 E.A.P.V.  y 9.20 E.A.C.).</w:t>
      </w:r>
    </w:p>
    <w:p w:rsidR="006854DA" w:rsidRDefault="006854DA" w:rsidP="006854DA">
      <w:pPr>
        <w:pStyle w:val="TextoNormal"/>
      </w:pPr>
      <w:r>
        <w:t>Por lo dicho, cabe concluir que el art. 36 de la Ley del Mercado de Valores no quebranta el orden constitucional de competencias.</w:t>
      </w:r>
    </w:p>
    <w:p w:rsidR="006854DA" w:rsidRDefault="006854DA" w:rsidP="006854DA">
      <w:pPr>
        <w:pStyle w:val="TextoNormal"/>
      </w:pPr>
      <w:r>
        <w:t xml:space="preserve">g) El art. 40, párrafo segundo, impugnado solamente por el Consejo Ejecutivo de la Generalidad de Cataluña, establece la obligación de todo el que tenga la condición de miembro de un mercado secundario oficial de manifestar ante la Comisión Nacional del Mercado de Valores aquellas vinculaciones económicas y relaciones contractuales con terceros que, en su actuación por cuenta propia o ajena, pudieran suscitar conflictos de intereses con otros clientes. El Consejo Ejecutivo de la Generalidad de Cataluña, circunscribe su impugnación al segundo párrafo y, dentro de éste, a lo referente al "conocimiento de las vinculaciones económicas de los miembros de los mercados de valores".  El fundamento de su impugnación -genérico y común a ocho preceptos más (arts.  28, párrafo 4º, 27, 32, 33, 34, 42, 53, párrafo 1º y 64, párrafo 1º)- es que se trata de actos de ejecución </w:t>
      </w:r>
      <w:r>
        <w:lastRenderedPageBreak/>
        <w:t>cuya centralización no resulta necesaria para garantizar la unidad del sistema económico y del sistema financiero nacional.</w:t>
      </w:r>
    </w:p>
    <w:p w:rsidR="006854DA" w:rsidRDefault="006854DA" w:rsidP="006854DA">
      <w:pPr>
        <w:pStyle w:val="TextoNormal"/>
      </w:pPr>
      <w:r>
        <w:t>El precepto impugnado impone una obligación a todos los miembros del mercado de valores de poner en conocimiento de la Comisión Nacional del Mercado de Valores las vinculaciones económicas y relaciones contractuales con terceros que pudieran suscitar conflictos de intereses con otros clientes. Dicho deber de información de los miembros del mercado a la Comisión es inseparable de la difusión que, de acuerdo con los criterios establecidos reglamentariamente, la misma haga de dicha información para conocimiento de los operadores del mercado. Comunicación de información de los miembros del mercado a la Comisión y su difusión por ésta al mercado no son, stricto sensu, competencias que hayan de distribuirse, sino facultades instrumentales de la competencia de velar por la transparencia de aquél y por la protección del inversor, ejes básicos de la regulación del mercado de valores y piezas claves de la unidad del mismo, que forman parte, como ha quedado dicho, de la competencia del Estado, que éste ejerce a través de la Comisión Nacional del Mercado de Valores. Nada impide, por lo demás, como se ha dicho a propósito de otras actividades relacionadas con la difusión de información, que las Comunidades Autónomas recurrentes articulen mecanismos semejantes para obtener la información correspondiente sobre los miembros de los mercados ubicados en su territorio.</w:t>
      </w:r>
    </w:p>
    <w:p w:rsidR="006854DA" w:rsidRDefault="006854DA" w:rsidP="006854DA">
      <w:pPr>
        <w:pStyle w:val="TextoNormal"/>
      </w:pPr>
      <w:r>
        <w:t>Así pues, ha de rechazarse la impugnación del Consejo Ejecutivo de la Generalidad de Cataluña, por cuanto el art. 40, párrafo 2º, no invade las competencias autonómicas ex art.  9.20 del Estatuto de Autonomía de Cataluña.</w:t>
      </w:r>
    </w:p>
    <w:p w:rsidR="006854DA" w:rsidRDefault="006854DA" w:rsidP="006854DA">
      <w:pPr>
        <w:pStyle w:val="TextoNormal"/>
      </w:pPr>
      <w:r>
        <w:t>h) Del art. 42 de la Ley ha sido impugnado solamente el último inciso, esto es, el que se refiere a la necesidad de comunicar a la Comisión Nacional del Mercado de Valores las tarifas de las retribuciones máximas que perciban los miembros de los mercados secundarios oficiales por su participación en la negociación de valores. El Consejo Ejecutivo de la Generalidad de Cataluña -único de los recurrentes que ha impugnado este precepto- le hace la misma imputación, genérica y común a los ocho artículos que han sido citados en el apartado anterior, en el sentido de considerar que por tratarse de un acto de ejecución su ejercicio corresponde a la Comunidad Autónoma, ex art. 9.20 de su Estatuto de Autonomía.</w:t>
      </w:r>
    </w:p>
    <w:p w:rsidR="006854DA" w:rsidRDefault="006854DA" w:rsidP="006854DA">
      <w:pPr>
        <w:pStyle w:val="TextoNormal"/>
      </w:pPr>
      <w:r>
        <w:t xml:space="preserve">La publicación y comunicación a la Comisión de las tarifas máximas de retribuciones que, en su caso, establezca el Gobierno, como requisito previo para su aplicación, constituye una previsión normativa cuyo enjuiciamiento no puede separarse de la facultad que la Ley atribuye al Gobierno para fijar retribuciones máximas para determinadas operaciones, facultad cuya constitucionalidad admite el recurrente, que ha limitado su impugnación a la comunicación de las tarifas de retribuciones máximas. Ese deber de comunicación, tal y como hemos afirmado en caso análogo (STC 155/1996 -Fundamento jurídico 6º- para el deber de comunicación al Banco de España de la apertura de oficinas por entidades de depósito), ha de entenderse amparado por el concepto de bases ex art. 149.1.11 C.E. Admitida la constitucionalidad de la facultad del Gobierno de fijar, para los casos previstos en el art. 42, topes máximos en las retribuciones de los miembros del mercado por las operaciones que realicen en él, no podemos sino considerar como una facultad meramente instrumental de dicha potestad -básica- la exigencia de su publicación y comunicación a la Comisión Nacional del Mercado de Valores, para que esta Comisión pueda ejercitar sus potestades de supervisión e inspección del mercado de valores, en definitiva, para que pueda cumplir su función de guardián y garante de dicho mercado así como para asegurar la trasparencia del mismo, dando publicidad y difusión a datos como el que nos ocupa. Por sí sola, esto es, desvinculada de la intervención gubernamental en la, en principio, libre </w:t>
      </w:r>
      <w:r>
        <w:lastRenderedPageBreak/>
        <w:t>determinación de las tarifas por los miembros que realizan las operaciones, no supone invasión alguna en las competencias de la Comunidad Autónoma recurrente; razón por la cual ha de concluirse que el precepto impugnado por el Consejo Ejecutivo de la Generalidad de Cataluña es respetuoso con el bloque de constitucionalidad que rige en la materia.</w:t>
      </w:r>
    </w:p>
    <w:p w:rsidR="006854DA" w:rsidRDefault="006854DA" w:rsidP="006854DA">
      <w:pPr>
        <w:pStyle w:val="TextoNormal"/>
      </w:pPr>
      <w:r>
        <w:t>B. Las Bolsas de Valores: arts. 45, 46, 47, 48, 49, 50, 51, 52, 53, párrafo 1º, y 54.</w:t>
      </w:r>
    </w:p>
    <w:p w:rsidR="006854DA" w:rsidRDefault="006854DA" w:rsidP="006854DA">
      <w:pPr>
        <w:pStyle w:val="TextoNormal"/>
      </w:pPr>
      <w:r>
        <w:t>a) El art. 45, impugnado sólo por el Consejo Ejecutivo de la Generalidad de Cataluña, condiciona la creación por las Comunidades Autónomas de las Bolsas ubicadas en su territorio a la conformidad del Gobierno de la Nación, "atendiendo a los elementos y consecuencias supracomunitarias de dicha creación". El recurrente considera que dicha condición en modo alguno se aviene con los términos en los que el art. 9.20 del Estatuto de Autonomía de Cataluña ha atribuido la competencia a Cataluña. Los intereses supracomunitarios o generales del Estado -argumenta el recurrente- ya fueron tenidos en cuenta por el constituyente a la hora de establecer la distribución competencial, y si en el Estatuto de Autonomía de Cataluña la competencia para la creación de Bolsas únicamente ha sido limitada por el respeto a la legislación mercantil, el Estado no puede invocar nuevos intereses para restringir aquella competencia. El Abogado del Estado sostiene, por el contrario, que el legislador estatal puede disponer legítimamente que el Gobierno coparticipe en la decisión sobre la creación de una Bolsa, por cuanto ésta es un fragmento del mercado bursátil nacional.</w:t>
      </w:r>
    </w:p>
    <w:p w:rsidR="006854DA" w:rsidRDefault="006854DA" w:rsidP="006854DA">
      <w:pPr>
        <w:pStyle w:val="TextoNormal"/>
      </w:pPr>
      <w:r>
        <w:t>Ante todo debe quedar sentado que la alusión genérica e indeterminada a "los elementos y consecuencias supracomunitarias" de la creación de una Bolsa de Valores en el territorio de una Comunidad Autónoma no justifica, por sí sola, la coparticipación del Gobierno en dicha tarea, atribuida, con carácter exclusivo, por el art. 9.20 del Estatuto de Autonomía de Cataluña a la Comunidad Autónoma recurrente. No existe, por las razones que se exponen a continuación, razón alguna para que el acto de creación de una Bolsa en el territorio autonómico tenga que compartirse por el Estado y la Comunidad Autónoma correspondiente.</w:t>
      </w:r>
    </w:p>
    <w:p w:rsidR="006854DA" w:rsidRDefault="006854DA" w:rsidP="006854DA">
      <w:pPr>
        <w:pStyle w:val="TextoNormal"/>
      </w:pPr>
      <w:r>
        <w:t xml:space="preserve">El Estatuto de Autonomía de Cataluña, en su art. 9.20, ha atribuido a la Generalidad de Cataluña la competencia exclusiva para establecer Centros de contratación de valores, de los que, como ha quedado dicho, las Bolsas constituyen un tipo concreto.  Sin duda alguna, el establecimiento, esto es, la creación de una Bolsa de Valores ubicada en el territorio de la Comunidad Autónoma corresponde, según el art. 9.20 del Estatuto de Autonomía de Cataluña, a la Generalidad, con el sólo límite del respeto a la legislación mercantil, de un lado, y a las bases de la ordenación del crédito, de otro.  Exigir la conformidad del Gobierno de la Nación para la creación de una Bolsa de Valores en el territorio de la Comunidad Autónoma recurrente no es una norma básica, pues su finalidad no es establecer un común denominador normativo en todo el territorio nacional que sirva de límite a la potestad normativa de la Comunidad Autónoma, sino una norma que atribuye al Estado una competencia, la de participar en el establecimiento de las Bolsas ubicadas en el territorio de Cataluña, que no le ha sido atribuida por la Constitución.  Aun admitiendo que tal decisión fuese básica, nunca podría llegar a impedir el ejercicio de una competencia exclusiva autonómica, cosa que ocurriría si el Gobierno quisiera vetar la creación de una Bolsa. De acuerdo con la doctrina del Tribunal [SSTC 149/1991, Fundamento jurídico 7º.A.c), y 36/1994, Fundamento jurídico 5º], la concurrencia de las voluntades del Estado y de la Comunidad Autónoma para el ejercicio de una competencia sólo es constitucionalmente admisible cuando ambas voluntades resuelven sobre asuntos de su propia competencia. En el presente caso ello no es así, por cuanto que la competencia para el establecimiento de una Bolsa de Valores en su territorio corresponde en exclusiva a la Comunidad Autónoma, </w:t>
      </w:r>
      <w:r>
        <w:lastRenderedPageBreak/>
        <w:t>y por eso, la mediatización de la conformidad del Gobierno no puede convertir un acto de competencia exclusiva autonómica en un acto complejo, resultado de la concurrencia de dos voluntades, la del Estado y la de la Comunidad Autónoma.  Al Estado le corresponde la competencia para establecer las bases de la ordenación del crédito y los elementos que sean necesarios para garantizar la unidad de mercado y a la Comunidad Autónoma la ejecución de dichas bases, esto es, entre otras cosas, el establecimiento, en su territorio, de Bolsas de Valores respetando ese marco básico estatal.</w:t>
      </w:r>
    </w:p>
    <w:p w:rsidR="006854DA" w:rsidRDefault="006854DA" w:rsidP="006854DA">
      <w:pPr>
        <w:pStyle w:val="TextoNormal"/>
      </w:pPr>
      <w:r>
        <w:t>Por todo lo dicho hay que concluir que el art. 45 de la Ley del mercado de Valores, en el inciso "aunque requerirá la conformidad del Gobierno de la Nación, atendiendo a los elementos y consecuencias supracomunitarias de dicha creación", vulnera las competencias que el art. 9.20 del Estatuto de Autonomía de Cataluña ha atribuido a la Comunidad Autónoma de Cataluña.</w:t>
      </w:r>
    </w:p>
    <w:p w:rsidR="006854DA" w:rsidRDefault="006854DA" w:rsidP="006854DA">
      <w:pPr>
        <w:pStyle w:val="TextoNormal"/>
      </w:pPr>
      <w:r>
        <w:t>b) El art. 46 atribuye a la Comisión Nacional del Mercado de Valores la determinación de las categorías de valores negociables en Bolsa. El Gobierno Vasco -siempre partiendo de la admisión dialéctica de que al Estado le correspondan las bases y a la Comunidad Autónoma el desarrollo legislativo en relación con el establecimiento y regulación de Bolsas de Comercio y otros centros de contratación de valores- considera que sería admisible que el legislador estatal señalara, con valor vinculante para la Comunidad Autónoma, qué valores podrán ser objeto de negociación en las Bolsas, pero no que tal determinación se atribuya a un órgano administrativo central, con el margen de amplitud y libertad con que lo hace el precepto impugnado. La disposición, que constituye una remisión en blanco, resulta contraria al principio de Ley formal en el señalamiento de las bases y no puede mantenerse que sea legislación mercantil, puesto que el acceso de ciertos valores a un mercado oficial forma parte del Derecho público. El Parlamento de Cataluña -que también ha impugnado este precepto- lo considera inconstitucional porque vacía de contenido la competencia de la Comunidad Autónoma por cuanto que las categorías de valores establecidas por la Comisión Nacional del Mercado de Valores son un "numerus clausus" que impide a Cataluña establecer otros valores a negociar en las Bolsas radicadas en su territorio. El Consejo Ejecutivo de Cataluña también ha impugnado el art. 46, pero lo ha hecho por conexión con la Disposición transitoria décima (extinción del sistema de fungibilidad regulado por el Decreto 1.128/1974), lo que exige una respuesta particularizada y distinta a la que haya de darse a la impugnación general del art. 46 de la Ley.  El Abogado del Estado defiende la constitucionalidad del precepto argumentando que su regulación es típica materia mercantil que corresponde al Estado ex art. 149.1.6 C.E.</w:t>
      </w:r>
    </w:p>
    <w:p w:rsidR="006854DA" w:rsidRDefault="006854DA" w:rsidP="006854DA">
      <w:pPr>
        <w:pStyle w:val="TextoNormal"/>
      </w:pPr>
      <w:r>
        <w:t>La determinación de las categorías de valores que pueden ser objeto de negociación en las Bolsas supone delimitar el objeto de la contratación bursátil, esto es, el ámbito objetivo del negocio jurídico que se realiza en las Bolsas de Valores, lo cual incide plenamente en la regulación del tipo de contrato mercantil que son las operaciones bursátiles. Dicha regulación entra, pues, de lleno en el ámbito propio de la legislación mercantil reservada al Estado por el art. 149.1.6 C.E. y que, según hemos mantenido desde nuestra STC 37/1981 (Fundamento jurídico 3º), incluye, en todo caso, "la regulación de las relaciones jurídico-privadas de los empresarios mercantiles o comerciantes en cuanto tales...  la forma en que nacen y se extinguen los derechos y obligaciones a que el ejercicio de esa actividad puede dar lugar y el contenido necesario de aquéllas y éstas".</w:t>
      </w:r>
    </w:p>
    <w:p w:rsidR="006854DA" w:rsidRDefault="006854DA" w:rsidP="006854DA">
      <w:pPr>
        <w:pStyle w:val="TextoNormal"/>
      </w:pPr>
      <w:r>
        <w:t xml:space="preserve">La regulación del objeto del contrato bursátil, en la terminología propia del régimen jurídico anterior a la entrada en vigor de la Ley impugnada, estaba contemplada en el art. 67 del Código de Comercio, derogado por dicha Ley, y en el art. 56 del Reglamento de Bolsas Oficiales de Comercio. La Ley en cuestión ha venido a modificar dicha regulación, </w:t>
      </w:r>
      <w:r>
        <w:lastRenderedPageBreak/>
        <w:t>definiendo en el art. 46 el objeto del negocio jurídico que se realiza con las operaciones bursátiles. Tratándose, como ha quedado dicho, de legislación mercantil, que corresponde dictar sólo al Estado y a la que los Estatutos de Autonomía de las Comunidades Autónomas recurrentes han condicionado el ejercicio de sus competencias en la materia, nada hay que objetar al hecho de que el legislador encomiende a la Comisión la facultad de determinar qué categorías de valores pueden ser objeto de negociación en las Bolsas.</w:t>
      </w:r>
    </w:p>
    <w:p w:rsidR="006854DA" w:rsidRDefault="006854DA" w:rsidP="006854DA">
      <w:pPr>
        <w:pStyle w:val="TextoNormal"/>
      </w:pPr>
      <w:r>
        <w:t>Por la misma razón debe rechazarse la impugnación que por conexión con el art.  46 hace el Consejo Ejecutivo de la Generalidad de Cataluña de la Disposición transitoria décima. La extinción del sistema de fungibilidad regulado por el R.D.  1.128/1974, de 25 de abril, no es más que una consecuencia necesaria del proceso de desmaterialización de los derechos en el ámbito del tráfico jurídico mercantil, del que la Ley 24/1988 representa el punto culminante.  Desde el momento en que el nuevo régimen jurídico del mercado de valores descansa sobre este último concepto y su representación mediante anotaciones en cuenta, resulta superfluo seguir manteniendo el sistema de fungibilidad, que había sido establecido por el R.D. 1.128/1974 con el fin de facilitar la contratación bursátil, salvando las dificultades con que tropezaba al tener que desenvolverse con la numeración específica de los títulos en la documentación de operaciones y manipular físicamente una ingente masa de papel. El Decreto implantaba, así, fórmulas que permitían el tratamiento de los títulos como fungibles o sustituibles.  Tratándose, como se trata, de la definición del objeto mismo de los negocios mercantiles que pueden llevarse a cabo en los Mercados de Valores, y de su forma de representación, es evidente que forma parte de la legislación mercantil reservada con carácter exclusivo al Estado por el art. 149.1.6 C.E.</w:t>
      </w:r>
    </w:p>
    <w:p w:rsidR="006854DA" w:rsidRDefault="006854DA" w:rsidP="006854DA">
      <w:pPr>
        <w:pStyle w:val="TextoNormal"/>
      </w:pPr>
      <w:r>
        <w:t>Así, pues, ni el art. 46 ni la Disposición transitoria décima de la Ley invaden las competencias de las Comunidades Autónomas.</w:t>
      </w:r>
    </w:p>
    <w:p w:rsidR="006854DA" w:rsidRDefault="006854DA" w:rsidP="006854DA">
      <w:pPr>
        <w:pStyle w:val="TextoNormal"/>
      </w:pPr>
      <w:r>
        <w:t>c) El art. 47, que ha sido impugnado por el Gobierno Vasco y por el Parlamento de Cataluña, determina quiénes pueden ser "miembros" de las Bolsas y las formas (por cuenta propia o por cuenta ajena) bajo las que pueden actuar dichos miembros en la negociación de valores. El Gobierno Vasco considera que el precepto impugnado invade las competencias autonómicas por cuanto que establece una organización de las Bolsas tan acabada y minuciosa que impide a la Comunidad Autónoma cualquier desarrollo normativo en la materia. En el mismo sentido razona el Parlamento de Cataluña quien, además, considera que el precepto en cuestión vulnera especialmente su competencia de ejecución en materia de nombramiento de Agentes de Cambio y Bolsa, Corredores de comercio e intervención -en su caso- en la delimitación de las demarcaciones correspondientes, regulada en el art. 11.4 del Estatuto de Autonomía de Cataluña.  El Abogado del Estado, por su parte, rechaza ambas alegaciones argumentando que la regulación que contiene el art. 47 forma parte de la legislación mercantil reservada al Estado, por cuanto incide en la estructura de la relación jurídico-mercantil.</w:t>
      </w:r>
    </w:p>
    <w:p w:rsidR="006854DA" w:rsidRDefault="006854DA" w:rsidP="006854DA">
      <w:pPr>
        <w:pStyle w:val="TextoNormal"/>
      </w:pPr>
      <w:r>
        <w:t xml:space="preserve">La definición por la Ley de la condición de miembros de las Bolsas de Valores y de su forma de llevar a cabo la negociación en éstas es, sin duda, un aspecto organizativo de este tipo de mercados secundarios oficiales que desborda lo que estrictamente se entiende por relación jurídico-mercantil o negocio jurídico bursátil. La regulación de este aspecto organizativo por el Estado no puede ampararse, pues, en el título del art. 149.1.6 C.E., sino en el del art. 149.1.11 C.E., esto es, en las bases de la ordenación del crédito que, de acuerdo con la doctrina de nuestra STC 48/1988 (Fundamento jurídico 3º), se refieren no sólo a la actividad, sino también a la estructura y organización de las Bolsas en cuanto que una y otra repercuten directamente en dicha actividad. Para comprobar que ello es así, basta poner el art. 47 en relación con el 36 de la Ley que exige para que el negocio jurídico bursátil </w:t>
      </w:r>
      <w:r>
        <w:lastRenderedPageBreak/>
        <w:t>sea válido la mediación de, al menos, una entidad que tenga la condición de miembro del mercado.</w:t>
      </w:r>
    </w:p>
    <w:p w:rsidR="006854DA" w:rsidRDefault="006854DA" w:rsidP="006854DA">
      <w:pPr>
        <w:pStyle w:val="TextoNormal"/>
      </w:pPr>
      <w:r>
        <w:t>Ahora bien, el marco estatal básico relativo a la organización de las Bolsas de Valores no puede concretarse de tal modo que de hecho conduzca a la uniformidad organizativa de estas entidades, impidiendo a las Comunidades Autónomas tener presente en su desarrollo las características peculiares de sus respectivos territorios (STC 48/1988, Fundamento jurídico 3º). Por eso, hay que concluir que el art. 47 de la Ley establece un común denominador normativo al definir como miembros de las Bolsas de Valores aquellas Sociedades y Agencias de Valores que participen en el capital de las Sociedades Rectoras de las Bolsas, pero esa disposición no puede agotar la regulación de la organización de las Bolsas.</w:t>
      </w:r>
    </w:p>
    <w:p w:rsidR="006854DA" w:rsidRDefault="006854DA" w:rsidP="006854DA">
      <w:pPr>
        <w:pStyle w:val="TextoNormal"/>
      </w:pPr>
      <w:r>
        <w:t>Así pues, concluyendo, el art. 47 de la Ley es constitucional si se entiende que configura un supuesto básico cuya existencia no impide en ningún caso a las Comunidades Autónomas, en el ejercicio de su competencia propia, que puedan dar entrada a otros sujetos, aun cuando no reúnan aquella cualidad, como miembros de las Bolsas sitas en su territorio.</w:t>
      </w:r>
    </w:p>
    <w:p w:rsidR="006854DA" w:rsidRDefault="006854DA" w:rsidP="006854DA">
      <w:pPr>
        <w:pStyle w:val="TextoNormal"/>
      </w:pPr>
      <w:r>
        <w:t>d) También del art. 48 se dice, como del anterior, que invade sus competencias por haber llegado a tal grado de detalle en la regulación que las vacía, sin dejar margen para otras formas organizativas. Más concretamente se denuncia, tanto por el Parlamento como por el Consejo Ejecutivo de la Generalidad de Cataluña, que la aprobación de los Estatutos de las Sociedades Rectoras, así como sus modificaciones, corresponde únicamente a las Comunidades Autónomas toda vez que se trata de meras funciones ejecutivas y regladas. El Abogado del Estado, por su parte, rechaza estas imputaciones argumentando que el art. 48 constituye una base de ordenación del crédito que deja margen suficiente al desarrollo legislativo autonómico y a la ejecución.</w:t>
      </w:r>
    </w:p>
    <w:p w:rsidR="006854DA" w:rsidRDefault="006854DA" w:rsidP="006854DA">
      <w:pPr>
        <w:pStyle w:val="TextoNormal"/>
      </w:pPr>
      <w:r>
        <w:t>Como ya ha quedado expuesto en el apartado anterior, y de acuerdo con la doctrina de este Tribunal Constitucional (SSTC 48/1988, Fundamento jurídico 3º, y 49/1988, Fundamento jurídico 2º), las normas organizativas de las Bolsas de Valores pueden quedar comprendidas en las bases de la ordenación del crédito por cuanto que una organización existe para realizar una determinada actividad y no es, pues, indiferente a la realización de dicha actividad la forma en que se integran los centros de decisión.  El art. 48 de la Ley es básico porque establece un mínimo orgánico común a todas las Bolsas que está íntimamente relacionado con la actividad que en ellas se desarrolla. La existencia de una Sociedad Rectora, de la que son accionistas todos los miembros de la Bolsa correspondiente, la negación a dicha Sociedad Rectora de su condición de miembro de la Bolsa, con la consiguiente prohibición de realizar actividad alguna de intermediación financiera, y la existencia, finalmente, de un Consejo de Administración y un Director General constituyen una estructura organizativa que incide directamente en la actividad de negociación bursátil y que, por ello, se impone con carácter homogéneo para todas las Bolsas. El carácter básico de esta regulación se deriva, igualmente, del hecho de que las Sociedades Rectoras de cada Bolsa integran la "Sociedad de Bolsas" que es el órgano de gestión del Sistema de Interconexión Bursátil (S.I.B.), de ámbito estatal. Las Comunidades Autónomas pueden, a partir de ese mínimo organizativo común, desarrollar y ejecutar sus propias decisiones, para lo que la Ley deja margen suficiente e, incluso, contiene referencias explícitas a esta posibilidad. Desde este punto de vista, el art. 48 no invade las competencias de las Comunidades Autónomas recurrentes.</w:t>
      </w:r>
    </w:p>
    <w:p w:rsidR="006854DA" w:rsidRDefault="006854DA" w:rsidP="006854DA">
      <w:pPr>
        <w:pStyle w:val="TextoNormal"/>
      </w:pPr>
      <w:r>
        <w:t xml:space="preserve">No puede decirse lo mismo, sin embargo, del último apartado del art. 48 que atribuye la aprobación y modificación de los Estatutos de las Sociedades rectoras conjuntamente a la </w:t>
      </w:r>
      <w:r>
        <w:lastRenderedPageBreak/>
        <w:t>Comisión Nacional del Mercado de Valores y a la Comunidad Autónoma.  correspondiente. Hay que convenir con las Comunidades Autónomas recurrentes que dicha actividad -aprobación y modificación de los Estatutos- es de naturaleza ejecutiva y, al no existir razón alguna que justifique su carácter básico, debe corresponder exclusivamente, esto es, sin el concurso de la Comisión, a la Comunidad Autónoma en cuyo territorio esté ubicada la Bolsa de cuya Sociedad Rectora se trate. Aunque, obviamente, la Comunidad Autónoma deberá ejercer su competencia en el marco básico de la Ley del Mercado de Valores.</w:t>
      </w:r>
    </w:p>
    <w:p w:rsidR="006854DA" w:rsidRDefault="006854DA" w:rsidP="006854DA">
      <w:pPr>
        <w:pStyle w:val="TextoNormal"/>
      </w:pPr>
      <w:r>
        <w:t>Por tanto, debemos acoger la pretensión de los recurrentes y declarar que la atribución de la competencia establecida en el art. 48, de aprobación y modificación de los Estatutos a la Comisión Nacional del Mercado de Valores, vulnera las competencias de las Comunidades Autónomas recurrentes.</w:t>
      </w:r>
    </w:p>
    <w:p w:rsidR="006854DA" w:rsidRDefault="006854DA" w:rsidP="006854DA">
      <w:pPr>
        <w:pStyle w:val="TextoNormal"/>
      </w:pPr>
      <w:r>
        <w:t>e) Los arts. 49, 50, 51, 52 y 53.1 de la Ley cuestionada se refieren al Sistema de Interconexión Bursátil. El Parlamento de Cataluña ha impugnado los arts. 49, 50, 51 y 52. El Consejo Ejecutivo de la Generalidad discute los mismos preceptos y, además, el art. 53, párrafo primero. Por último, el Gobierno Vasco sólo combate el art. 51. Las alegaciones que los recurrentes han formulado se refieren globalmente al sistema de interconexión establecido a lo largo de estos preceptos, por lo que resulta procedente dar una respuesta también global a esas imputaciones.</w:t>
      </w:r>
    </w:p>
    <w:p w:rsidR="006854DA" w:rsidRDefault="006854DA" w:rsidP="006854DA">
      <w:pPr>
        <w:pStyle w:val="TextoNormal"/>
      </w:pPr>
      <w:r>
        <w:t>Muy resumidamente expuestas, las razones en las que las Comunidades Autónomas basan sus quejas son las siguientes: bajo la apariencia de un mero instrumento tecnológico al servicio del mercado, se ha creado una nueva Bolsa, estatal, en el ámbito territorial de Cataluña y del País Vasco sin contar con estas Comunidades Autónomas, cuando sus respectivos Estatutos de Autonomía les han atribuido claramente la competencia exclusiva para el establecimiento y ordenación de Bolsas en sus respectivos territorios. Esta centralización -que vacía las competencias de las Comunidades Autónomas recurrentes- conlleva la sustracción del objeto de negociación de las Bolsas preexistentes. Las entidades con mayor volumen de negociación preferirán acceder al Sistema de Interconexión Bursátil, por la mayor ampliación y agilidad de ese mercado. Por lo que se refiere más concretamente a la facultad de decidir la negociación exclusiva de valores en el Sistema de Interconexión Bursátil, el Gobierno Vasco alega que no puede excluirse de dicha decisión a su Comunidad Autónoma.  Por su parte el Consejo Ejecutivo de la Generalidad de Cataluña argumenta que las del art. 51 son funciones ejecutivas que corresponden a la Comunidad Autónoma.</w:t>
      </w:r>
    </w:p>
    <w:p w:rsidR="006854DA" w:rsidRDefault="006854DA" w:rsidP="006854DA">
      <w:pPr>
        <w:pStyle w:val="TextoNormal"/>
      </w:pPr>
      <w:r>
        <w:t>Frente a todo ello, el Abogado del Estado defiende la constitucionalidad de los preceptos impugnados sobre la base de tres razones fundamentalmente: el Sistema de Interconexión Bursátil, de ámbito estatal, no es un centro de contratación de valores; en cualquier caso, desborda territorialmente las competencias de las Comunidades Autónomas, por desarrollarse en un ámbito nacional sustraido al ejercicio de las potestades autonómicas y, por último, el vaciamiento de competencias autonómicas que predicen no es propiamente tal, ni tampoco cabe imputarlo a la Ley, ya que de producirse el languidecimiento de las Bolsas de Barcelona y Bilbao, sería imputable a las fuerzas del mercado, esto es, al conjunto de muchas microdecisiones libremente adoptadas por los agentes económicos.</w:t>
      </w:r>
    </w:p>
    <w:p w:rsidR="006854DA" w:rsidRDefault="006854DA" w:rsidP="006854DA">
      <w:pPr>
        <w:pStyle w:val="TextoNormal"/>
      </w:pPr>
      <w:r>
        <w:t xml:space="preserve">Ante todo ha de quedar sentado que, tal y como dice el Abogado del Estado, el Sistema de Interconexión Bursátil no es una Bolsa de Valores o, más genéricamente, un centro de contratación de éstos. El Sistema de Interconexión Bursátil es un sistema de contratación, concretamente, el de contratación continuada, que se utiliza en nuestras Bolsas junto con otros como son el denominado de viva voz, el de cajas y el de oposiciones. Al ser un sistema de contratación, esto es, una forma de realizar el negocio bursátil, y no un mercado </w:t>
      </w:r>
      <w:r>
        <w:lastRenderedPageBreak/>
        <w:t>secundario propiamente dicho, esto es, el lugar donde ese negocio se realiza físicamente, mal puede decirse -como hace el Consejo Ejecutivo de la Generalidad de Cataluña- que se ha creado una nueva Bolsa en el territorio de las Comunidades Autónomas de Cataluña y del País Vasco. Además, al ser un sistema que descansa en la interconexión de los distintos operadores por cauces informáticos, refleja una actividad que desborda, por definición, el ámbito territorial intracomunitario.  Con independencia de lo anterior, en la STC 37/1997, y para un supuesto que guarda una clara semejanza con éste, hemos afirmado el carácter básico de la regulación contenida en el Real Decreto 1.369/1987, por el que se crea el Sistema Nacional de Compensación Electrónica, dado el carácter básico que debe otorgarse al establecimiento de un instrumento que persigue garantizar el buen funcionamiento, solvencia y eficencia del sistema de pagos. Igual conclusión debe mantenerse en relación con el Sistema de Interconexión Bursátil.</w:t>
      </w:r>
    </w:p>
    <w:p w:rsidR="006854DA" w:rsidRDefault="006854DA" w:rsidP="006854DA">
      <w:pPr>
        <w:pStyle w:val="TextoNormal"/>
      </w:pPr>
      <w:r>
        <w:t>El establecimiento de dicho Sistema, como una forma de contratación que permite el cruce de operaciones a través de un sistema de interconexión informatizado, es una decisión básica con la que se pretende servir a la transparencia de los mercados, a la igualdad en el acceso de los operadores a los mismos y, en una palabra, a la unidad del mercado. En efecto, al ser un sistema basado en la interconexión informatizada garantiza la información constante a los inversores, así como la igualdad de acceso al sistema, al margen de dónde se encuentren ubicados los operadores. El sistema centraliza, así, las operaciones bursátiles y produce un único precio o cambio.</w:t>
      </w:r>
    </w:p>
    <w:p w:rsidR="006854DA" w:rsidRDefault="006854DA" w:rsidP="006854DA">
      <w:pPr>
        <w:pStyle w:val="TextoNormal"/>
      </w:pPr>
      <w:r>
        <w:t>Por todo lo dicho, resulta evidente que el legislador estatal es competente para establecer un sistema de contratación continuada por cuanto que con dicho sistema pretende dar al mercado mayor fluidez y eficacia, permitiendo también un mayor volumen de contratación, con la repercusión que ello tiene en el sistema financiero nacional. Optar por la contratación a través del Sistema de Interconexión Bursátil, o por los otros sistemas tradicionales en una Bolsa concreta o, incluso, acudir a los mercados internacionales es algo que forma parte del ejercicio de la libertad de los operadores económicos, sin que pueda decirse que la regulación contenida en los arts. 49 a 53 imponga un sistema por encima de otro u otros.</w:t>
      </w:r>
    </w:p>
    <w:p w:rsidR="006854DA" w:rsidRDefault="006854DA" w:rsidP="006854DA">
      <w:pPr>
        <w:pStyle w:val="TextoNormal"/>
      </w:pPr>
      <w:r>
        <w:t>En consecuencia, debemos concluir que la previsión del art. 51 no invade las competencias de las Comunidades Autónomas recurrentes, pues siendo cierto que la decisión que se encomienda a la Comisión Nacional del Mercado de Valores de que la integración de una emisión en el Sistema de Interconexión Bursátil implique su negociación exclusiva a través del mismo y, en su caso, se incorpore al Servicio de Compensación y Liquidación de Valores, es de naturaleza ejecutiva, no lo es menos que al ser una decisión que opera en un sistema básico de ámbito estatal, único por tanto, como es el Sistema de Interconexión Bursátil, nada puede oponerse, desde la perspectiva de la distribución de competencias en esta materia, a que el legislador encomiende una facultad semejante a un órgano de carácter estatal cual es la Comisión Nacional del Mercado de Valores. Por todo ello, hay que concluir que los arts.  49 a 52 de la Ley del Mercado de Valores no suponen invasión alguna en el ámbito de las competencias de las Comunidades Autónomas recurrentes.</w:t>
      </w:r>
    </w:p>
    <w:p w:rsidR="006854DA" w:rsidRDefault="006854DA" w:rsidP="006854DA">
      <w:pPr>
        <w:pStyle w:val="TextoNormal"/>
      </w:pPr>
      <w:r>
        <w:t xml:space="preserve">El art. 53, párrafo primero, cuya impugnación mantiene el Consejo Ejecutivo de la Generalidad de Cataluña por considerar que otorga a la Comisión Nacional del Mercado de Valores una función (comunicar el haber sobrepasado dedeterminados porcentajes de titularidad en el capital de las sociedades cuyas acciones hanyan sido admitidas a negociación en Bolsa) que por su naturaleza ejecutiva debe corresponder a la Comunidad Autónoma, no atribuye función alguna a dicha Comisión, sino que, antes bien, impone a quien adquiera o transmita acciones de una sociedad, que alcancen cierto porcentaje, la obligación de </w:t>
      </w:r>
      <w:r>
        <w:lastRenderedPageBreak/>
        <w:t>comunicar determinada información a la sociedad afectada por la operación, a la Bolsa en que sus acciones se negocien y a la Comisión Nacional.  La configuración de tal carga informativa es una norma básica que corresponde al Estado, por que con ella se pretende garantizar la transparencia del mercado y, consiguientemente, la correcta formación de los precios. Por ello, no resulta dudoso que este precepto no invade las competencias de la Generalidad de Cataluña.</w:t>
      </w:r>
    </w:p>
    <w:p w:rsidR="006854DA" w:rsidRDefault="006854DA" w:rsidP="006854DA">
      <w:pPr>
        <w:pStyle w:val="TextoNormal"/>
      </w:pPr>
      <w:r>
        <w:t>f) El art. 54 -que regula el Servicio de Compensación y Liquidación de Valores (S.C.L.V.)- ha sido impugnado por el Parlamento y el Consejo Ejecutivo de la Generalidad de Cataluña. El primero alega que con el Servicio de Compensación y Liquidación de Valores se centraliza todo el proceso en que consiste la operación bursátil, de tal manera que mientras que la contratación puede realizarse en los mercados territoriales, la liquidación debe realizarse ante la Sociedad creada por este artículo, con sede en Madrid y controlada directamente por la Comisión Nacional del Mercado de Valores. Ello, además de vulnerar el orden constitucional y estatutario, fracciona las operaciones contractuales, de manera que un mercado de Bolsa que no liquida no es un verdadero mercado. El Consejo Ejecutivo alega que con la implantación del Servicio de Compensación y Liquidación de Valores se cierra el proceso de centralización absoluta del sistema bursátil que conllevará la desaparición, por inviabilidad económica, de las Bolsas periféricas actualmente existentes.  Si se atribuye al Servicio de Compensación y Liquidación de Valores, en exclusiva, la compensación y liquidación de valores y efectivo admitidas a negociación en más de una Bolsa, se están centralizando estas operaciones respecto de los valores de mayor relevancia. Al mismo tiempo, esa centralización está produciendo el vaciamiento de estas operaciones instrumentales de las operaciones bursátiles que hasta hoy realizaban las distintas Bolsas y, en concreto, la de Barcelona. El Abogado del Estado alega que la implantación de un sistema integrado de compensación y liquidación de operaciones es una decisión básica por cuanto es condición indispensable para que el mercado único -que pretende establecer la Ley del Mercado de Valores- sea eficiente, lo que, a su vez, es condicionante de su competitividad internacional. Si el establecimiento del Sistema de Interconexión Bursátil - argumenta el Abogado del Estado- no redunda en pro del aumento del volumen de operaciones en la Bolsa de Barcelona, no por ello podrá entenderse violado el orden de competencias, pues éste no garantiza la prosperidad o el volumen de operaciones de ninguna Bolsa.</w:t>
      </w:r>
    </w:p>
    <w:p w:rsidR="006854DA" w:rsidRDefault="006854DA" w:rsidP="006854DA">
      <w:pPr>
        <w:pStyle w:val="TextoNormal"/>
      </w:pPr>
      <w:r>
        <w:t>De la amplia regulación que contiene el art. 54, los recurrentes sólo cuestionan la centralización de la compensación y liquidación de las operaciones bursátiles en el Servicio de Compensación y Liquidación de Valores. La decisión de concentrar en una entidad, el Servicio de Compensación y Liquidación de Valores, la liquidación de las operaciones hechas sobre valores admitidos a negociación en más de una Bolsa, interpretación esta que comparten los recurrentes y el Abogado del Estado, no invade las competencias autonómicas, por cuanto que la finalidad que se pretende alcanzar con ello es garantizar la eficiencia del mercado, aumentando así su competitividad en el plano internacional. Ello constituye una decisión que, aun cuando no sea la única posible constitucionalmente, ha de considerarse básica dado que incide frontalmente en la construcción de un mercado único de valores, objetivo principal de la Ley que encuentra su respaldo constitucional, como ya se ha dicho, en el principio de unidad del mercado del que constituye una mera concreción. Aquí es de plena aplicación también la doctrina contenida en la STC 37/1997. El hecho de que, además, el Servicio de Compensación y Liquidación de Valores lo sea para los valores que coticen en más de una Bolsa fortalece las competencias del Estado, quedando al margen de dicha regulación la competencia de las Comunidades Autónomas para organi</w:t>
      </w:r>
      <w:r>
        <w:lastRenderedPageBreak/>
        <w:t>zar ese servicio en las Bolsas ubicadas en sus respectivos territorios cuando se trate de operaciones sobre valores admitidos a negociación sólo en esas Bolsas. Buena prueba de ello la constituye el segundo párrafo de este artículo, que salva expresamente la competencia autonómica cuando se trate de valores admitidos a negociación en una única Bolsa.</w:t>
      </w:r>
    </w:p>
    <w:p w:rsidR="006854DA" w:rsidRDefault="006854DA" w:rsidP="006854DA">
      <w:pPr>
        <w:pStyle w:val="TextoNormal"/>
      </w:pPr>
      <w:r>
        <w:t>Por lo dicho, el art. 54 de la Ley del Mercado de Valores no quebranta el orden constitucional de competencias.</w:t>
      </w:r>
    </w:p>
    <w:p w:rsidR="006854DA" w:rsidRDefault="006854DA" w:rsidP="006854DA">
      <w:pPr>
        <w:pStyle w:val="TextoNormal"/>
      </w:pPr>
    </w:p>
    <w:p w:rsidR="006854DA" w:rsidRDefault="006854DA" w:rsidP="006854DA">
      <w:pPr>
        <w:pStyle w:val="TextoNormal"/>
      </w:pPr>
      <w:r w:rsidRPr="006854DA">
        <w:rPr>
          <w:rStyle w:val="NumeroAFNegritaCaracter"/>
        </w:rPr>
        <w:t>10</w:t>
      </w:r>
      <w:r>
        <w:t>. Las Sociedades y Agencias de Valores son objeto de tratamiento en el Título V de la Ley, del cual han sido impugnados los arts. 62, 63, 64, 66.e), 67 y 69 donde se regulan los requisitos para su creación.</w:t>
      </w:r>
    </w:p>
    <w:p w:rsidR="006854DA" w:rsidRDefault="006854DA" w:rsidP="006854DA">
      <w:pPr>
        <w:pStyle w:val="TextoNormal"/>
      </w:pPr>
      <w:r>
        <w:t>a) El primero de ellos, art. 62, atribuye al Ministro de Economía y Hacienda, a propuesta de la Comisión Nacional del Mercado de Valores, la facultad de autorizar la creación de las Sociedades y Agencias de Valores. El Gobierno Vasco discrepa de esta solución y considera que pone en manos del Ministro de Economía y Hacienda la propia existencia de la Bolsa de Comercio de Bilbao, ya que existe el riesgo muy probable de que en la Comunidad Autónoma no sea autorizada la creación de ninguna Sociedad o Agencia de Valores, así como de que ninguna de las autorizadas suscriba capital de la Sociedad Rectora de la antedicha Bolsa, dada la existencia del Sistema de Interconexión Bursátil. El Parlamento de Cataluña pone el acento en la naturaleza ejecutiva de la autorización que correspondería, por ello, a la Comunidad Autónoma, sin que pueda argüirse en contra los efectos extraterritoriales de dicho acto, puesto que se trata de una potestad reglada. En el mismo sentido se expresa el Consejo Ejecutivo de la Generalidad, que a esos argumentos añade el de que estas Sociedades y Agencias de Valores han sustituido a los Agentes de Cambio y Bolsa, sobre cuyo nombramiento la Comunidad Autónoma tiene competencias ex art. 11.4 del Estatuto de Autonomía de Cataluña.</w:t>
      </w:r>
    </w:p>
    <w:p w:rsidR="006854DA" w:rsidRDefault="006854DA" w:rsidP="006854DA">
      <w:pPr>
        <w:pStyle w:val="TextoNormal"/>
      </w:pPr>
      <w:r>
        <w:t>El Abogado del Estado argumenta, en primer lugar, que todo el título V de la Ley recurrida tiene carácter jurídico-mercantil, puesto que regula el régimen de creación del "empresario social". Concretamente, el art. 62 no vulnera los arts.  10.29 del Estatuto de Autonomía del País Vasco y 9.20 del Estatuto de Autonomía de Cataluña, porque la autorización permite operar en todo el mercado financiero español. Además, el otorgamiento de la autorización a un órgano central es una base de la ordenación del crédito en atención a los elementos de apreciación discrecional que entraña y que exigen un único juicio global. Finalmente, argumenta el Abogado del Estado, el carácter básico del art.  62 podría predicarse desde la garantía de la igualdad de estos empresarios y de los inversores.</w:t>
      </w:r>
    </w:p>
    <w:p w:rsidR="006854DA" w:rsidRDefault="006854DA" w:rsidP="006854DA">
      <w:pPr>
        <w:pStyle w:val="TextoNormal"/>
      </w:pPr>
      <w:r>
        <w:t xml:space="preserve">Nada cabe oponer a la tesis del Abogado del Estado según la cual la preservación de la igualdad de los operadores del mercado, así como de la unidad de dicho mercado, exigen una regulación homogénea de los requisitos que han de cumplir las Sociedades y Agencias de Valores, por cuanto que del cumplimiento de dichos requisitos depende que obtengan la condición legal de miembros (art.  47), condición ésta que permite su mediación en las operaciones de los mercados secundarios oficiales, lo que constituye, a su vez, requisito de validez de dichas operaciones (art. 36). Si lo anterior es cierto, no lo es menos que el acto de autorizar la creación de estas Sociedades y Agencias de Valores es un acto de ejecución. Ahora bien, siendo ello así no implica necesariamente que la competencia para su adopción deba corresponder a las Comunidades Autónomas.  Ya hemos visto cómo meros actos de ejecución pueden quedar comprendidos en el ámbito de lo básico [Fundamento jurídico 9º.A).b), c) y d) en relación con los arts. 32, 33 y 34 de la Ley] y, por ello, ser de la competencia estatal. El acto de que aquí se trata exige comprobar el cumplimiento de los requisitos previstos en la Ley, algunos de los cuales [apartados g), i) y j) del art. 66] </w:t>
      </w:r>
      <w:r>
        <w:lastRenderedPageBreak/>
        <w:t>incorporan conceptos jurídicos indeterminados que dejan un margen de apreciación, que aconseja, como ya hemos expresado supra [Fundamento jurídico 9ºA.b)], la localización en un centro unitario de la decisión, pues sólo así quedarán garantizadas la unidad del mercado y la igualdad en el acceso al mismo, objetivos éstos cuya culminación no sólo exige una regulación unitaria por Ley de los requisitos precisos para constituir una Sociedad o Agencia de Valores, sino también la atribución a un único titular de la decisión de autorizar la creación de aquélla.</w:t>
      </w:r>
    </w:p>
    <w:p w:rsidR="006854DA" w:rsidRDefault="006854DA" w:rsidP="006854DA">
      <w:pPr>
        <w:pStyle w:val="TextoNormal"/>
      </w:pPr>
      <w:r>
        <w:t>Las Sociedades y Agencias de Valores son las protagonistas del sistema creado por la Ley recurrida en un mercado globalizado, donde se integran tanto el mercado primario como los secundarios, alguno de los cuales se sirven de concretas localizaciones espaciales como centros de contratación, en el que actúan como mediadoras y en el que la decisión adoptada en uno de sus puntos produce, o puede producir, efectos automáticos en otros. Así las cosas, no puede negarse la calificación de básica a la decisión de centralizar en el Ministro de Economía y Hacienda, a propuesta de la Comisión Nacional, la autorización para la creación de Sociedades y Agencias de Valores. El régimen de libertad instaurado en la Ley y la necesidad de garantizar la fiabilidad del mercado exigen que la adopción de decisiones como la contemplada se residencien en un único órgano.</w:t>
      </w:r>
    </w:p>
    <w:p w:rsidR="006854DA" w:rsidRDefault="006854DA" w:rsidP="006854DA">
      <w:pPr>
        <w:pStyle w:val="TextoNormal"/>
      </w:pPr>
      <w:r>
        <w:t>Por último, en lo que respecta a la competencia de la Comunidad Autónoma de Cataluña sobre el nombramiento de Agentes de Cambio y Bolsa y Corredores de Comercio (art. 11.4 E.A.C.), no se ha producido invasión alguna por la sencilla razón de que nada tiene que ver la autorización de la creación de Sociedades y Agencias de Valores con el nombramiento de estos profesionales.  La decisión de prescindir de la figura del agente mediador individual y sustituirlo por unas entidades financieras especializadas es una decisión básica que corresponde adoptar al Estado, ya que con ella se pretende asegurar la solvencia financiera de quienes desarrollan actividades que encierran importantes riesgos potenciales, como dice la Exposición de Motivos de la Ley.  La Comunidad Autónoma de Cataluña tiene la competencia de ejecución de la legislación del Estado en materia de nombramiento de estos Agentes, pero ello es insuficiente para que pueda condicionar, como pretende, la legislación del Estado, o, dicho con otras palabras, no hay ninguna norma del bloque de la constitucionalidad que obligue al Estado a mantener esa categoría profesional y, mucho menos, con las funciones que hasta ahora le venían atribuidas.</w:t>
      </w:r>
    </w:p>
    <w:p w:rsidR="006854DA" w:rsidRDefault="006854DA" w:rsidP="006854DA">
      <w:pPr>
        <w:pStyle w:val="TextoNormal"/>
      </w:pPr>
      <w:r>
        <w:t>Por su parte, sobre el art. 63, párrafo 1º, que impugna el Consejo Ejecutivo por su conexión con el 92, nos hemos pronunciado al tiempo de enjuiciar el 26 [Fundamento jurídico 8º de esta Sentencia] y siendo éste constitucional parece evidente que lo sea el otro, sin más argumentos.</w:t>
      </w:r>
    </w:p>
    <w:p w:rsidR="006854DA" w:rsidRDefault="006854DA" w:rsidP="006854DA">
      <w:pPr>
        <w:pStyle w:val="TextoNormal"/>
      </w:pPr>
      <w:r>
        <w:t>Así, pues, hemos de concluir que el art. 62, párrafo 1º -en cuanto atribuye la autorización de la creación de las Sociedades y Agencias de Valores al Ministro de Economía y Hacienda-, así como el 63, no vulneran el orden constitucional de competencias.</w:t>
      </w:r>
    </w:p>
    <w:p w:rsidR="006854DA" w:rsidRDefault="006854DA" w:rsidP="006854DA">
      <w:pPr>
        <w:pStyle w:val="TextoNormal"/>
      </w:pPr>
      <w:r>
        <w:t>b) El art. 64 regula las consecuencias de la inscripción registral de las Sociedades y Agencias de Valores, así como la obligación de acreditar previamente ante la Comisión Nacional del Mercado de Valores el cumplimiento de los requisitos exigidos por la Ley.</w:t>
      </w:r>
    </w:p>
    <w:p w:rsidR="006854DA" w:rsidRDefault="006854DA" w:rsidP="006854DA">
      <w:pPr>
        <w:pStyle w:val="TextoNormal"/>
      </w:pPr>
      <w:r>
        <w:t>Los recurrentes argumentan que la acreditación del cumplimiento de los requisitos a que se refiere el precepto impugnado corresponde a las Comunidades Autónomas y no a la Comisión Nacional del Mercado de Valores, puesto que se trata de una actividad de verificación y, por tanto, ejecutiva, que corresponde a las Comunidades Autónomas cuando se trate de Sociedades y Agencias de Valores que actúen en sus respectivos territorios. El Abogado del Estado se opone a estos argumentos alegando que el art.  64 es una norma jurídico-mercantil en cuanto define la base para la conversión de las Sociedades y Agen</w:t>
      </w:r>
      <w:r>
        <w:lastRenderedPageBreak/>
        <w:t>cias de Valores en operadores bursátiles y en cuanto regula una relación inter privatos (entre una Sociedad o Agencia de Valores y otras Sociedades y Agencias accionistas de una Sociedad Rectora).</w:t>
      </w:r>
    </w:p>
    <w:p w:rsidR="006854DA" w:rsidRDefault="006854DA" w:rsidP="006854DA">
      <w:pPr>
        <w:pStyle w:val="TextoNormal"/>
      </w:pPr>
      <w:r>
        <w:t>El art. 64 es una consecuencia directa de la fórmula del apartado 3º del art.  62 -no contestada por los recurrentes- según la cual "para poder dar comienzo a sus actividades las Sociedades y Agencias de valores, obtenida la autorización, deberán quedar inscritas en los correspondientes Registros de la Comisión, tras su constitución e inscripción en el Registro Mercantil". En conexión con dicha regla, el art. 64, que ahora analizamos, establece que la inscripción en los correspondientes Registros (se entiende que son Registros de la Comisión Nacional del Mercado de Valores por el contexto del precepto) dará derecho a las Sociedades y Agencias a ser miembros de una o varias de las Bolsas de Valores, siempre que acrediten previamente ante la Comisión el cumplimiento de los requisitos que a este fin exige la Ley. Pues, bien, es este requisito de la acreditación ante la Comisión lo que las Comunidades Autónomas recurrentes cuestionan.</w:t>
      </w:r>
    </w:p>
    <w:p w:rsidR="006854DA" w:rsidRDefault="006854DA" w:rsidP="006854DA">
      <w:pPr>
        <w:pStyle w:val="TextoNormal"/>
      </w:pPr>
      <w:r>
        <w:t>Ante todo debe decirse que la inscripción en los Registros correspondientes de la Comisión Nacional del Mercado de Valores es un acto posterior y distinto a la creación de las Sociedades y Agencias, esto es, posterior a la obtención de la autorización.  Significa ello que de la inscripción de las Sociedades y Agencias de Valores en el Registro mercantil, primero, y en los Registros correspondientes de la Comisión Nacional del Mercado de Valores, después, no deriva su creación, sino la adquisición de su condición de miembros de una o varias Bolsas, según participen en el capital de las Sociedades Rectoras de una o varias Bolsas de Valores. Quiere decirse con ello que el acto de verificación por la Comisión Nacional del Mercado de Valores previsto en el art. 64 -que las Comunidades Autónomas recurrentes consideran lesivo de sus competencias- se refiere al cumplimiento de los requisitos para llegar a ser miembro de una Bolsa, una vez obtenida la inscripción en los correspondientes Registros.</w:t>
      </w:r>
    </w:p>
    <w:p w:rsidR="006854DA" w:rsidRDefault="006854DA" w:rsidP="006854DA">
      <w:pPr>
        <w:pStyle w:val="TextoNormal"/>
      </w:pPr>
      <w:r>
        <w:t>Dicho esto, nada hay que oponer, y nada oponen las Comunidades Autónomas, al hecho de que el Estado cree un Registro único que garantice la concentración de todos los datos relativos a las Sociedades y Agencias de Valores, ya que con ello cumple una función de información y publicidad que entra en el terreno de sus competencias sobre el mercado único de valores. Sin embargo, no puede decirse lo mismo sobre la actividad consistente en verificar el cumplimiento de los requisitos necesarios para que puedan ser considerados miembros de una o varias Bolsas. Siendo básica, y así lo hemos declarado en relación con el art. 47 de la Ley, la fijación de los requisitos necesarios para alcanzar la condición de miembro de las Bolsas, la certificación del cumplimiento de dichos requisitos es un acto reglado, de estricta comprobación de las condiciones fijadas por la Ley que posee naturaleza ejecutiva.</w:t>
      </w:r>
    </w:p>
    <w:p w:rsidR="006854DA" w:rsidRDefault="006854DA" w:rsidP="006854DA">
      <w:pPr>
        <w:pStyle w:val="TextoNormal"/>
      </w:pPr>
      <w:r>
        <w:t xml:space="preserve">No hay ninguna razón -ni el Abogado del Estado la apunta tampoco- para sostener que, a pesar de su naturaleza ejecutiva, la actuación de la que tratamos tenga carácter básico. Antes al contrario, debemos concluir que la homogeneidad exigida por los principios de unidad de mercado y las bases de la ordenación del crédito no se rompe por el hecho de que sean las Comunidades Autónomas, con competencias en la materia, las que verifiquen si las Sociedades y Agencias de Valores cumplen los requisitos de participación en el capital de la Sociedad Rectora de la Bolsa ubicada en su territorio. Todo ello significa que -en línea con lo que sostuvimos en nuestra STC 243/1994 (Fundamento jurídico 6º)- el Estado, a través de la Comisión Nacional del Mercado de Valores, puede establecer los Registros correspondientes para la inscripción de las Sociedades y Agencias de Valores </w:t>
      </w:r>
      <w:r>
        <w:lastRenderedPageBreak/>
        <w:t>pero, en tal caso, debe aceptar como vinculantes las propuestas de inscripción que efectúen las Comunidades Autónomas con competencias en la materia.</w:t>
      </w:r>
    </w:p>
    <w:p w:rsidR="006854DA" w:rsidRDefault="006854DA" w:rsidP="006854DA">
      <w:pPr>
        <w:pStyle w:val="TextoNormal"/>
      </w:pPr>
      <w:r>
        <w:t>Por lo dicho, debemos declarar que el art. 64, párrafo 1º, de la Ley del Mercado de Valores, en el inciso que dice "ante la Comisión Nacional del Mercado de Valores", no respeta la distribución de competencias establecida por el bloque de constitucionalidad.</w:t>
      </w:r>
    </w:p>
    <w:p w:rsidR="006854DA" w:rsidRDefault="006854DA" w:rsidP="006854DA">
      <w:pPr>
        <w:pStyle w:val="TextoNormal"/>
      </w:pPr>
      <w:r>
        <w:t>c) Del art. 66, donde se enumeran los requisitos necesarios para que una entidad obtenga y conserve la autorización como Sociedad o Agencia de Valores, sólo ha sido impugnado el apartado e), relativo a cantidades mínimas de capital social y de recursos propios.</w:t>
      </w:r>
    </w:p>
    <w:p w:rsidR="006854DA" w:rsidRDefault="006854DA" w:rsidP="006854DA">
      <w:pPr>
        <w:pStyle w:val="TextoNormal"/>
      </w:pPr>
      <w:r>
        <w:t>El Gobierno Vasco engloba la impugnación de este precepto en un bloque que abarca los arts.  47, 48, 51, 62, 64, el propio 66.e), 67 y la Disposición adicional primera. La alegación genérica y común a todos ellos es que los preceptos mencionados establecen una organización minuciosa y acabada de las Bolsas de Valores que impide cualquier desarrollo por las Comunidades Autónomas y con la que se corre el riesgo de que ninguna Sociedad o Agencia de Valores suscriba capital de la Sociedad Rectora de la Bolsa de Bilbao. En consecuencia, y refiriéndose en concreto al art. 66 e), para evitar ese riesgo debe corresponder a la Comunidad Autónoma el desarrollo reglamentario al que alude el precepto en cuestión. El Abogado del Estado rechaza esa argumentación alegando que el precepto establece requisitos propios del Derecho mercantil y que, en cualquier caso, si no se entendiera procedente su inclusión en el art.  149.1.6 C.E., es indiscutible que este precepto establece un mínimo común denominador de la ordenación del crédito (art. 149.1.11 C.E.)  y una garantía de la igualdad del ejercicio de las actividades empresariales propias de las Sociedades y Agencias de Valores (art. 149.1.1, en relación con el art. 38 C.E.).</w:t>
      </w:r>
    </w:p>
    <w:p w:rsidR="006854DA" w:rsidRDefault="006854DA" w:rsidP="006854DA">
      <w:pPr>
        <w:pStyle w:val="TextoNormal"/>
      </w:pPr>
      <w:r>
        <w:t>El requisito que establece el art. 66 (que la Sociedad o Agencia de Valores disponga del capital social mínimo que reglamentariamente se establezca, desembolsado en efectivo en la proporción exigida, y, posteriormente, de los niveles mínimos de recursos propios, proporcionados al volumen de actividad y a los riesgos asumidos que, de forma análoga, se determinen) es, sin lugar a dudas, una norma de carácter básico por cuanto la finalidad de la misma es garantizar la solvencia de unas entidades -las Sociedades y Agencias de Valores- que actúan como mediadoras en las operaciones bursátiles, constituyendo su participación requisito de validez de las mismas. Exigir una cantidad mínima de capital social y unos niveles mínimos de recursos propios, proporcionados al volumen de actividad que lleven a cabo estas entidades, es una medida de seguridad que redunda en beneficio de los inversores y, que garantiza la igualdad entre los operadores del mercado, condiciones todas ellas que afectan, en último término, a la estabilidad del sistema financiero.</w:t>
      </w:r>
    </w:p>
    <w:p w:rsidR="006854DA" w:rsidRDefault="006854DA" w:rsidP="006854DA">
      <w:pPr>
        <w:pStyle w:val="TextoNormal"/>
      </w:pPr>
      <w:r>
        <w:t>No es obstáculo para mantener lo que acaba de decirse el hecho de que la Ley remita al Reglamento la fijación de esos niveles mínimos de capital y de recursos propios, pues es doctrina reiterada de este Tribunal que aunque la Ley es el medio ordinario de fijación de las bases, también pueden establecerse por Reglamento en materias que, por su naturaleza cambiante y coyuntural, exijan una actividad normadora que reúna unas características de rapidez y capacidad de ajuste que la Ley no tiene (STC 86/1989, Fundamento jurídico 17). En el presente caso, la determinación por Reglamento de este requisito, que constituye la garantía de la solvencia de las Sociedades y Agencias de Valores, queda justificada por la variabilidad de las circunstancias a ponderar, dada la naturaleza cambiante y coyuntural de la actividad económica que se desarrolla en los mercados de valores.</w:t>
      </w:r>
    </w:p>
    <w:p w:rsidR="006854DA" w:rsidRDefault="006854DA" w:rsidP="006854DA">
      <w:pPr>
        <w:pStyle w:val="TextoNormal"/>
      </w:pPr>
      <w:r>
        <w:t>En su virtud, resulta evidente que el art. 66 e) de la Ley del Mercado de Valores no invade las competencias de la Comunidad Autónoma del País Vasco.</w:t>
      </w:r>
    </w:p>
    <w:p w:rsidR="006854DA" w:rsidRDefault="006854DA" w:rsidP="006854DA">
      <w:pPr>
        <w:pStyle w:val="TextoNormal"/>
      </w:pPr>
      <w:r>
        <w:t>d) El art. 67, que ha sido impugnado por los tres recurrentes, establece el régimen jurídico de la revocación de la autorización de las Sociedades y Agencias, definiendo las cau</w:t>
      </w:r>
      <w:r>
        <w:lastRenderedPageBreak/>
        <w:t>sas que la determinan y atribuyendo la facultad de revocar al Consejo de Ministros, a propuesta del Ministro de Economía y Hacienda e iniciativa de la Comisión Nacional del Mercado de Valores. Es este último extremo, es decir, la atribución de las competencias de revocación de las autorizaciones al Consejo de Ministros, lo que los recurrentes cuestionan, reiterando la argumentación que formularon en relación con el art.  62, esto es, que se trata de un acto de ejecución que corresponde a las Comunidades Autónomas del País Vasco y Cataluña. El Abogado del Estado, por su parte, reitera también las alegaciones formuladas en relación con dicho artículo.</w:t>
      </w:r>
    </w:p>
    <w:p w:rsidR="006854DA" w:rsidRDefault="006854DA" w:rsidP="006854DA">
      <w:pPr>
        <w:pStyle w:val="TextoNormal"/>
      </w:pPr>
      <w:r>
        <w:t>Pues bien, por las mismas razones ya expuestas en el apartado a) de este fundamento jurídico en relación con el art. 62, y que no es necesario reproducir ahora, hemos de convenir que la facultad de revocar las autorizaciones es básica.  Así pues, el art.  67 de la Ley respeta el orden constitucional de competencias.</w:t>
      </w:r>
    </w:p>
    <w:p w:rsidR="006854DA" w:rsidRDefault="006854DA" w:rsidP="006854DA">
      <w:pPr>
        <w:pStyle w:val="TextoNormal"/>
      </w:pPr>
      <w:r>
        <w:t>e) El art. 69 regula el régimen de incompatibilidades de los Administradores de las Sociedades y Agencias de Valores, de un lado, y de los Corredores de Comercio Colegiados y Notarios, de otro. Con invocación expresa de los arts.  9.23 (competencia sobre el ejercicio de profesiones tituladas), 11.4 (sobre el nombramiento de Corredores de Comercio) y 9.20 (competencia sobre centros de contratación de valores), todos ellos del Estatuto de Autonomía de Cataluña, el Parlamento catalán reconoce que el régimen de incompatibilidades puede ser básico en cuanto a los principios que lo informan, pero no respecto al desarrollo de estos principios hasta el extremo de prever todos y cada uno de los casos de forma exhaustiva y limitativa. El Abogado del Estado defiende la constitucionalidad del precepto diferenciando entre el primer apartado (Sociedades y Agencias de Valores), que sería una norma jurídico-mercantil, por cuanto pretende evitar colisiones de intereses en relaciones inter privatos, y el segundo (Corredores de Comercio y Notarios) que son normas estatutarias de dos tipos profesionales ejercientes de funciones públicas, respecto a las que la Comunidad Autónoma de Cataluña sólo tiene las competencias de ejecución de los arts. 11.4 y 24.1 del Estatuto de Autonomía de Cataluña y carece, por tanto, de potestades normativas.</w:t>
      </w:r>
    </w:p>
    <w:p w:rsidR="006854DA" w:rsidRDefault="006854DA" w:rsidP="006854DA">
      <w:pPr>
        <w:pStyle w:val="TextoNormal"/>
      </w:pPr>
      <w:r>
        <w:t>Ante todo, ha de quedar claro cuál es el título competencial específico en el que debe encuadrarse la regulación contenida en el art. 69, ya que, como acaba de verse, mientras que el Parlamento de Cataluña invoca títulos tan dispares como el ejercicio de profesiones, el nombramiento de Corredores de Comercio y el establecimiento y ordenación de los centros de contratación de valores, el Abogado del Estado enmarca el precepto cuestionado en el título legislación mercantil, de la competencia exclusiva del Estado.</w:t>
      </w:r>
    </w:p>
    <w:p w:rsidR="006854DA" w:rsidRDefault="006854DA" w:rsidP="006854DA">
      <w:pPr>
        <w:pStyle w:val="TextoNormal"/>
      </w:pPr>
      <w:r>
        <w:t>No puede negarse que el precepto en cuestión afecta en cierto modo al ejercicio profesional de los Notarios y Corredores de Comercio; pero este aspecto no es, ni con mucho, su contenido principal. En este artículo se establece el régimen de incompatibilidades de los Administradores de las Sociedades y Agencias de Valores, así como el de los Corredores de Comercio y Notarios en relación con las Sociedades y Agencias de Valores y con las intervenciones en operaciones bursátiles. El contenido del art. 69 sobrepasa, pues, con mucho, los títulos competenciales relativos al nombramiento de Corredores de Comercio (art.  11.4 E.A.C.)  y al ejercicio de estas profesiones (art. 9.23 E.A.C.).</w:t>
      </w:r>
    </w:p>
    <w:p w:rsidR="006854DA" w:rsidRDefault="006854DA" w:rsidP="006854DA">
      <w:pPr>
        <w:pStyle w:val="TextoNormal"/>
      </w:pPr>
      <w:r>
        <w:t>Las normas de incompatibilidades que se establecen en el art. 69 han de considerarse como bases de la ordenación del crédito (art. 149.1.11 C.E.)  por cuanto pretenden ser una garantía de la transparencia de los sujetos que intervienen en operaciones relacionadas con el mercado de valores, ya sea en forma directa, como es el caso de los Administradores de las Sociedades y Agencias de Valores, ya en forma indirecta, como ocurre con los Corredores de Comercio Colegiados y los Notarios. El carácter básico de estas normas se expli</w:t>
      </w:r>
      <w:r>
        <w:lastRenderedPageBreak/>
        <w:t>ca por ser medidas encaminadas a garantizar la libertad de estos operadores, evitando que su actuación pueda resultar condicionada por su vinculación con Sociedades y Agencias de Valores o, en general, otras entidades que operen en los mercados secundarios oficiales. La regla básica estatal tiene como función establecer una lista mínima de causas de incompatibilidades, común para todo el Estado, que no excluye ni impide una intervención adicional del legislador autonómico, siempre que éste, al establecer otras normas de incompatibilidades, respete la misma finalidad a la que sirve la norma básica del Estado (SSTC 49/1988, Fundamento jurídico 27; 61/1993, Fundamento jurídico 3º; y 62/1993, Fundamento jurídico 4º).</w:t>
      </w:r>
    </w:p>
    <w:p w:rsidR="006854DA" w:rsidRDefault="006854DA" w:rsidP="006854DA">
      <w:pPr>
        <w:pStyle w:val="TextoNormal"/>
      </w:pPr>
      <w:r>
        <w:t>Por todo lo dicho, hay que concluir que el art. 69 de la Ley del Mercado de Valores no vulnera los arts. 9.23, 11.4 y 9.20 del Estatuto de Autonomía catalán.</w:t>
      </w:r>
    </w:p>
    <w:p w:rsidR="006854DA" w:rsidRDefault="006854DA" w:rsidP="006854DA">
      <w:pPr>
        <w:pStyle w:val="TextoNormal"/>
      </w:pPr>
    </w:p>
    <w:p w:rsidR="006854DA" w:rsidRDefault="006854DA" w:rsidP="006854DA">
      <w:pPr>
        <w:pStyle w:val="TextoNormal"/>
      </w:pPr>
      <w:r w:rsidRPr="006854DA">
        <w:rPr>
          <w:rStyle w:val="NumeroAFNegritaCaracter"/>
        </w:rPr>
        <w:t>11</w:t>
      </w:r>
      <w:r>
        <w:t>. El art. 78, que encabeza el Título VII (Normas de conducta), sólo ha sido impugnado por el Consejo Ejecutivo de la Generalidad de Cataluña, quien alega que la Comunidad Autónoma tiene competencia plena sobre la función ordenadora del mercado de valores que este Título de la Ley regula. No existe para el Consejo Ejecutivo de la Generalidad de Cataluña dificultad ni impedimento constitucional o estatutario alguno que impida a la Comunidad Autónoma, respetando la legislación comunitaria y las normas contenidas en el Título VII de la Ley, para elaborar códigos de conducta correspondientes a los mercados de valores radicados en su territorio. El Abogado del Estado, coincidiendo en cierto modo con dicho razonamiento, alega que los códigos de conducta previstos en el art. 78 de la Ley recurrida se amparan en el título legislación mercantil, pero no impiden que el órgano competente de la Generalidad pueda completar las normas estatales en la materia, siempre que ese complemento se limite a recopilar lo que se use con carácter peculiar en los centros de contratación de valores ubicados en su territorio. Dicha labor recopiladora, aunque mercantil por la materia, no es propiamente legislación.</w:t>
      </w:r>
    </w:p>
    <w:p w:rsidR="006854DA" w:rsidRDefault="006854DA" w:rsidP="006854DA">
      <w:pPr>
        <w:pStyle w:val="TextoNormal"/>
      </w:pPr>
      <w:r>
        <w:t>Tanto el recurrente, Consejo Ejecutivo de la Generalidad de Cataluña, como el Abogado del Estado coinciden en admitir el carácter básico de las normas del Título VII y, en concreto, de la disposición contenida en el precepto impugnado, así como en reconocer la competencia de la Comunidad Autónoma para aprobar códigos de conducta que habrán de respetar las Sociedades y Agencias de Valores y, en general, cuantas personas o entidades ejerzan actividades relacionadas con los mercados de valores ubicados en su territorio. Y en efecto, así debe interpretarse el art. 78 en cuanto que sujeta a todas las personas y entidades que actúen en los mercados de valores a unas normas uniformes de conducta, comunes a todas ellas y aplicables en cualquier mercado de valores existente en el Estado, sea cual sea su ubicación. Dichas normas, relativas fundamentalmente a los principios de prioridad del interés del cliente, de transparencia del mercado, del uso de información privilegiada y de la separación de funciones (arts. 80 al 83), constituyen el mínimo común básico en todo el Estado con el que se pretende garantizar la transparencia en el mismo, la correcta formación de los precios y la protección de los inversores. La atribución al Gobierno para que desarrolle estas reglas básicas no menoscaba ni tampoco impide que la Generalidad de Cataluña haga lo propio en el ejercicio de su propia competencia al respecto (art. 9.20 de su Estatuto de Autonomía) y, por ello, el art.  78 de la Ley no contradice el orden constitucional de competencias si se interpreta en el sentido que aquí acaba de exponerse.</w:t>
      </w:r>
    </w:p>
    <w:p w:rsidR="006854DA" w:rsidRDefault="006854DA" w:rsidP="006854DA">
      <w:pPr>
        <w:pStyle w:val="TextoNormal"/>
      </w:pPr>
    </w:p>
    <w:p w:rsidR="006854DA" w:rsidRDefault="006854DA" w:rsidP="006854DA">
      <w:pPr>
        <w:pStyle w:val="TextoNormal"/>
      </w:pPr>
      <w:r w:rsidRPr="006854DA">
        <w:rPr>
          <w:rStyle w:val="NumeroAFNegritaCaracter"/>
        </w:rPr>
        <w:t>12</w:t>
      </w:r>
      <w:r>
        <w:t>. Del Título VIII de la Ley (Régimen de supervisión, inspección y sanción) se han recurrido los arts. 84, párrafo segundo; 87; 92; 97; 98 y 107.</w:t>
      </w:r>
    </w:p>
    <w:p w:rsidR="006854DA" w:rsidRDefault="006854DA" w:rsidP="006854DA">
      <w:pPr>
        <w:pStyle w:val="TextoNormal"/>
      </w:pPr>
      <w:r>
        <w:lastRenderedPageBreak/>
        <w:t>a) Lo que en torno al art. 84 se discute es el inciso que salva las competencias autonómicas de supervisión, inspección y sanción pero sólo en relación con las operaciones sobre valores admitidos a negociación únicamente en las Bolsas ubicadas en su territorio, por entender que, con esa limitación -que no tiene justificación alguna- se restringen las competencias de las Comunidades Autónomas recurrentes hasta el punto de impedir que puedan ejercer sus competencias de supervisión, inspección y sanción sobre una parte de las operaciones que se realizan en los mercados de valores sitos en su territorio.</w:t>
      </w:r>
    </w:p>
    <w:p w:rsidR="006854DA" w:rsidRDefault="006854DA" w:rsidP="006854DA">
      <w:pPr>
        <w:pStyle w:val="TextoNormal"/>
      </w:pPr>
      <w:r>
        <w:t>El Abogado del Estado defiende la constitucionalidad del precepto argumentando que la elección por el legislador estatal del criterio de la admisión a negociación en una o varias Bolsas es una decisión básica, razonable y congruente, que se asienta, fundamentalmente, en la necesidad de evitar que el flujo de negociación hacia una u otra Bolsa pueda depender de los criterios más tolerantes o rigurosos de cada autoridad autonómica de supervisión, inspección o sanción.</w:t>
      </w:r>
    </w:p>
    <w:p w:rsidR="006854DA" w:rsidRDefault="006854DA" w:rsidP="006854DA">
      <w:pPr>
        <w:pStyle w:val="TextoNormal"/>
      </w:pPr>
      <w:r>
        <w:t>Ante todo ha de quedar claro que no puede descartarse, a priori, el carácter básico de una competencia de ejecución, pues, como ya hemos dicho, aunque sea excepcionalmente, los actos de ejecución pueden formar parte de las bases de una determinada materia. Por eso, la impugnación de los recurrentes no se basa en una argumentación de ese género, sino en la consideración de que la Ley estatal ha empleado un criterio de conexión no previsto ni en la Constitución ni en el Estatuto de Autonomía, que altera el sistema de distribución de competencias. Y así debe entenderse, en efecto, por cuanto que las Comunidades Autónomas recurrentes tienen estatutariamente atribuida la competencia sobre el establecimiento y la ordenación de los mercados de valores, con independencia de que las operaciones que en ellos se realicen tengan por objeto valores que coticen o no en otros mercados.</w:t>
      </w:r>
    </w:p>
    <w:p w:rsidR="006854DA" w:rsidRDefault="006854DA" w:rsidP="006854DA">
      <w:pPr>
        <w:pStyle w:val="TextoNormal"/>
      </w:pPr>
      <w:r>
        <w:t>El establecimiento de un segundo punto de conexión, acumulado al del territorio -aspecto este último sobre el que nada hay que objetar-, merma de una manera considerable las competencias de supervisión, inspección y sanción sobre los mercados de valores ubicados en el territorio de las Comunidades Autónomas recurrentes, desde el momento en que excluye la actuación de éstas sobre las operaciones que, aun realizadas en sus mercados de valores, tienen por objeto valores admitidos a negociación en otros mercados. Esa importante restricción de las competencias autonómicas por parte del Estado sólo será conforme a la Constitución si se demuestra que se asienta sobre una decisión de carácter básico, como así es.</w:t>
      </w:r>
    </w:p>
    <w:p w:rsidR="006854DA" w:rsidRDefault="006854DA" w:rsidP="006854DA">
      <w:pPr>
        <w:pStyle w:val="TextoNormal"/>
      </w:pPr>
      <w:r>
        <w:t>Las facultades de supervisión, inspección y sanción se ejercerán en relación con las conductas de las entidades y personas que se relacionan en el art.  84, esto es, aquéllas que operan, de forma muy diversa, en los mercados de valores. La necesidad de imponer, con carácter unitario en todo el territorio del Estado, un sistema corrector de las posibles infracciones de la Ley del Mercado de Valores no queda garantizada por la sujeción de esas entidades y personas al régimen de supervisión, inspección y sanción que, con carácter básico, define el Título VIII de la Ley. Es necesaria, además, una unitaria ejecución cuando se trata de valores admitidos a negociación en Bolsas ubicadas en territorios de distintas Comunidades Autónomas. Las facultades de supervisión, inspección y sanción no pueden separarse de la competencia sustantiva a la que sirven (SSTC 108/1993, Fundamento jurídico 3º, y 168/1993, Fundamento jurídico 8º) y a lo largo de esta Sentencia hemos expresado la competencia básica estatal sobre verificación previa del cumplimiento de requisitos por parte de valores para su admisión a negociación, y sobre suspensión y exclusión de los ya admitidos (arts. 32 , 33 y 34), fundando todo ello en la estabilidad y confianza del sistema financiero [Fundamento jurídico 9º.A),b), c) y d)].</w:t>
      </w:r>
    </w:p>
    <w:p w:rsidR="006854DA" w:rsidRDefault="006854DA" w:rsidP="006854DA">
      <w:pPr>
        <w:pStyle w:val="TextoNormal"/>
      </w:pPr>
      <w:r>
        <w:lastRenderedPageBreak/>
        <w:t>No está de más recordar aquí el alcance territorial de las competencias autonómicas, principio general que emana de la Constitución en razón de la propia organización territorial del Estado y que responde a la necesidad de hacer compatible el ejercicio simultáneo de las competencias por parte de las Comunidades Autónomas que las hayan asumido (SSTC 44/1984 -Fundamento jurídico 2º- y 132/1996 -Fundamento jurídico 4º), sin perjuicio de las consecuencias extraterritoriales de hecho que, en su caso, puedan derivarse de las decisiones adoptadas en ejercicio de competencias autonómicas (STC 48/1988, Fundamento jurídico 4º). Desde esta óptica, es lícito que una Comunidad Autónoma no pueda ejercer funciones de supervisión, inspección y sanción sobre entidades y personas físicas y jurídicas en relación con valores que además de operar en las Bolsas de su territorio, lo hacen también en Bolsas situadas en otras Comunidades Autónomas e, incluso, fuera del territorio nacional.</w:t>
      </w:r>
    </w:p>
    <w:p w:rsidR="006854DA" w:rsidRDefault="006854DA" w:rsidP="006854DA">
      <w:pPr>
        <w:pStyle w:val="TextoNormal"/>
      </w:pPr>
      <w:r>
        <w:t>En consecuencia, el inciso "en relación con las operaciones sobre valores admitidos a negociación únicamente en las mismas" del art. 84 de la Ley del Mercado de Valores no incurre en el exceso competencial denunciado por las Comunidades Autónomas litigantes.</w:t>
      </w:r>
    </w:p>
    <w:p w:rsidR="006854DA" w:rsidRDefault="006854DA" w:rsidP="006854DA">
      <w:pPr>
        <w:pStyle w:val="TextoNormal"/>
      </w:pPr>
      <w:r>
        <w:t>b) El art. 87 atribuye al Banco de España facultades de supervisión e inspección sobre todos los titulares y Entidades Gestoras del Mercado de Deuda Pública en anotaciones, así como sobre las actividades relacionadas con el mercado de valores realizadas por entidades inscritas en los Registros a su cargo a que se refiere el art. 76.</w:t>
      </w:r>
    </w:p>
    <w:p w:rsidR="006854DA" w:rsidRDefault="006854DA" w:rsidP="006854DA">
      <w:pPr>
        <w:pStyle w:val="TextoNormal"/>
      </w:pPr>
      <w:r>
        <w:t>El Gobierno Vasco alega que además de la competencia sobre Bolsas de Comercio y centros de contratación de valores, que el Estatuto de Autonomía del País Vasco ha atribuido a la Comunidad Autónoma (art. 10.29), a ésta le corresponde también, en virtud del art. 11.2 a) del Estatuto de Autonomía del País Vasco la competencia de desarrollo legislativo en materia de ordenación del crédito; razón por la cual la atribución al Banco de España de tales funciones menoscaba la competencia autonómica, ya que tratándose de meros actos de ejecución, sólo excepcionalmente pueden considerarse bases. El Abogado del Estado argumenta que el art. 87 no obsta a que pueda existir alguna hipótesis de confluencia de competencias entre el Banco de España y las autoridades autonómicas que ejerzan las potestades de supervisión, inspección y sanción con arreglo al art. 84, último párrafo, de la misma Ley. Lo único que sucede es que esa confluencia no cabe estimarla directamente regulada por el art. 87.</w:t>
      </w:r>
    </w:p>
    <w:p w:rsidR="006854DA" w:rsidRDefault="006854DA" w:rsidP="006854DA">
      <w:pPr>
        <w:pStyle w:val="TextoNormal"/>
      </w:pPr>
      <w:r>
        <w:t>Una vez más hemos de invocar la reiterada doctrina de este Tribunal, según la cual también pueden quedar comprendidos en el ámbito de lo básico los actos ejecutivos (SSTC 135/1992, Fundamento jurídico 5º, y 96/1996, Fundamento jurídico 12) para rechazar que sólo por el hecho de reservar al Estado (Banco de España) facultades de supervisión e inspección el art. 87 invada las competencias de la Comunidad Autónoma vasca. Para que el Estado pueda reservarse legítimamente facultades de ejecución, como son los actos de supervisión e inspección que, en principio, corresponderían a la Comunidad Autónoma recurrente [arts. 10.29 y 11.2 a) E.A.P.V.] sobre las entidades a que se refiere el art. 87, es preciso que la realización de esos actos singulares sea necesaria para preservar la integridad de lo básico.</w:t>
      </w:r>
    </w:p>
    <w:p w:rsidR="006854DA" w:rsidRDefault="006854DA" w:rsidP="006854DA">
      <w:pPr>
        <w:pStyle w:val="TextoNormal"/>
      </w:pPr>
      <w:r>
        <w:t xml:space="preserve">En el presente caso dicha circunstancia aparece con toda evidencia desde el momento en que las facultades de supervisión e inspección que se atribuyen al Banco de España lo son respecto de las entidades sometidas a su control.  Baste, por ello, para poner de manifiesto el carácter básico de la norma contenida en el art. 87, recordar que, como ya hemos declarado en otras ocasiones (SSTC 135/1992, Fundamento jurídico 5º; 178/1992, Fundamento jurídico 3º; 96/1996, Fundamento jurídico 33), es función del Banco de España garantizar la estabilidad del sistema financiero [Ley 13/1994, art. 7.3 b)], para lo cual se le </w:t>
      </w:r>
      <w:r>
        <w:lastRenderedPageBreak/>
        <w:t>encomienda el mantenimiento de la disciplina del sector y, por ende, su inspección.  En consecuencia, la previsión del precepto impugnado por el Gobierno Vasco se justifica en atención a las funciones de disciplina e inspección que sobre la totalidad del sistema financiero corresponden al Banco de España.</w:t>
      </w:r>
    </w:p>
    <w:p w:rsidR="006854DA" w:rsidRDefault="006854DA" w:rsidP="006854DA">
      <w:pPr>
        <w:pStyle w:val="TextoNormal"/>
      </w:pPr>
      <w:r>
        <w:t>c) Sobre el art. 92 (Registros Oficiales de la Comisión Nacional del Mercado de Valores) ya nos hemos pronunciado al enjuiciarlo conjuntamente con el art.  26. A lo dicho entonces (Fundamento jurídico 8º de esta Sentencia) nos remitimos ahora, añadiendo que no siendo inconstitucional el art. 92 tampoco lo son los preceptos que, por conexión con él, y sin más argumentos, ha impugnado el Consejo Ejecutivo de la Generalidad de Cataluña.</w:t>
      </w:r>
    </w:p>
    <w:p w:rsidR="006854DA" w:rsidRDefault="006854DA" w:rsidP="006854DA">
      <w:pPr>
        <w:pStyle w:val="TextoNormal"/>
      </w:pPr>
      <w:r>
        <w:t>d) Los arts. 95, párrafo 3º, 97 y 98 han sido recurridos solamente por el Parlamento de Cataluña, que, además, los impugna por conexión con el art. 84, ya examinado en el epígrafe a) de este mismo fundamento, a cuya argumentación se remite el recurrente sin añadir nada más.</w:t>
      </w:r>
    </w:p>
    <w:p w:rsidR="006854DA" w:rsidRDefault="006854DA" w:rsidP="006854DA">
      <w:pPr>
        <w:pStyle w:val="TextoNormal"/>
      </w:pPr>
      <w:r>
        <w:t>Ante una impugnación de este género -huérfana de toda argumentación que no sea la remisión genérica a la formulada en relación con el art. 84 de la Ley- no procede que este Tribunal entre a examinar los arts. 95, párrafo 3º, 97 y 98.  El Parlamento de Cataluña sólo ha impugnado el inciso del art. 84 de la Ley que circunscribe el ejercicio de las competencias autonómicas a las operaciones realizadas sobre valores que estén admitidos a negociación únicamente en las Bolsas localizadas en el territorio de las Comunidades Autónomas, alegando que de esta manera "la facultad de la Comunidad Autónoma queda reducida a la mínima expresión". La impugnación de los arts. 95, párrafo 3º, 97 y 98, basada exclusivamente en su conexión con el art. 84, carece absolutamente de sentido, por cuanto que el contenido de estas normas (definición de las Leyes y disposiciones administrativas que se consideran normas de ordenación y disciplina del mercado de valores -art. 95, párrafo 3-; reglas de competencia -art.  97- y reglas de procedimiento -art. 98-) nada tiene que ver con el hecho de que el ejercicio de la potestad sancionadora de la Comunidad Autónoma se ciña a las operaciones sobre valores admitidos a negociación sólo en las Bolsas situadas en su territorio o se extienda, por el contrario, a las que versen sobre valores que cotizan en otras Bolsas, situadas fuera de su territorio. Esto es, el hecho de que la potestad sancionadora se ejerza en relación con una u otras operaciones no quita ni añade nada a los preceptos que ahora se examinan por cuanto, en todo caso, al margen de la constitucionalidad de ese inciso, y de acuerdo con lo establecido en el art. 84, tienen carácter básico y son aplicables en la Comunidad Autónoma, salvo las referencias a los órganos o entidades estatales que contengan. Es evidente que, desde el momento en que la alegación que respalda la impugnación de estos preceptos (la del art. 84 de la Ley, por remisión) carece de fundamento. Sólo una impugnación autónoma, basada en argumentaciones específicas, de los tres preceptos mencionados, lo cual la recurrente no ha hecho, permitiría un pronunciamiento sobre los mismos por parte de este Tribunal.</w:t>
      </w:r>
    </w:p>
    <w:p w:rsidR="006854DA" w:rsidRDefault="006854DA" w:rsidP="006854DA">
      <w:pPr>
        <w:pStyle w:val="TextoNormal"/>
      </w:pPr>
      <w:r>
        <w:t>e) El art. 107, impugnado en los tres recursos de inconstitucionalidad, declara aplicables a las entidades enumeradas en los apartados a), b) y c) del art.  84.1 de la Ley lo dispuesto en el Título III de la Ley de Disciplina e Intervención de las Entidades de Crédito (medidas de intervención y de sustitución de sus órganos), al tiempo que atribuye a la Comisión Nacional del Mercado de Valores la competencia para acordar dichas medidas.</w:t>
      </w:r>
    </w:p>
    <w:p w:rsidR="006854DA" w:rsidRDefault="006854DA" w:rsidP="006854DA">
      <w:pPr>
        <w:pStyle w:val="TextoNormal"/>
      </w:pPr>
      <w:r>
        <w:t xml:space="preserve">A este único aspecto ciñe su impugnación el Gobierno Vasco, aun cuando reconozca que el precepto admite una lectura constitucional si se interpreta que la referencia a aquella Comisión ha de entenderse hecha al órgano análogo que en cada Comunidad Autónoma tenga atribuidas esas funciones. El Parlamento de Cataluña, por su parte, al igual que </w:t>
      </w:r>
      <w:r>
        <w:lastRenderedPageBreak/>
        <w:t>hiciera con los arts. 95, párrafo 3º, 97 y 98, no apoya la impugnación del art. 107, que también hace por conexión con el art.  84, en ninguna alegación específica. Y el Consejo Ejecutivo de esta Comunidad Autónoma cuestiona la aplicación de la Ley 26/1988 a su Comunidad y la atribución de competencias a la Comisión Nacional del Mercado de Valores, por entender que la Generalidad de Cataluña es competente tanto para establecer este tipo de medidas como para ejecutarlas. El Abogado del Estado alega que la reserva en favor de la Comisión que hace el art. 107 está constitucionalmente fundada en el carácter básico de cada decisión de intervención o sustitución, que entraña una apreciación de la existencia de una situación excepcionalmente grave de peligro que exige una actuación rápida y expeditiva que, apreciando la repercusión sobre el mercado en su conjunto, garantice la eficacia de la medida adoptada.</w:t>
      </w:r>
    </w:p>
    <w:p w:rsidR="006854DA" w:rsidRDefault="006854DA" w:rsidP="006854DA">
      <w:pPr>
        <w:pStyle w:val="TextoNormal"/>
      </w:pPr>
      <w:r>
        <w:t>Y en efecto así es. El art. 107 prevé las medidas (de intervención y de sustitución de los órganos de administración o dirección) que podrán acordarse cuando determinadas entidades que operan en el mercado de valores [las de los apartados a), b) y c) del párrafo 1º del art. 84, pues aunque la Ley haya omitido la mención de dicho párrafo, es claro que se refiere a esas entidades, como por lo demás así lo entienden todas las partes implicadas en el proceso] se encuentren en una situación de excepcional gravedad que ponga en peligro la efectividad de sus recursos propios o su estabilidad, liquidez o solvencia.</w:t>
      </w:r>
    </w:p>
    <w:p w:rsidR="006854DA" w:rsidRDefault="006854DA" w:rsidP="006854DA">
      <w:pPr>
        <w:pStyle w:val="TextoNormal"/>
      </w:pPr>
      <w:r>
        <w:t>Es evidente que una situación de excepcional gravedad que pueda poner en peligro la efectividad de los recursos o la estabilidad de los organismos rectores de los mercados secundarios, del Sistema de Interconexión Bursátil o de las Sociedades y Agencias de Valores, o su liquidez o solvencia, es una situación que puede afectar al mercado de valores, globalmente considerado, y, más en general a la estabilidad del sistema financiero.  Estas facultades de intervención y sustitución de los órganos rectores de estas entidades están directamente vinculadas a la ordenación básica del crédito, más concretamente, al mantenimiento de la regularidad y seguridad de las entidades que conforman el mercado de valores que constituye una pieza clave del sistema financiero.  La intervención o sustitución de los órganos rectores de estas entidades, con carácter cautelar, ante situaciones de excepcional gravedad que pongan en peligro los aspectos enumerados en el art.  31.1 de la Ley 26/1988, son medidas que están al servicio de la transparencia de los mercados, la correcta formación de los precios y la protección de los inversores. La naturaleza de estas medidas exige una actuación uniforme, esto es, una valoración hecha por un sólo órgano que garantice la eficacia de tales medidas, lo que justifica que tanto su regulación, como su aplicación, formen parte de las bases de la ordenación del crédito. Todo ello ha de entenderse, lógicamente, respetando las competencias que el art. 84, párrafo 2º, atribuye a las Comunidades Autónomas y que no viene impedido por el art. 107, el cual en consecuencia no vulnera el orden constitucional de competencias.</w:t>
      </w:r>
    </w:p>
    <w:p w:rsidR="006854DA" w:rsidRDefault="006854DA" w:rsidP="006854DA">
      <w:pPr>
        <w:pStyle w:val="TextoNormal"/>
      </w:pPr>
    </w:p>
    <w:p w:rsidR="006854DA" w:rsidRDefault="006854DA" w:rsidP="006854DA">
      <w:pPr>
        <w:pStyle w:val="TextoNormal"/>
      </w:pPr>
      <w:r w:rsidRPr="006854DA">
        <w:rPr>
          <w:rStyle w:val="NumeroAFNegritaCaracter"/>
        </w:rPr>
        <w:t>13</w:t>
      </w:r>
      <w:r>
        <w:t>. Resta finalmente examinar, por lo que a los recursos de inconstitucionalidad se refiere, la Disposición adicional primera, discutida en los tres recursos, y la Disposición Adicional Segunda, impugnado sólo en el del Consejo Ejecutivo de la Generalidad de Cataluña.</w:t>
      </w:r>
    </w:p>
    <w:p w:rsidR="006854DA" w:rsidRDefault="006854DA" w:rsidP="006854DA">
      <w:pPr>
        <w:pStyle w:val="TextoNormal"/>
      </w:pPr>
      <w:r>
        <w:t>a) De la Disposición adicional primera se impugna tanto el hecho de que declare que la Ley es de aplicación a las Bolsas ubicadas actualmente en el territorio de las Comunidades Autónomas recurrentes, es decir, a las Bolsas de Bilbao y Barcelona, como el cambio de denominación que impone para éstas.</w:t>
      </w:r>
    </w:p>
    <w:p w:rsidR="006854DA" w:rsidRDefault="006854DA" w:rsidP="006854DA">
      <w:pPr>
        <w:pStyle w:val="TextoNormal"/>
      </w:pPr>
      <w:r>
        <w:t>En cuanto a la primera alegación hay que convenir con las Comunidades Autónomas litigantes que, en un primera aproximación a su texto, el inciso final de la Disposición adi</w:t>
      </w:r>
      <w:r>
        <w:lastRenderedPageBreak/>
        <w:t>cional primera no respeta la distribución de competencias que la Constitución y los Estatutos de Autonomía han previsto en materia de Bolsas de Valores. La referencia a los fundamentos jurídicos de esta Sentencia en los que hemos declarado que determinados preceptos de la Ley 24/1988, incluidos algunos del Capítulo Segundo del Título IV (De las Bolsas de Valores), no son aplicables en las Comunidades Autónomas, pone de manifiesto que el legislador estatal no puede pretender, sin vulnerar las competencias autonómicas, que la Ley sea de íntegra aplicación a las Bolsas de Bilbao y Barcelona. Ahora bien, éste no es el único entendimiento posible de esta disposición. Cuando la Ley del Mercado de Valores impone su íntegra aplicación a las Bolsas mencionadas por su nombre, sólo puede significar que se trata de aquellos preceptos cuyo contenido, según lo declarado en la presente Sentencia, no vulnere el orden constitucional de competencias.</w:t>
      </w:r>
    </w:p>
    <w:p w:rsidR="006854DA" w:rsidRDefault="006854DA" w:rsidP="006854DA">
      <w:pPr>
        <w:pStyle w:val="TextoNormal"/>
      </w:pPr>
      <w:r>
        <w:t>Por lo que respecta a la imposición legal de la denominación "Bolsas de Valores" para las Bolsas sitas actualmente en el territorio de las Comunidades Autónomas recurrentes, hoy llamadas "Bolsas de Comercio", no puede sostenerse, en contra de lo que argumenta el Abogado del Estado, que esa impositio nominis tenga carácter básico por ser "un elemento de seguridad jurídica de la contratación bursátil..., alternativamente, base de la ordenación del crédito". La seguridad jurídica, que sin lugar a dudas debe predicarse del funcionamiento de los Mercados de Valores, queda garantizada suficientemente con la denominación actual de las Bolsas, esto es, "Bolsas Oficiales de Comercio". Ni la unidad del mercado, ni la seguridad jurídica de los que operan en Bolsa se quebrantan por el hecho de que las Bolsas que en la actualidad existen en las Comunidades Autónomas recurrentes, únicas a las que se refiere la Disposición adicional primera, sigan denominándose "Bolsas Oficiales de Comercio". Si el cambio de denominación no es, por lo que acaba de decirse, una necesidad para alcanzar las finalidades propias de la ordenación básica, hay que concluir que la previsión de la Disposición adicional primera vulnera las competencias de los recurrentes.</w:t>
      </w:r>
    </w:p>
    <w:p w:rsidR="006854DA" w:rsidRDefault="006854DA" w:rsidP="006854DA">
      <w:pPr>
        <w:pStyle w:val="TextoNormal"/>
      </w:pPr>
      <w:r>
        <w:t>b) La Disposición adicional segunda regula distintos extremos de la extinción de los Agentes de Cambio y Bolsa, como tales, y de su integración en el Cuerpo de Corredores de Comercio Colegiados. El Consejo Ejecutivo de Cataluña -único de los tres recurrentes que lo ha impugnado- no pone en cuestión toda la regulación contenida en la citada disposición, sino que limita su impugnación a dos aspectos muy concretos de la misma. Partiendo del reconocimiento -que hace explícito en su demanda- de que la actividad de estos profesionales se inscribe claramente en el concepto de legislación mercantil (art. 149.1.6 C.E.), así como que, en virtud del art. 149.1.1 C.E., corresponde al Estado la regulación de los aspectos nucleares o esenciales de la profesión de Agente de Cambio y Bolsa y, por último, que de conformidad con la reserva del art.  149.1.18, el Estado puede fijar los criterios básicos en materia de Colegios Profesionales, el Consejo Ejecutivo de Cataluña ha impugnado solamente la reserva del Estado para crear y extinguir colegios profesionales y determinar su circunscripción, de un lado, y la atribución al Gobierno de la facultad de determinar el destino que haya de darse a los Libros Registros y archivos de los Agentes de Cambio y Bolsa y a cuanta documentación oficial conste en sus colegios, de otro.</w:t>
      </w:r>
    </w:p>
    <w:p w:rsidR="006854DA" w:rsidRDefault="006854DA" w:rsidP="006854DA">
      <w:pPr>
        <w:pStyle w:val="TextoNormal"/>
      </w:pPr>
      <w:r>
        <w:t xml:space="preserve">El Abogado del Estado niega que la Comunidad Autónoma de Cataluña sea competente para ejercer las facultades que la Disposición adicional segunda reserva al Estado alegando que no es el art. 9.23 del Estatuto de Autonomía de Cataluña (Colegios Profesionales y ejercicio de profesiones tituladas) el que resulta aplicable en este caso, sino el 11.4 del Estatuto de Autonomía de Cataluña (nombramiento de Agentes de Cambio y Bolsa e intervención en la delimitación de las demarcaciones correspondientes) que es más específico. De acuerdo con ello, concluye que el art. 11.4 del Estatuto de Autonomía de Cataluña </w:t>
      </w:r>
      <w:r>
        <w:lastRenderedPageBreak/>
        <w:t>no atribuye a la Comunidad Autónoma de Cataluña ni la competencia para disolver el Colegio de Agentes de Barcelona o para crear el de Corredores, ni para determinar el destino de los libros, Registros y archivos de los Agentes, así como la documentación oficial de los Colegios, que pueden ser trascendentes para multitud de relaciones jurídicas privadas, especialmente si se vuelven litigiosas (por ejemplo, art.  1.429.6º y 1.435 LEC); lo que, en último término, haría de aplicación los títulos estatales "legislación mercantil" y "legislación procesal".</w:t>
      </w:r>
    </w:p>
    <w:p w:rsidR="006854DA" w:rsidRDefault="006854DA" w:rsidP="006854DA">
      <w:pPr>
        <w:pStyle w:val="TextoNormal"/>
      </w:pPr>
      <w:r>
        <w:t>Hay que partir, una vez más, del principio general según el cual las competencias correspondientes a las Comunidades Autónomas son las que ellas mismas han asumido en sus Estatutos (STC 87/1989, Fundamento jurídico 3º).  Igualmente hemos de aplicar en el presente caso la doctrina de que la inclusión de una competencia genérica debe ceder ante la competencia específica (SSTC 71/1982, Fundamento jurídico 2º, y 87/1989, Fundamento jurídico 3º, entre otras). De acuerdo con ello hay que decir que el título específico de la Generalidad de Cataluña en el régimen de los Agentes de Cambio y Bolsa y los Corredores de Comercio es el del art. 11.4 del Estatuto de Autonomía de Cataluña, en virtud del cual la Comunidad Autónoma recurrente ha asumido exclusivamente la competencia de ejecución de la legislación estatal en materia de nombramiento de estos profesionales y de intervención, en su caso, en la delimitación de las demarcaciones correspondientes. Fuera de estas limitadas competencias de ejecución, ninguna otra ha asumido la Comunidad Autónoma de Cataluña sobre el régimen jurídico de los Agentes de Cambio y Bolsa y de los Corredores de Comercio. Así, pues, de acuerdo con el principio antes enunciado, la inclusión de una competencia genérica -en este caso, la de los Colegios Profesionales del art.  9.23 del Estatuto- debe ceder ante otra específica, que es en este supuesto la del art. 11.4, relativa al nombramiento de Agentes de Cambio y Bolsa y Corredores de Comercio e intervención en la delimitación de las demarcaciones.</w:t>
      </w:r>
    </w:p>
    <w:p w:rsidR="006854DA" w:rsidRDefault="006854DA" w:rsidP="006854DA">
      <w:pPr>
        <w:pStyle w:val="TextoNormal"/>
      </w:pPr>
      <w:r>
        <w:t>A todo ello hay que añadir las especiales características que concurren en los Colegios de Agentes de Cambio y Bolsa, así como en los de Corredores de Comercio, que hacen que, al igual que ocurre con los Colegios Notariales -como declaramos en nuestra STC 87/1989, Fundamento jurídico 4º- no les alcance la competencia exclusiva que para los Colegios Profesionales ha asumido la Comunidad Autónoma de Cataluña.</w:t>
      </w:r>
    </w:p>
    <w:p w:rsidR="006854DA" w:rsidRDefault="006854DA" w:rsidP="006854DA">
      <w:pPr>
        <w:pStyle w:val="TextoNormal"/>
      </w:pPr>
      <w:r>
        <w:t>Los Agentes mediadores del Comercio -tanto los de Cambio y Bolsa, como los Corredores- constituyen, cada uno de ellos, un sólo Cuerpo de ámbito nacional, aunque descentralizado por su integración en los diferentes Colegios territoriales.</w:t>
      </w:r>
    </w:p>
    <w:p w:rsidR="006854DA" w:rsidRDefault="006854DA" w:rsidP="006854DA">
      <w:pPr>
        <w:pStyle w:val="TextoNormal"/>
      </w:pPr>
      <w:r>
        <w:t xml:space="preserve">Dicho esto, hay que concluir que, tal y como declaramos en relación con los Notarios en la Sentencia antes citada, la organización pública de los Agentes mediadores de comercio y la función que en ella se asigna a sus Colegios oficiales (Decreto 853/1959, de Reglamento Interior de los Colegios Oficiales de Corredores de Comercio, y Decreto 1506/1967, del Reglamento de las Bolsas de Comercio) hacen que en la regulación de los mismos el Estado no tenga sólo las competencias básicas que ostenta frente a los Colegios Profesionales en general, sino también las específicas que la corresponden sobre la función pública que ejercen los Agentes mediadores del comercio -dentro de los que se incluyen los Agentes de Cambio y Bolsa y los Corredores de Comercio-, sobre su organización y sobre el régimen descentralizado colegial. Y es que, tratándose de los Colegios de Agentes mediadores del comercio, ya sean Corredores o Agentes de Cambio y Bolsa, la distribución de competencias entre el Estado y las Comunidades Autónomas tiene una dimensión distinta que viene impuesta por la consideración de que estos profesionales ejercen funciones públicas y porque estos Colegios forman parte del sistema organizativo de la función pública que desempeñan sus componentes y, por tanto, del régimen jurídico de los </w:t>
      </w:r>
      <w:r>
        <w:lastRenderedPageBreak/>
        <w:t>Agentes mediadores de comercio, respecto del cual la Comunidad Autónoma recurrente no tiene más competencias que las asumidas en el art. 11.4 del Estatuto de Autonomía de Cataluña.</w:t>
      </w:r>
    </w:p>
    <w:p w:rsidR="006854DA" w:rsidRDefault="006854DA" w:rsidP="006854DA">
      <w:pPr>
        <w:pStyle w:val="TextoNormal"/>
      </w:pPr>
      <w:r>
        <w:t>Por todo lo expuesto es claro que la Disposición adicional segunda no vulnera las competencias de la Generalidad de Cataluña.</w:t>
      </w:r>
    </w:p>
    <w:p w:rsidR="006854DA" w:rsidRDefault="006854DA" w:rsidP="006854DA">
      <w:pPr>
        <w:pStyle w:val="TextoNormal"/>
      </w:pPr>
    </w:p>
    <w:p w:rsidR="006854DA" w:rsidRDefault="006854DA" w:rsidP="006854DA">
      <w:pPr>
        <w:pStyle w:val="TextoNormal"/>
      </w:pPr>
      <w:r w:rsidRPr="006854DA">
        <w:rPr>
          <w:rStyle w:val="NumeroAFNegritaCaracter"/>
        </w:rPr>
        <w:t>14</w:t>
      </w:r>
      <w:r>
        <w:t>. En los dos conflictos de competencia, respectivamente suscitados contra los Reales Decretos 276/1989, sobre Sociedades y Agencias de Valores, y 726/1.989, sobre Sociedades Rectoras y miembros de Bolsas de Valores, Sociedad de Bolsas y Fianza Colectiva, el Gobierno Vasco articula tres pretensiones: una principal y dos sucesivamente subsidiarias. La primera se dirige a obtener un pronunciamiento de inaplicabilidad de aquellos dos Reales Decretos al territorio de la Comunidad Autónoma del País Vasco; la segunda tiene por objeto la declaración de que tales disposiciones reglamentarias no son básicas por infringir el principio de Ley formal en el señalamiento de lo básico en materia de mercado de valores; y la tercera y última se circunscribe a que sea declarado que los actos de ejecución contemplados en determinados preceptos de aquéllas son competencia de su Comunidad Autónoma.</w:t>
      </w:r>
    </w:p>
    <w:p w:rsidR="006854DA" w:rsidRDefault="006854DA" w:rsidP="006854DA">
      <w:pPr>
        <w:pStyle w:val="TextoNormal"/>
      </w:pPr>
      <w:r>
        <w:t>Frente a este planteamiento, el Abogado del Estado interesa que se declare que los conflictos han sido mal planteados y, por ello, no se entre a examinar la cuestión de fondo suscitada con su promoción, o, alternativamente, que por las mismas razones formales sea rechazada la tercera de las peticiones articuladas por la Comunidad Autónoma promovente.</w:t>
      </w:r>
    </w:p>
    <w:p w:rsidR="006854DA" w:rsidRDefault="006854DA" w:rsidP="006854DA">
      <w:pPr>
        <w:pStyle w:val="TextoNormal"/>
      </w:pPr>
      <w:r>
        <w:t>Basta una lectura de los requerimientos que el Gobierno Vasco dirigió al de la Nación para concluir que le requirió de incompetencia en relación con la integridad de los Reales Decretos 276/1989 y 726/1.989, por entender que globalmente invadían sus competencias y que con ellos se infringía el principio de Ley formal en el señalamiento de las bases. Siendo ello así, no existe razón alguna para sostener, como hace el Abogado del Estado, que los conflictos han sido mal planteados en relación con las dos primeras pretensiones deducidas por aquél. Es, sin embargo, distinto lo que ocurre con la última de sus pretensiones, pues es cierto que en aquellos requerimientos no reclamó para sí el ejercicio de las competencias ejercitadas por el Estado, o que éste pretende ejercitar, en los singulares preceptos de los dos Reales Decretos cuestionados que se señalan en las solicitudes de los escritos de promoción de ambos conflictos. Esta es la razón por la que el Abogado del Estado, invocando la doctrina contenida en las SSTC 96/1986 y 104/1989, solicita el rechazo a limine de la tercera pretensión.</w:t>
      </w:r>
    </w:p>
    <w:p w:rsidR="006854DA" w:rsidRDefault="006854DA" w:rsidP="006854DA">
      <w:pPr>
        <w:pStyle w:val="TextoNormal"/>
      </w:pPr>
      <w:r>
        <w:t xml:space="preserve">Es cierto que este Tribunal ha afirmado en supuestos análogos que sobre los preceptos no señalados en el requerimiento ha de entenderse no planteado conflicto de competencia (SSTC 96/1986, Fundamento jurídico 1º, y 104/1989, Fundamento jurídico 2º), pero no lo es menos que tal conclusión ha sido sentada en casos en que, requerido el Gobierno de la Nación de incompetencia en relación con determinados preceptos de una disposición reglamentaria, después, en el escrito de formalización del conflicto, a los citados en el requerimiento se añadieron otros no incluidos en el mismo. El caso de los conflictos que ahora centran nuestra atención es sustancialmente diferente. En ellos se requirió al Gobierno de la Nación de incompetencia en relación con la totalidad de los dos Reales Decretos y esta pretensión es la que se articula como principal en esta sede, en la que subsidiariamente, y sólo en el caso de que no sea atendida aquélla, se interesa que, al menos, se declare que es competencia de la Comunidad Autónoma vasca la realización de determinados actos de ejecución regulados en aquéllos. Si la finalidad del requerimiento previsto </w:t>
      </w:r>
      <w:r>
        <w:lastRenderedPageBreak/>
        <w:t>en el art. 63 LOTC es la de apurar las posibilidades de resolución convencional o negociada de las diferencias entre el Estado y las Comunidades Autónomas, dando al Gobierno de la Nación la oportunidad de evitar, si lo estima necesario y conveniente, la impugnación de sus actos y disposiciones y el consiguiente enfrentamiento en un proceso constitucional (STC 104/1989, Fundamento jurídico 2º), es evidente que en el caso tal finalidad fue satisfecha en la medida en que, requerido de incompetencia en relación con la integridad de los dos Reales Decretos, ha de entenderse que lo fue también respecto de todos y cada uno de los actos de ejecución disciplinados en los artículos que el Gobierno Vasco trae ahora a colación, máxime si se tiene presente que los títulos competenciales entonces invocados son los mismos que se esgrimen en esta sede (arts. 10.29 y 12.3 E.A.P.V.), pues, en definitiva, lo decisivo es el efectivo planteamiento de la controversia competencial, que el trámite de requerimiento no ha logrado hacer desaparecer con la actividad desplegada por el requerido mediante la invocación de unos títulos competenciales con los que pretende atraer para sí la totalidad de las competencias ejercitadas en las disposiciones impugnadas (STC 209/1989, FF.JJ.  1º y 2º) o, al menos, algunas de ellas.</w:t>
      </w:r>
    </w:p>
    <w:p w:rsidR="006854DA" w:rsidRDefault="006854DA" w:rsidP="006854DA">
      <w:pPr>
        <w:pStyle w:val="TextoNormal"/>
      </w:pPr>
      <w:r>
        <w:t>Por lo tanto, no existe ningún obstáculo formal que impida a este Tribunal examinar y resolver la controversia competencial suscitada por el Gobierno Vasco.</w:t>
      </w:r>
    </w:p>
    <w:p w:rsidR="006854DA" w:rsidRDefault="006854DA" w:rsidP="006854DA">
      <w:pPr>
        <w:pStyle w:val="TextoNormal"/>
      </w:pPr>
    </w:p>
    <w:p w:rsidR="006854DA" w:rsidRDefault="006854DA" w:rsidP="006854DA">
      <w:pPr>
        <w:pStyle w:val="TextoNormal"/>
      </w:pPr>
      <w:r w:rsidRPr="006854DA">
        <w:rPr>
          <w:rStyle w:val="NumeroAFNegritaCaracter"/>
        </w:rPr>
        <w:t>15</w:t>
      </w:r>
      <w:r>
        <w:t>. La pretensión principal del Gobierno Vasco es, como ha quedado dicho, que sea declarada la inaplicabilidad de los Reales Decretos 276/1989 y 726/1.989 al territorio de su Comunidad Autónoma. En apoyo de esta pretensión razona que las disposiciones contenidas en ambos Reglamentos se encuadran en el sector del ordenamiento conocido por algunos como "Derecho público mercantil", de modo que respecto de ellos no es operativo el título competencial del Estado ex art. 149.1.6 C.E. ("legislación mercantil"), siendo el del art. 149.1.13 C.E.  ("bases... de la planificación general de la actividad económica") el único título que al efecto podría invocar aquél. Al reconducir la ordenación del mercado de valores por el primero de los dos títulos competenciales citados, el Estado ha desconocido la competencia autonómica exclusiva sobre las Bolsas de Comercio y otros mercados (art. 10.29 E.A.P.V.). No desconoce el Gobierno Vasco que, en la medida en que existen Comunidades Autónomas que no tienen la competencia que en relación con la suya se ha indicado, no puede propugnarse la nulidad de los Reales Decretos cuestionados, ya que el Estado es titular de la competencia ex art.  149.3 C.E. en relación con esas Comunidades Autónomas, pero sí es exigible que los mismos hubieran exceptuado de su ámbito de aplicación los territorios de las Comunidades Autónomas competentes.</w:t>
      </w:r>
    </w:p>
    <w:p w:rsidR="006854DA" w:rsidRDefault="006854DA" w:rsidP="006854DA">
      <w:pPr>
        <w:pStyle w:val="TextoNormal"/>
      </w:pPr>
      <w:r>
        <w:t>Frente al anterior planteamiento, el Abogado del Estado sostiene que la doctrina de este Tribunal sobre la reserva al Estado de la legislación mercantil debería ser objeto de un entendimiento institucional y sintético, en vez de normativo y analítico, que asentara en el campo de lo mercantil sectores institucionales completos, sin necesidad de descender a examinar, artículo por artículo, si una norma es de naturaleza jurídico-privada o jurídico-pública. En esta línea discursiva sostiene que, en definitiva, los Reales Decretos objeto de conflicto vienen a regular el Estatuto de unas singulares sociedades mercantiles que son tan instrumento de los poderes públicos como puede serlo cualquier empresa que ofrece bienes y servicios en cualquier sector de la economía que no haya sido objeto de reserva al sector público. En definitiva, los Reales Decretos en cuestión, globalmente considerados, encuentran cobertura en el título competencial del Estado contenido en el art. 149.1.6 C.E.</w:t>
      </w:r>
    </w:p>
    <w:p w:rsidR="006854DA" w:rsidRDefault="006854DA" w:rsidP="006854DA">
      <w:pPr>
        <w:pStyle w:val="TextoNormal"/>
      </w:pPr>
      <w:r>
        <w:t xml:space="preserve">El debate así planteado es, como se ve, reproducción del que quedó suscitado con ocasión del recurso de inconstitucionalidad (núm. 1.712/88) que el Gobierno Vasco interpuso contra la Ley 24/1988, con lo que bastará aquí con reiterar lo expuesto en el Fundamento </w:t>
      </w:r>
      <w:r>
        <w:lastRenderedPageBreak/>
        <w:t>jurídico 5º de esta resolución, esto es, la íntima relación existente entre el objeto de dicha Ley y de los Reales Decretos en conflicto con los títulos competenciales del Estado ex art.  149.1.6 (legislación mercantil), 11 (bases de la ordenación del crédito) y 13 (bases de la ordenación general de la economía), sin perjuicio de las competencias del País Vasco asumidas en virtud del art. 10.29 de su E.A., por lo que no puede sostenerse una imputación de invasión competencial hecha, global e indiscriminadamente, a la integridad del contenido de los citados Reales Decretos, ya que la competencia del País Vasco para el establecimiento y regulación de las Bolsas y centros de contratación de valores de su territorio -conceptos que no coinciden con el más amplio de "mercado de valores"- es compartida en la medida en que los centros de contratación de valores, en general, y las Bolsas, en particular, son parte integrante de dicho mercado de valores, regido por el principio de unidad (STC 96/1984, Fundamento jurídico 3º), sobre el que el Estado tiene competencia para establecer las bases, en virtud de los títulos competenciales del art.  149.1.11 y 13 C.E., al margen de la competencia exclusiva sobre legislación mercantil ex art.  149.1.6 C.E.</w:t>
      </w:r>
    </w:p>
    <w:p w:rsidR="006854DA" w:rsidRDefault="006854DA" w:rsidP="006854DA">
      <w:pPr>
        <w:pStyle w:val="TextoNormal"/>
      </w:pPr>
    </w:p>
    <w:p w:rsidR="006854DA" w:rsidRDefault="006854DA" w:rsidP="006854DA">
      <w:pPr>
        <w:pStyle w:val="TextoNormal"/>
      </w:pPr>
      <w:r w:rsidRPr="006854DA">
        <w:rPr>
          <w:rStyle w:val="NumeroAFNegritaCaracter"/>
        </w:rPr>
        <w:t>16</w:t>
      </w:r>
      <w:r>
        <w:t>. El Gobierno Vasco, de forma subsidiaria y para el caso de que su pretensión principal (inaplicación en su territorio de los Reales Decretos que discute) no fuera acogida, como no lo ha sido, solicita que, en cualquier caso, este Tribunal declare que las mencionadas disposiciones reglamentarias no son básicas por infringir el principio de ley formal en el señalamiento de lo básico en materia de mercado de valores. Al efecto razona que en dichos Reales Decretos se omite expresar su carácter de básicos y, además, carecen del rango jurídico formal de ley para expresar las bases. El Abogado del Estado opone al anterior planteamiento que los Reales Decretos, en gran parte de su contenido, son de naturaleza mercantil, quedando amparados en una competencia que, como la del art. 149.1.6 C.E., no se encuentra limitada a las bases. Aun aceptando dialécticamente que algunos de los preceptos de aquéllos carecieran de la expresada naturaleza mercantil y hubieran de justificarse en una competencia estatal para fijar bases, tampoco hay razón para entender que los Reales Decretos no cumplen las exigencias de certidumbre jurídica a que responde la vertiente formal de las bases, pues, conforme a la jurisprudencia de este Tribunal, el carácter básico de alguno preceptos puede ser inferido fácilmente. Por lo demás, en lo que se refiere al problema del rango reglamentario, el Abogado del Estado destaca que los Reales Decretos objeto de examen o tienen naturaleza claramente complementaria y subordinada a la Ley del Mercado de Valores, o bien regulan materias que, por su variabilidad y necesidad de ajuste coyuntural, pueden lícitamente remitirse al Reglamento.</w:t>
      </w:r>
    </w:p>
    <w:p w:rsidR="006854DA" w:rsidRDefault="006854DA" w:rsidP="006854DA">
      <w:pPr>
        <w:pStyle w:val="TextoNormal"/>
      </w:pPr>
      <w:r>
        <w:t>El primer aspecto de la queja del Gobierno Vasco ya ha obtenido respuesta en el Fundamento jurídico 6º de esta resolución con referencia a la Ley del Mercado de Valores y a él nos remitimos. Baste ahora con añadir, en primer lugar, que el Real Decreto 276/1989 desarrolla el Título V de la Ley (Sociedades y Agencias de Valores), cuya creación en sustitución de los agentes mediadores individuales es, como hemos afirmado en el Fundamento jurídico 10.a), una decisión básica que corresponde adoptar al Estado, en la medida en que con ella se pretende asegurar la solvencia financiera de quienes desarrollan actividades que encierran importantes riesgos potenciales, como dice la Exposición de Motivos de la Ley. Y en segundo término, que el Real Decreto 726/1.989 viene a desarrollar la mencionada Ley en lo relativo a las Sociedades Rectoras de las Bolsas (art. 48), la llamada Sociedad de Bolsas (art. 50), responsable del Sistema de Interconexión Bursátil, y la fianza colectiva (art. 75) a prestar por las Sociedades y Agencias de Valores que osten</w:t>
      </w:r>
      <w:r>
        <w:lastRenderedPageBreak/>
        <w:t>ten la condición de miembros de alguna Bolsa, instituciones las tres cuyo carácter básico no puede ser puesto en cuestión.</w:t>
      </w:r>
    </w:p>
    <w:p w:rsidR="006854DA" w:rsidRDefault="006854DA" w:rsidP="006854DA">
      <w:pPr>
        <w:pStyle w:val="TextoNormal"/>
      </w:pPr>
      <w:r>
        <w:t>Ya hemos afirmado que las normas organizativas de las Bolsas de Valores deben quedar comprendidas en las bases de ordenación del crédito (art. 149.1.11 C.E.)  por cuanto que una organización existe para realizar una actividad y no es, pues, indiferente a la realización de dicha actividad la forma en que se integran los centros de decisión (Sociedades Rectoras de Bolsas) -Fundamento jurídico 9º.B.d) de esta Sentencia-. También hemos dicho que el establecimiento de un sistema de contratación continuada como el Sistema de Interconexión Bursátil es una decisión básica con la que se pretende servir a la transparencia de los mercados, a la igualdad en el acceso a los mismos de los operadores y, en una palabra, a la unidad del mercado que deriva de la llamada Constitución económica [Fundamento jurídico 9º.B.e)]; por lo tanto, no menos básica es la creación y organización de la sociedad responsable del mismo. Finalmente, el mismo carácter debe ser atribuido a la exigencia de que las Sociedades y Agencias de Valores que ostenten la condición de miembros de alguna Bolsa presten una fianza colectiva para garantizar el cumplimiento de las obligaciones que contraigan con ocasión de las operaciones del mercado bursátil en que participen o medien, pues si básica es la decisión de crear este tipo de entidades no menos lo es el establecimiento de un requisito que, como la exigencia de fianza, redunda en beneficio de los inversores y garantiza la igualdad entre todos los operadores en el mercado, afectando, en último término, a la estabilidad del sistema financiero. Así pues, los Reales Decretos discutidos, globalmente considerados y en cuanto desarrollan y complementan preceptos básicos de la Ley, ostentan igual carácter, el cual se deduce de forma implícita de su contenido (STC 213/1994, Fundamento jurídico 10).</w:t>
      </w:r>
    </w:p>
    <w:p w:rsidR="006854DA" w:rsidRDefault="006854DA" w:rsidP="006854DA">
      <w:pPr>
        <w:pStyle w:val="TextoNormal"/>
      </w:pPr>
      <w:r>
        <w:t>No queda aquí la tacha que el Gobierno Vasco hace a la integridad de los Reales Decretos, pues, además de echar de menos una expresa mención de su carácter de básicos, les imputa carecer de rango jurídico formal de ley, lo cual es obvio. En este planteamiento, no se tiene en cuenta que en la labor delimitadora de las bases el Reglamento estatal puede complementar a la Ley e imponerse como límite a la intervención normativa de las Comunidades Autónomas con competencia en la materia de que se trate, siempre y cuando no vayan más allá de lo previsto en la Ley previa (STC 220/1992, Fundamento jurídico 3º).  En definitiva, si bien corresponde a las Cortes Generales la función de establecer las normas básicas, en determinado supuestos puede hacerse por vía reglamentaria en atención a la naturaleza técnicamente compleja de la cuestión regulada (STC 86/1989, Fundamento jurídico 2º). Por lo tanto, ningún reproche puede hacerse a los Reglamentos impugnados en cuanto se limitan a desarrollar preceptos básicos de la Ley del Mercado de Valores, sin perjuicio del enjuiciamiento que, artículo por artículo, puede realizar este Tribunal desde la dimensión competencial, pues existiendo una Ley que ordena la materia y que ha definido ya qué debe entenderse por básico, no puede el Reglamento invocar, siquiera sea de forma implícita, tal calificación más allá de lo previsto en la Ley que desarrolla (STC 35/1992, Fundamento jurídico 3º). En consecuencia, ninguna de las tachas que el Gobierno Vasco imputa a la integridad de los Reales Decretos 276/1989 y 726/1.989 puede ser acogida.</w:t>
      </w:r>
    </w:p>
    <w:p w:rsidR="006854DA" w:rsidRDefault="006854DA" w:rsidP="006854DA">
      <w:pPr>
        <w:pStyle w:val="TextoNormal"/>
      </w:pPr>
      <w:r>
        <w:t>Como última pretensión, el Gobierno Vasco solicita de este Tribunal que declare que la realización de los actos contemplados en determinados artículos de los dos Reales Decretos que discute (arts. 1.1, 4, 5, 6, 7, 9.1, 9.3, 11.3, 12, 13, 15.1, 15.3, 16, 17.3, 18.1 y 21.2 del Real Decreto 276/1989 y arts. 7, 11, 12, 14, 15.2, 15.3, 17.2, 17.7, 23.2, 25.3 y 26.1 del Real Decreto 726/1.989) es de competencia de su Comunidad Autónoma. Procede, por tanto, abordar el examen de dichos preceptos para concluir si la competencia para la reali</w:t>
      </w:r>
      <w:r>
        <w:lastRenderedPageBreak/>
        <w:t>zación de las actuaciones en ellos disciplinadas corresponde al Estado o, por el contrario, a la Comunidad Autónoma del País Vasco. En este examen, analizaremos por separado ambos Reales Decretos, distribuyendo sus preceptos en bloques temáticos.</w:t>
      </w:r>
    </w:p>
    <w:p w:rsidR="006854DA" w:rsidRDefault="006854DA" w:rsidP="006854DA">
      <w:pPr>
        <w:pStyle w:val="TextoNormal"/>
      </w:pPr>
    </w:p>
    <w:p w:rsidR="006854DA" w:rsidRDefault="006854DA" w:rsidP="006854DA">
      <w:pPr>
        <w:pStyle w:val="TextoNormal"/>
      </w:pPr>
      <w:r w:rsidRPr="006854DA">
        <w:rPr>
          <w:rStyle w:val="NumeroAFNegritaCaracter"/>
        </w:rPr>
        <w:t>17</w:t>
      </w:r>
      <w:r>
        <w:t>. Real Decreto 276/1989, sobre Sociedades y Agencias de Valores. En relación con los artículos de este R.D, que, a su juicio, invaden competencias autonómicas, el Gobierno Vasco se limita a realizar un alegato genérico y común a todos ellos, consistente en afirmar que es difícilmente admisible que los actos de ejecución que en ellos se contemplan, que se atribuyen al Ministerio de Economía y Hacienda y a la Comisión Nacional del Mercado de Valores, tengan carácter básico y resulte, por ello, imprescindible su retención en manos del Estado. Como ha quedado dicho, analizaremos tales preceptos por bloques temáticos, exponiendo los argumentos esgrimidos por el Abogado del Estado frente a la pretensión del promotor.</w:t>
      </w:r>
    </w:p>
    <w:p w:rsidR="006854DA" w:rsidRDefault="006854DA" w:rsidP="006854DA">
      <w:pPr>
        <w:pStyle w:val="TextoNormal"/>
      </w:pPr>
      <w:r>
        <w:t>A. Autorización e inscripción (arts. 1.1, 4, 5, 6, 7 y 9.1).</w:t>
      </w:r>
    </w:p>
    <w:p w:rsidR="006854DA" w:rsidRDefault="006854DA" w:rsidP="006854DA">
      <w:pPr>
        <w:pStyle w:val="TextoNormal"/>
      </w:pPr>
      <w:r>
        <w:t>a) El art. 1.1 atribuye al Ministerio de Economía y Hacienda, a propuesta de la Comisión Nacional del Mercado de Valores, la autorización para la creación de Sociedades y Agencias de Valores. Este precepto desarrolla el art. 62 de la Ley del Mercado de Valores y el Abogado del Estado se remite a lo ya razonado por él en defensa del mismo.</w:t>
      </w:r>
    </w:p>
    <w:p w:rsidR="006854DA" w:rsidRDefault="006854DA" w:rsidP="006854DA">
      <w:pPr>
        <w:pStyle w:val="TextoNormal"/>
      </w:pPr>
      <w:r>
        <w:t>Basta con remitirnos a lo expresado en el Fundamento jurídico 10.a) para concluir que este precepto reglamentario, al igual que el art. 62 de la Ley que desarrolla, en cuanto atribuye la autorización para la creación de Sociedades y Agencias de valores al Ministro de Economía y Hacienda no invade las competencias del País Vasco ex art. 10.29 del Estatuto de Autonomía del País Vasco.</w:t>
      </w:r>
    </w:p>
    <w:p w:rsidR="006854DA" w:rsidRDefault="006854DA" w:rsidP="006854DA">
      <w:pPr>
        <w:pStyle w:val="TextoNormal"/>
      </w:pPr>
      <w:r>
        <w:t>b) El art. 4 regula la inscripción de las Sociedades y Agencias de Valores en los Registros de la Comisión Nacional del Mercado de Valores, que tendrán carácter público y en los que, además de la escritura de constitución con lo estatutos, se inscribirán también las escrituras de modificación de aquéllos y la declaración de actividades. Este precepto desarrolla los párrafos 3º y 4º del art.  62 de la Ley del Mercado de Valores y respecto de él el Abogado del Estado sostiene que es consecuencia de la competencia estatal relativa a la autorización y del objetivo de máxima difusión.</w:t>
      </w:r>
    </w:p>
    <w:p w:rsidR="006854DA" w:rsidRDefault="006854DA" w:rsidP="006854DA">
      <w:pPr>
        <w:pStyle w:val="TextoNormal"/>
      </w:pPr>
      <w:r>
        <w:t>Ha de darse la razón al Abogado del Estado si, como hemos concluido, la competencia para la autorización es estatal. Por otra parte, como ya hemos afirmado en el Fundamento jurídico 8º de esta Sentencia con referencia al art.  92 de la Ley, la concentración en el órgano rector del mercado de valores de la llevanza de Registros -entre ellos el de las entidades que operan en dicho mercado- es una garantía de la igualdad de los inversores en el acceso a unos mercados en los que la información es elemento de gran trascendencia a la hora de realizar las correspondientes operaciones, sin perjuicio de que las Comunidades Autónomas con competencia en la materia articulen otros mecanismos de publicidad. Si la atribución a la Comisión Nacional del Mercado de Valores de las competencias que se recogen en el art. 13 de la Ley del Mercado de Valores forma parte del ejercicio legítimo por el Estado de sus competencias, en cuanto constituye presupuesto para garantizar el principio de unidad del mercado de valores, que es manifestación del principio de unidad del orden económico, también ha de estimarse ejercicio legítimo de competencias estatales la atribución a dicho organismo de la llevanza de un Registro que tiene por objeto dar la máxima difusión sobre las entidades que operan en dicho mercado, sus estatutos y, en definitiva, su estructuración interna.</w:t>
      </w:r>
    </w:p>
    <w:p w:rsidR="006854DA" w:rsidRDefault="006854DA" w:rsidP="006854DA">
      <w:pPr>
        <w:pStyle w:val="TextoNormal"/>
      </w:pPr>
      <w:r>
        <w:t xml:space="preserve">c) El art. 5 disciplina la modificación de los Estatutos sociales de las Sociedades y Agencias de Valores, precisando que estará sujeta los procedimientos de autorización y </w:t>
      </w:r>
      <w:r>
        <w:lastRenderedPageBreak/>
        <w:t>Registro establecidos en los primeros apartados de los arts. 1 y 4. En su apartado 2 este art. 5 enumera aquellas modificaciones de los Estatutos que no estarán sometidas a previa autorización, aunque sí deben ser comunicadas a la Comisión Nacional del Mercado de Valores, que, dentro del mes siguiente a la recepción de la comunicación, podrá requerir a la Sociedad o Agencia para que, en el plazo de tres meses, revise las modificaciones estatutarias que no se ajusten a las normas vigentes (apartado 3). Los arts. 6, apartado 1, y 7 someten a la transformación y fusión de las Sociedades y Agencias de Valores al mismo procedimiento de autorización y Registro que su creación, sin más salvedad que la de no ser aplicables en estos casos los requisitos de desembolso efectivo de capital mínimo y de constitución de depósito. Finalmente, el apartado 2 del art. 6 dispone que, en los casos de transformación, la suma del valor del patrimonio neto y de las aportaciones previstas en efectivo deberá ser superior a la cifra mínima de capital exigida para la creación de una Sociedad o Agencia de Valores. Respecto de estos tres preceptos (arts. 5, 6 y 7), el Abogado del Estado se remite a lo ya argumentado en relación con el art. 4.</w:t>
      </w:r>
    </w:p>
    <w:p w:rsidR="006854DA" w:rsidRDefault="006854DA" w:rsidP="006854DA">
      <w:pPr>
        <w:pStyle w:val="TextoNormal"/>
      </w:pPr>
      <w:r>
        <w:t>A los primeros apartados de los arts. 5 y 6 y al art. 7 no puede hacérseles reproche alguno pues, si como ya hemos concluido, es de titularidad estatal la competencia para otorgar la autorización para la creación de dichas entidades, también debe serlo la atinente para autorizar las alteraciones y modificaciones que, a lo largo de su existencia, se produzcan en ellas.</w:t>
      </w:r>
    </w:p>
    <w:p w:rsidR="006854DA" w:rsidRDefault="006854DA" w:rsidP="006854DA">
      <w:pPr>
        <w:pStyle w:val="TextoNormal"/>
      </w:pPr>
      <w:r>
        <w:t>Ciertas modificaciones de los Estatutos sociales no necesitan autorización, pero deben ser comunicadas, según el art. 5, apartados 2 y 3, a la Comisión Nacional del Mercado de Valores, que puede exigir a la Sociedad o Agencia que proceda a revisar las que no se ajusten a la normativa vigente. Nos encontramos ante un acto que, como el de autorización, aun cuando sea de ejecución debe calificarse como básico, pues sólo así quedarán garantizadas la unidad de mercado y la igualdad en el acceso al mismo, objetivos estos cuya culminación no sólo exige una regulación unitaria pòr Ley de los requisitos precisos para constituir una Sociedad o Agencia de Valores, sino también la atribución a un único titular de la decisión de autorizar la creación de aquélla.</w:t>
      </w:r>
    </w:p>
    <w:p w:rsidR="006854DA" w:rsidRDefault="006854DA" w:rsidP="006854DA">
      <w:pPr>
        <w:pStyle w:val="TextoNormal"/>
      </w:pPr>
      <w:r>
        <w:t>El apartado 2 del art. 6, en cuanto dispone que en los casos de transformación la suma del valor del patrimonio neto y de las aportaciones previstas deberá ser superior a 750 millones de pesetas, si se trata de Sociedades de Valores, o a 150 millones de pesetas, si de Agencias, ha de reputarse de competencia estatal puesto que, como ya hemos afirmado en relación con el art.  66.e) de la Ley, del que este precepto reglamentario es desarrollo, se trata de una norma básica en la medida en que su finalidad es garantizar la solvencia de las entidades que actúan en el mercado de valores y la igualdad entre los operadores del mercado y, en última instancia, la estabilidad del sistema financiero.</w:t>
      </w:r>
    </w:p>
    <w:p w:rsidR="006854DA" w:rsidRDefault="006854DA" w:rsidP="006854DA">
      <w:pPr>
        <w:pStyle w:val="TextoNormal"/>
      </w:pPr>
      <w:r>
        <w:t xml:space="preserve">d) El art. 9 regula las sucursales y representaciones de las Sociedades y Agencias de Valores, cuya apertura y cierre y otorgamiento serán libres, sin más requisito que el de comunicación a la Comisión Nacional del Mercado de Valores (apartados 1 y 3).  Con esta comunicación no se trata, como ocurre con la relativa a determinadas modificaciones de los Estatutos sociales (art.5, aps. 2 y 3), de que la Comisión compruebe el cumplimiento de requisitos legalmente establecidos, sino, como sostiene el Abogado del Estado, de dar la mayor difusión y publicidad a la apertura y cierre de sucursales y al otorgamiento de representaciones, en beneficio de la mayor transparencia del mercado y de la protección de los inversores. Así las cosas, la retención de esta competencia en manos del Estado y su atribución dentro de él a la Comisión Nacional del Mercado de Valores (art.  13.2 Ley del Mercado de Valores) es absolutamente legítima desde la perspectiva de la distribución de competencias entre aquél y las Comunidades Autónomas, porque tiene como finalidad </w:t>
      </w:r>
      <w:r>
        <w:lastRenderedPageBreak/>
        <w:t>garantizar la igualdad y la libertad en el ejercicio de la actividad económica en que consiste el comercio de valores [Fundamento jurídico 5º de esta Sentencia].</w:t>
      </w:r>
    </w:p>
    <w:p w:rsidR="006854DA" w:rsidRDefault="006854DA" w:rsidP="006854DA">
      <w:pPr>
        <w:pStyle w:val="TextoNormal"/>
      </w:pPr>
      <w:r>
        <w:t>B. Participaciones, administradores y actividades (arts. 11.3, 12 y 13).</w:t>
      </w:r>
    </w:p>
    <w:p w:rsidR="006854DA" w:rsidRDefault="006854DA" w:rsidP="006854DA">
      <w:pPr>
        <w:pStyle w:val="TextoNormal"/>
      </w:pPr>
      <w:r>
        <w:t>a) El art. 11 sienta el principio general de prohibición de participación de una misma persona, física o jurídica, en el capital social de más de una Sociedad o Agencia de Valores (apartado 1). De esta regla general se exceptúan aquellas Sociedad o Agencias cuyos ámbitos de actividad sean mutuamente excluyentes, considerando como tales todas aquellas actividades respecto de las cuales no pueda darse concurrencia por las circunstancias que expresa el propio precepto y, en particular, las de compensación y liquidación, cuando constituyan el único objeto social de una Sociedad o Agencia de Valores y se refieran a operaciones sobre valores realizadas por otras Sociedades y Agencias o por cooperativas de crédito o sociedades mediadoras del mercado de dinero (apartado 2). Para la apreciación de las circunstancias que determinan que entre distintas actividades no se dé concurrencia, la Comisión Nacional del Mercado de Valores podrá formular criterios generales (apartado 3). Es esta última previsión la que el Gobierno Vasco estima invade sus competencias.</w:t>
      </w:r>
    </w:p>
    <w:p w:rsidR="006854DA" w:rsidRDefault="006854DA" w:rsidP="006854DA">
      <w:pPr>
        <w:pStyle w:val="TextoNormal"/>
      </w:pPr>
      <w:r>
        <w:t>Este art. 11.3, con habilitación en el art. 68, párrafo 3º, de la Ley, no es más que una manifestación de la potestad que el art. 15 de la Ley atribuye a la reiterada Comisión para dictar disposiciones que exija el desarrollo y ejecución de las normas contenidas en los Reales Decretos aprobados por el Gobierno o en la Ordenes Ministeriales del Ministro de Economía y Hacienda, al objeto de un mejor ejercicio de las competencias que tiene atribuidas, precepto legal cuya constitucionalidad ya hemos afirmado en el Fundamento jurídico 7ºb) de esta resolución. Tal y como hemos sostenido en la STC 102/1995 (Fundamento jurídico 15), para un supuesto análogo al presente, los criterios en cuestión son en su esencia normas jurídicas y la necesidad de su existencia ha de considerarse básica, pues el establecimiento de criterios generales para apreciar si entre las actividades de dos o más Sociedades o Agencias de Valores concurren aquellas circunstancias que permitan calificarlas de mutuamente excluyentes, persigue uniformar y homogeneizar en todo el territorio nacional un requisito de actividades de tales Sociedades y Agencias y, en cuanto tal, dar unidad al mercado de valores, por lo que la titularidad estatal de esta competencia no puede ser puesta en cuestión ya que es básica para la planificación general de la actividades económica (art.  149.1.13 C.E.).</w:t>
      </w:r>
    </w:p>
    <w:p w:rsidR="006854DA" w:rsidRDefault="006854DA" w:rsidP="006854DA">
      <w:pPr>
        <w:pStyle w:val="TextoNormal"/>
      </w:pPr>
      <w:r>
        <w:t>b) El art. 12, para el control y publicidad de la titularidad del capital de las Sociedades y Agencias de Valores, establece la obligación de comunicar a la Comisión Nacional del Mercado de Valores toda suscripción y transmisión de acciones, a cuyo efecto dicha Comisión establecerá la forma en que deberán realizarse las comunicaciones. La finalidad de esta norma es nuevamente, como el propio precepto indica y precisa el Abogado del Estado, la de dar la máxima publicidad y difusión a la titularidad del capital social de las Sociedades y Agencias de Valores en beneficio de la mayor transparencia del mercado y de la protección de los inversores, por lo que vale aquí lo dicho para el art. 9 del mismo Real Decreto y, por lo tanto, debe concluirse que tampoco invade competencias de la Comunidad Autónoma vasca.</w:t>
      </w:r>
    </w:p>
    <w:p w:rsidR="006854DA" w:rsidRDefault="006854DA" w:rsidP="006854DA">
      <w:pPr>
        <w:pStyle w:val="TextoNormal"/>
      </w:pPr>
      <w:r>
        <w:t>c) A la misma conclusión y por iguales razones hemos de llegar en relación con el art. 13, conforme al cual la Comisión Nacional del Mercado de Valores llevará un Registro de nombres y fechas de nombramiento y cese de las personas que ejerzan cargos de administración y dirección en las Sociedades y Agencias de Valores, así como de sus representantes. Es suficiente aquí con remitirnos a lo dicho en relación con el art. 4 del mismo Real Decreto</w:t>
      </w:r>
    </w:p>
    <w:p w:rsidR="006854DA" w:rsidRDefault="006854DA" w:rsidP="006854DA">
      <w:pPr>
        <w:pStyle w:val="TextoNormal"/>
      </w:pPr>
      <w:r>
        <w:lastRenderedPageBreak/>
        <w:t>C. Liquidez y solvencia (arts. 15.1, 15.3, 16, 17.3 y 18.1). Estos preceptos regulan los coeficientes de liquidez (art. 15.1) y solvencia (art. 16) de las Sociedades y Agencias de Valores, así como qué ha de entenderse por recursos propios a los efectos de computar el coeficiente de solvencia (art. 17). En ellos se atribuye al Ministerio de Economía y Hacienda, y con su habilitación a la Comisión Nacional del Mercado de Valores, la determinación de los elementos, criterios y procedimientos precisos para el cumplimiento, delimitación y control de tales parámetros. El art. 18.1 atribuye al Ministerio de Economía y Hacienda potestad para establecer, en el caso de actividades en las que sea posible una cobertura de riesgos de la misma o análoga naturaleza mediante operaciones de signo contrario, normas en cuanto a coberturas de obligado cumplimiento y prohibiciones expresas o limitaciones cuantitativas a determinadas posiciones descubiertas. Para el Abogado del Estado las anteriores disposiciones encuentran cobertura competencial en el art. 149.1.13 C.E.</w:t>
      </w:r>
    </w:p>
    <w:p w:rsidR="006854DA" w:rsidRDefault="006854DA" w:rsidP="006854DA">
      <w:pPr>
        <w:pStyle w:val="TextoNormal"/>
      </w:pPr>
      <w:r>
        <w:t>Los anteriores preceptos tienen una doble dimensión. De un lado, establecen directamente criterios y límites para asegurar la liquidez y solvencia de las Sociedades y Agencias de Valores y, de otro, atribuyen al Ministerio de Economía y Hacienda o, en su caso, a la Comisión Nacional del Mercado de Valores, competencia para determinar elementos, criterios y procedimientos al mismo fin. El carácter básico de estas disposiciones es incuestionable ya que, como el art. 6.2 del propio Real Decreto, tienen por objeto garantizar la solvencia de las entidades que se dedican a la intermediación en un mercado que, como el de valores, tiene una directa y relevante incidencia en la planificación general de la actividad económica (art. 149.1.13 C.E.). A la previsión de que estas normas básicas de rango reglamentario sean desarrolladas por otras disposiciones reglamentarias emanadas del Ministerio de Economía y Hacienda o de la Comisión Nacional del Mercado de Valores ningún reproche puede hacérsele a la vista de la doctrina de este Tribunal expuesta en los Fundamentos jurídicos 7º.b) y 16º de esta resolución, sin perjuicio de que su contenido concreto, una vez hayan sido dictadas, pueda ser objeto de control para determinar si están o no dentro del ejercicio legítimo de la competencia que la Constitución ha reservado al Estado en la materia.</w:t>
      </w:r>
    </w:p>
    <w:p w:rsidR="006854DA" w:rsidRDefault="006854DA" w:rsidP="006854DA">
      <w:pPr>
        <w:pStyle w:val="TextoNormal"/>
      </w:pPr>
      <w:r>
        <w:t>D. Otras operaciones financieras con entidades financieras (art. 21.2). El apartado 1 del art.  21 dispone que las Sociedades y Agencias de Valores podrán obtener financiación, incluso en forma de préstamo o depósito, de las entidades que figuren inscritas en alguno de los Registros relativos a entidades financieras mantenidos por la Comisión Nacional del Mercado de Valores, por el Banco de España o por la Dirección General de Seguros. Sin embargo, estas operaciones, de conformidad con el apartado 2 del mismo precepto, sólo podrán ser realizadas en la medida y con las limitaciones que, con objeto de garantizar su dedicación efectiva a las actividades que les son propias, establezca el Ministerio de Economía y Hacienda.</w:t>
      </w:r>
    </w:p>
    <w:p w:rsidR="006854DA" w:rsidRDefault="006854DA" w:rsidP="006854DA">
      <w:pPr>
        <w:pStyle w:val="TextoNormal"/>
      </w:pPr>
      <w:r>
        <w:t>Para esta disposición vale lo dicho en relación con los arts. 15.1 y 3, 16, 17.3 y 18.1, tanto en cuanto a la previsión de limitaciones y condiciones como en la remisión que para su precisión se hace a la potestad reglamentaria del Ministro de Economía y Hacienda. Así pues, es este punto tampoco hay invasión de competencias autonómicas.</w:t>
      </w:r>
    </w:p>
    <w:p w:rsidR="006854DA" w:rsidRDefault="006854DA" w:rsidP="006854DA">
      <w:pPr>
        <w:pStyle w:val="TextoNormal"/>
      </w:pPr>
    </w:p>
    <w:p w:rsidR="006854DA" w:rsidRDefault="006854DA" w:rsidP="006854DA">
      <w:pPr>
        <w:pStyle w:val="TextoNormal"/>
      </w:pPr>
      <w:r w:rsidRPr="006854DA">
        <w:rPr>
          <w:rStyle w:val="NumeroAFNegritaCaracter"/>
        </w:rPr>
        <w:t>18</w:t>
      </w:r>
      <w:r>
        <w:t>. Real Decreto 726/1.989, sobre Sociedades Rectoras y miembros de las Bolsas de Valores, Sociedad de Bolsas y Fianza Colectiva.</w:t>
      </w:r>
    </w:p>
    <w:p w:rsidR="006854DA" w:rsidRDefault="006854DA" w:rsidP="006854DA">
      <w:pPr>
        <w:pStyle w:val="TextoNormal"/>
      </w:pPr>
      <w:r>
        <w:t>A. Sociedades Rectoras de las Bolsas de Valores (arts. 7, 11, 12, 14, 15.2, 15.3, 17.2 y 17.7).</w:t>
      </w:r>
    </w:p>
    <w:p w:rsidR="006854DA" w:rsidRDefault="006854DA" w:rsidP="006854DA">
      <w:pPr>
        <w:pStyle w:val="TextoNormal"/>
      </w:pPr>
      <w:r>
        <w:t>a) El art. 7 dispone que, antes de su constitución, el proyecto de Estatutos de cada una de las Sociedades Rectoras de las Bolsas de Valores, así como sus modificaciones, debe</w:t>
      </w:r>
      <w:r>
        <w:lastRenderedPageBreak/>
        <w:t>rán someterse a la previa aprobación de la Comisión Nacional del Mercado de Valores, "así como, en su caso, de la Comunidad Autónoma con competencias en la materia", quienes podrán condicionar la aprobación a los cambios que resulten necesarios para asegurar el cumplimiento de los fines que el propio precepto enumera.  Entiende el Gobierno Vasco que la atribución de esta competencia de aprobación a la Comisión Nacional del Mercado de Valores vulnera las suyas, sin que sirva de nada que la autorización pueda ser otorgada también por los autoridades autonómicas, ya que por sí misma no surtirá efecto si no concurre en el mismo sentido la voluntad del poder central. Por el contrario, el Abogado del Estado sostiene que la importancia de los Estatutos en la organización y actividad de estas Sociedades justifica por sí misma la intervención de la Comisión Nacional del Mercado de Valores, ya que su actividad tiene los elementos y consecuencias supracomunitarias que son de apreciar en las Bolsas.</w:t>
      </w:r>
    </w:p>
    <w:p w:rsidR="006854DA" w:rsidRDefault="006854DA" w:rsidP="006854DA">
      <w:pPr>
        <w:pStyle w:val="TextoNormal"/>
      </w:pPr>
      <w:r>
        <w:t>Es evidente que este precepto reglamentario, que desarrolla el último párrafo del art. 48 de la Ley, disciplina una competencia de ejecución, tal y como ya hemos afirmado en el Fundamento jurídico 9º.B.d) de esta Sentencia al resolver la impugnación de dicho precepto legal. En la misma línea hemos de reiterar aquí que no existe ninguna razón que justifique su carácter básico, por lo que debe corresponder en exclusiva, esto es, sin el concurso de la Comisión Nacional del Mercado de Valores, a la Comunidad Autónoma del País Vasco respecto de las Bolsas radicadas en su territorio.</w:t>
      </w:r>
    </w:p>
    <w:p w:rsidR="006854DA" w:rsidRDefault="006854DA" w:rsidP="006854DA">
      <w:pPr>
        <w:pStyle w:val="TextoNormal"/>
      </w:pPr>
      <w:r>
        <w:t>b) La admisión de valores a negociación se regula en el art. 11 de este Real Decreto, atribuyéndola a la correspondiente Sociedad Rectora, previa verificación por la Comisión Nacional del Mercado de Valores del cumplimiento de los requisitos previstos en el art. 32 de la Ley y en las disposiciones que lo desarrollen.  Para el Gobierno Vasco se trata de un acto aplicativo cuya retención en manos del Estado desborda el concepto material de lo básico y no viene exigida por la garantía de eficacia de la legislación emanada del Estado y para el Abogado de éste el objetivo del precepto es lograr la máxima transparencia, difusión y publicidad de las emisiones, en beneficio del correcto funcionamiento del mercado y de la protección de los inversores.</w:t>
      </w:r>
    </w:p>
    <w:p w:rsidR="006854DA" w:rsidRDefault="006854DA" w:rsidP="006854DA">
      <w:pPr>
        <w:pStyle w:val="TextoNormal"/>
      </w:pPr>
      <w:r>
        <w:t>Nuevamente nos encontramos ante el desarrollo reglamentario de un precepto de la Ley del Mercado de Valores que ha sido objeto de impugnación en los recursos de inconstitucionalidad que también se resuelven en esta Sentencia.  Se trata en concreto del art. 32, párrafo 1º, del que hemos afirmado [Fundamento jurídico 9º.A.b)] que no vulnera el orden de distribución de competencias en esta materia porque, admitido que la garantía de la creación de una mercado único de valores reside en el establecimiento, de modo unitario, de los requisitos que deben reunir los valores para su admisión a negociación, es forzoso concluir que también de modo unitario ha de llevarse a cabo la supervisión del cumplimiento de dichos requisitos, por cuanto que con ello se está velando por la correcta incorporación al tráfico mercantil de los valores de que se trate, con lo que ello supone de seguridad y confianza para los futuros inversores. Que ello se atribuya a la Comisión Nacional del Mercado de Valores no menoscaba las competencias autonómicas.</w:t>
      </w:r>
    </w:p>
    <w:p w:rsidR="006854DA" w:rsidRDefault="006854DA" w:rsidP="006854DA">
      <w:pPr>
        <w:pStyle w:val="TextoNormal"/>
      </w:pPr>
      <w:r>
        <w:t xml:space="preserve">c) El art. 12 establece las funciones de supervisión que, sin perjuicio de las facultades de supervisión, inspección y sanción competencia de la Comisión Nacional del Mercado de Valores y, en su caso, de la Comunidad Autónoma correspondiente de acuerdo con el Título VIII de la Ley del Mercado de Valores, corresponden a las Sociedades Rectoras de las Bolsas de Valores, entre las que se encuentran las de puesta en conocimiento, prestación de asistencia, impulso y proposición a la Comisión Nacional del Mercado de Valores. El Gobierno Vasco discute este precepto en cuanto da por sentado que es competencia de la mencionada Comisión la realización de meros actos ejecutivos, como son los relativos a </w:t>
      </w:r>
      <w:r>
        <w:lastRenderedPageBreak/>
        <w:t>la actividad de policía regulada en el mencionado Título VIII. El Abogado del Estado afirma que este precepto reglamentario contiene un implícito reenvío al art. 84 de la Ley, precepto que no obstaculiza el ejercicio de iguales poderes por parte de la Comunidad Autónoma del País Vasco, lo que expresamente viene a reconocer este art. 12, que se limita a dar aplicación a lo dispuesto en la Ley, sin vulnerar en sí mismo el orden de competencias.</w:t>
      </w:r>
    </w:p>
    <w:p w:rsidR="006854DA" w:rsidRDefault="006854DA" w:rsidP="006854DA">
      <w:pPr>
        <w:pStyle w:val="TextoNormal"/>
      </w:pPr>
      <w:r>
        <w:t>En efecto, el art. 12 del Real Decreto 726/1.989 es desarrollo del art. 84 de la Ley, en relación con el cual hemos afirmado [Fundamento jurídico 12.a) de esta Sentencia] que la limitación de las competencias de supervisión, inspección y sanción de las Comunidades Autónomas que las tengan atribuidas sobre las Sociedades Rectoras de las Bolsas ubicadas en su territorio a "las operaciones sobre valores admitidos a negociación únicamente en las mismas" no incurre en exceso competencial, porque "es lícito que una Comunidad Autónoma no pueda ejercer funciones de supervisión, inspección y sanción sobre entidades y personas físicas y jurídicas en relación con valores que además de operar en las Bolsas de su territorio, lo hacen también en Bolsas situadas en otras Comunidades Autónomas e, incluso, fuera del territorio nacional".</w:t>
      </w:r>
    </w:p>
    <w:p w:rsidR="006854DA" w:rsidRDefault="006854DA" w:rsidP="006854DA">
      <w:pPr>
        <w:pStyle w:val="TextoNormal"/>
      </w:pPr>
      <w:r>
        <w:t>Consecuentemente, la alusión de este art. 12 a las facultades de supervisión, inspección y sanción que correspondan, en su caso, a la Comunidad Autónoma respectiva ha de entenderse hecha con el mismo alcance del art. 84, párrafo 2º, de la Ley y, así interpretado, tampoco invade las competencias asumidas por la Comunidad Autónoma del País Vasco en virtud del art.  10.29 de su E.A.</w:t>
      </w:r>
    </w:p>
    <w:p w:rsidR="006854DA" w:rsidRDefault="006854DA" w:rsidP="006854DA">
      <w:pPr>
        <w:pStyle w:val="TextoNormal"/>
      </w:pPr>
      <w:r>
        <w:t>d) El art. 14 regula las funciones de recepción y difusión de información que corresponden a las Sociedades Rectoras de Bolsas de Valores, sin perjuicio de las competencias de la Comisión Nacional del Mercado de Valores y, en su caso, de la correspondiente Comunidad Autónoma (apartado 1). La recepción y publicación de los estados financieros anuales individuales y consolidados con los correspondientes informes de auditoría, así como de los balances y cuentas de resultados provisionales trimestrales de los miembros de sus respectivas Bolsas se realizarán en la forma que determine la Comisión Nacional del Mercado de Valores, quien también determinará las informaciones que deben contener los Boletines de Cotización (apartados 2 y 4).  El Gobierno Vasco afirma que las anteriores determinaciones invaden sus competencias y el Abogado del Estado precisa que, en su apartado 1, el precepto deja a salvo las competencias autonómicas y, en los núms. 2 y 4, regula una potestad normativa, y no ejecutiva, que es básica.</w:t>
      </w:r>
    </w:p>
    <w:p w:rsidR="006854DA" w:rsidRDefault="006854DA" w:rsidP="006854DA">
      <w:pPr>
        <w:pStyle w:val="TextoNormal"/>
      </w:pPr>
      <w:r>
        <w:t>No yerra el Abogado del Estado. El apartado 1 de este art. 14 salva expresamente las competencias de recepción y difusión de información de las Comunidades Autónomas con competencia en la materia, sin la limitación que el art. 84 de la Ley establecía para las facultades de supervisión, inspección y sanción, por lo que no puede sostenerse que desconozca las competencias de la Comunidad Autónoma promotora del conflicto.  También es cierto que los apartados 2 y 4 regulan una potestad reglamentaria de la Comisión Nacional del Mercado de Valores que, como hemos razonado varias veces a lo largo de esta Sentencia, no puede por sí ser objeto de reproche de inconstitucionalidad, en la medida en que a través de su ejercicio se regulen normas básicas al amparo del art. 149.1.13 C.E. Y en este punto conviene precisar que el establecimiento de criterios formales uniformes para la publicidad del estado financiero de los miembros de las Bolsas de Valores y de las correspondientes cotizaciones está al servicio de la igualdad de los inversores ante la información bursátil para establecer unos niveles igualitarios de protección y, por lo tanto, también de la unidad del mercado.  Siendo ello así, es incuestionable su carácter de normas básicas y por lo tanto la titularidad estatal para su establecimiento.</w:t>
      </w:r>
    </w:p>
    <w:p w:rsidR="006854DA" w:rsidRDefault="006854DA" w:rsidP="006854DA">
      <w:pPr>
        <w:pStyle w:val="TextoNormal"/>
      </w:pPr>
      <w:r>
        <w:lastRenderedPageBreak/>
        <w:t>e) El art. 15 recoge las funciones de dirección y administración de las Sociedades Rectoras de las Bolsas de Valores, cuyas decisiones deben ser comunicadas a la Comisión Nacional del Mercado de Valores y, en su caso, a la correspondiente Comunidad Autónoma, pudiendo la primera suspender su aplicación y dejarlas sin efecto cuando estime que infringen la legislación del mercado de valores o perjudiquen la corrección y transparencia del proceso de formación de los precios o la protección de los inversores (apartado 2). A dicha Comisión corresponde velar que las Sociedades Rectoras procedan a la correcta aplicación de la legislación vigente y de las citadas decisiones, pudiendo a este fin requerir la modificación de los correspondientes acuerdos (apartado 3).</w:t>
      </w:r>
    </w:p>
    <w:p w:rsidR="006854DA" w:rsidRDefault="006854DA" w:rsidP="006854DA">
      <w:pPr>
        <w:pStyle w:val="TextoNormal"/>
      </w:pPr>
      <w:r>
        <w:t>El Gobierno Vasco aduce que las competencias de la Comisión Nacional del Mercado de Valores para dejar sin efecto las decisiones de las Sociedades Rectoras y para el ejercicio de la expresada función de vigilancia, con la potestad de requerimiento para la modificación de acuerdos, invade sus competencias, en tanto que para el Abogado del Estado se trata de competencias estatales de acuerdo con lo dispuesto en el art. 84 de la Ley del Mercado de Valores.</w:t>
      </w:r>
    </w:p>
    <w:p w:rsidR="006854DA" w:rsidRDefault="006854DA" w:rsidP="006854DA">
      <w:pPr>
        <w:pStyle w:val="TextoNormal"/>
      </w:pPr>
      <w:r>
        <w:t>Si la Comunidad Autónoma del País Vasco tiene competencias en relación con las Bolsas de Valores de su territorio (art. 10.29 E.A.P.V.), ha de concluirse que las expresadas competencias de suspensión o cesación de efectos de los acuerdos de las Sociedades Rectoras, que rigen y administran las Bolsas de Valores, y de vigilancia y de requerimiento a ella le corresponden.  Para defender la competencia estatal el Abogado del Estado invoca el art. 84 de la Ley en la medida en que las decisiones afecten a operaciones sobre valores cotizados en otras Bolsas o a través del Sistema de Interconexión Bursátil, pero ya hemos dicho [Fundamento jurídico 12º.a)] que la necesidad de imponer en todo el territorio nacional un sistema uniforme de supervisión, inspección y sanción de las actividades en el mercado de valores queda garantizada con la regulación contenida en el Título VIII de la Ley del Mercado de Valores, sin que la ejecución de dicho régimen por las Comunidades Autónomas con competencia en la materia, en sus respectivos territorios, suponga fragmentar el mercado.  Se trata en definitiva de competencias de ejecución que, en cuanto se reducen a velar por el cumplimiento de a legislación sobre el mercado de valores, no tienen el carácter de básicas, siendo, por ello, competencia de la Comunidad Autónoma del País Vasco.</w:t>
      </w:r>
    </w:p>
    <w:p w:rsidR="006854DA" w:rsidRDefault="006854DA" w:rsidP="006854DA">
      <w:pPr>
        <w:pStyle w:val="TextoNormal"/>
      </w:pPr>
      <w:r>
        <w:t>f) El art. 17 regula el régimen económico de las Sociedades Rectoras de las que nos venimos ocupando, estableciendo, en su apartado 2, que sus presupuestos estimativos anuales deberán ser sometidos a aprobación de la Comisión Nacional del Mercado de Valores, sin perjuicio, en su caso, de la aprobación que corresponda otorgar a las Comunidades Autónomas con competencia en la materia y, en el apartado 7, que dichas Sociedades deberán someter sus cuentas anuales a informe de auditoría, según lo establecido en el art. 86 de la Ley del Mercado de Valores.</w:t>
      </w:r>
    </w:p>
    <w:p w:rsidR="006854DA" w:rsidRDefault="006854DA" w:rsidP="006854DA">
      <w:pPr>
        <w:pStyle w:val="TextoNormal"/>
      </w:pPr>
      <w:r>
        <w:t>Respecto de las competencias de aprobación, el Gobierno Vasco alega que el carácter compartido de tales funciones de tutela administrativa entre el Estado y las Comunidades Autónomas resulta contraria a la competencia que, en su caso, tiene asumida de forma exclusiva. Igual tacha imputa al apartado 7º del citado art. 17. El Abogado del Estado argumenta que esa actuación conjunta encuentra su justificación en el elemento supracomunitario que constituyen los presupuestos estimativos y el informe de auditoría, documentos básicos para el control financiero de las Sociedades Rectoras de las Bolsas de Valores.</w:t>
      </w:r>
    </w:p>
    <w:p w:rsidR="006854DA" w:rsidRDefault="006854DA" w:rsidP="006854DA">
      <w:pPr>
        <w:pStyle w:val="TextoNormal"/>
      </w:pPr>
      <w:r>
        <w:t xml:space="preserve">Para el apartado 2 de este art. 17 la respuesta ha de ser la misma que la dada en relación con el art. 7 del mismo Real Decreto, regulador de las competencias de aprobación de los Estatutos y de las Sociedades Rectoras y de sus modificaciones.  Nos encontramos ante </w:t>
      </w:r>
      <w:r>
        <w:lastRenderedPageBreak/>
        <w:t>competencias de ejecución cuyo carácter básico no está justificado, en la medida en que para la unidad del mercado de valores y la igualdad de protección de los inversores el sometimiento a aprobación de los presupuestos estimativos de las Sociedades Rectoras es indiferente a quién corresponda dicha competencia. En otras palabras, para garantizar aquellos valores de igualdad y unidad no es necesario que el Estado retenga en sus manos dicha competencia de aprobación, por lo que en virtud del art. 10.29 del Estatuto de Autonomía del País Vasco la misma debe corresponder exclusivamente, esto es, sin la intervención de la Comisión Nacional del Mercado de Valores, a la Comunidad Autónoma del País Vasco respecto de las Sociedades Rectoras de las Bolsas radicadas en su territorio.</w:t>
      </w:r>
    </w:p>
    <w:p w:rsidR="006854DA" w:rsidRDefault="006854DA" w:rsidP="006854DA">
      <w:pPr>
        <w:pStyle w:val="TextoNormal"/>
      </w:pPr>
      <w:r>
        <w:t>Distinta respuesta debe recibir el apartado 7 de este art. 17, que se limita a remitirse al art.  86 de la Ley -el cual, por cierto, no ha sido impugnado por el Gobierno Vasco en su recurso de inconstitucionalidad-.  Este precepto legal faculta al Ministro de Economía y Hacienda y, con su habilitación, a la Comisión Nacional del Mercado de Valores para establecer normas uniformes respecto del contenido y de la publicidad de las auditorías contables de cuentas de las Sociedades Rectoras de las Bolsas de Valores. Atribución, pues, a la Comisión de una potestad reglamentaria, sobre cuya legitimidad constitucional ya nos hemos pronunciado en esta Sentencia en reiteradas ocasiones, sobre aspectos básicos de la regulación del mercado de valores, en la medida en que persiguen establecer una regulación uniforme al servicio de la unidad del mercado y de la igualdad de los inversores, como también hemos afirmado en varias ocasiones a lo largo de esta Sentencia.</w:t>
      </w:r>
    </w:p>
    <w:p w:rsidR="006854DA" w:rsidRDefault="006854DA" w:rsidP="006854DA">
      <w:pPr>
        <w:pStyle w:val="TextoNormal"/>
      </w:pPr>
      <w:r>
        <w:t>B. Fianza en garantía del mercado (arts. 23.2, 25.3 y 26.1).</w:t>
      </w:r>
    </w:p>
    <w:p w:rsidR="006854DA" w:rsidRDefault="006854DA" w:rsidP="006854DA">
      <w:pPr>
        <w:pStyle w:val="TextoNormal"/>
      </w:pPr>
      <w:r>
        <w:t>a) El art. 23.2 atribuye a la Comisión Nacional del Mercado de Valores competencia para determinar el importe de la fianza que han de constituir los miembros de cada Bolsa en garantía del cumplimiento de las operaciones pendientes de liquidación que hubieran sido contratadas en la propia Bolsa o a través del Sistema de Interconexión Bursátil, así como el reparto de la cifra global de la fianza entre los miembros de cada Bolsa. El Gobierno Vasco entiende que invade sus competencias exclusivas en la materia y el Abogado del Estado defiende su constitucionalidad razonando que es potestad ejecutiva básica la fijación de la cuantía de la fianza con criterios uniformes en toda España, al objeto de eludir el riesgo de una divergencia inadmisible en los niveles de garantía en las distintas Bolsas, que repercutiría en el mercado bursátil nacional.</w:t>
      </w:r>
    </w:p>
    <w:p w:rsidR="006854DA" w:rsidRDefault="006854DA" w:rsidP="006854DA">
      <w:pPr>
        <w:pStyle w:val="TextoNormal"/>
      </w:pPr>
      <w:r>
        <w:t>La naturaleza ejecutiva de esta competencia es innegable. La unidad del mercado nacional de valores no exige que la fijación del importe global de la fianza y su reparto quede en manos de un órgano central. El riesgo de fragmentación y divergencia que denuncia el Abogado del Estado no existe porque el propio precepto reglamentario establece los criterios para la fijación del importe de la fianza, ya que ésta no deberá exceder "del resultado de aplicar la fluctuación máxima diaria de las cotizaciones al promedio de las disposiciones diarias pendientes de liquidar", revisándose trimestralmente la estimación anual "en función de la evolución del volumen de la actividad bursátil del período, con el fin de asegurar, con carácter permanente, un suficiente nivel de garantía". En cuanto al reparto, revisable también trimestralmente, están de igual forma fijados en el precepto los criterios (volumen de la operativa bursátil de cada uno de los miembros de la Bolsa, distinguiendo entre operaciones por cuenta propia y por cuenta ajena).  Así pues, la garantía de la unidad del mercado de valores se encuentra en el propio precepto, siendo la competencia para la fijación del importe de la fianza y para su reparto absolutamente reglada, por lo que no tiene carácter básico y, por ello, no existe razón alguna para que el Estado retenga en sus manos una competencia que, en principio, es exclusiva de la Comunidad Autónoma recurrente (art. 10.29 E.A.P.V.).</w:t>
      </w:r>
    </w:p>
    <w:p w:rsidR="006854DA" w:rsidRDefault="006854DA" w:rsidP="006854DA">
      <w:pPr>
        <w:pStyle w:val="TextoNormal"/>
      </w:pPr>
      <w:r>
        <w:lastRenderedPageBreak/>
        <w:t>b) Los arts. 25.3 y 26.1 son combatidos por el Gobierno Vasco porque, a su juicio, presuponen que corresponde a la tan repetida Comisión la tramitación del expediente sancionador en los casos en que algún miembro de las Bolsas no reponga el importe de la fianza aplicado a cubrir sus descubiertos o alcance un riesgo por operaciones pendientes de liquidar notablemente superior a la cobertura de su fianza. El Abogado del Estado opone que dichos preceptos, más que atribuir ex novo una competencia a la Comisión Nacional del Mercado de Valores, presuponen que le corresponderá iniciar la actuación sancionadora de acuerdo con la delimitación de competencias en esta materia, atendiendo al tenor del art. 84 de la Ley. Sin duda, sigue razonando el Abogado del Estado, así ocurrirá en una abrumadora mayoría de casos, pero, de no ser así, tales preceptos carecen de todo significado excluyente y no impiden que sean las Comunidades Autónomas competentes las que inicien las actuaciones sancionadoras.</w:t>
      </w:r>
    </w:p>
    <w:p w:rsidR="006854DA" w:rsidRDefault="006854DA" w:rsidP="006854DA">
      <w:pPr>
        <w:pStyle w:val="TextoNormal"/>
      </w:pPr>
      <w:r>
        <w:t>Los arts. 25.3 y 26.1, en efecto, son complemento del art. 84 de la Ley del Mercado de Valores, pero más directamente del art. 97 a) de la misma Ley, que, en el aspecto sancionador, atribuye a la Comisión Nacional del Mercado de Valores competencia para la instrucción de los expedientes. Consecuentemente, la solución que hayamos de dar aquí debe ser la misma que la facilitada con ocasión de la impugnación del segundo de los preceptos legales citados [Fundamento jurídico 12 d) de esta Sentencia] y, por lo tanto, hemos de concluir que los dos preceptos reglamentarios que nos ocupan respetan las competencias autonómicas. Que ello es así se pone de manifiesto en el art. 84 de la Ley, en el que se excluyen del carácter básico las referencias contenidas en los artículos del título VIII -del que el 84 es cabecera y el 97 a) forma parte- a órganos o entidades estatales. Consecuentemente, ese art. 97 a) no es una norma básica y, por ello, no resulta aplicable a la Comunidad Autónoma recurrente. Si ello es así, tampoco lo serán los arts. 25.3 y 26.1 del Real Decreto 726/1.989, que son su desarrollo y complemento.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1º Estimar en parte los recursos de inconstitucionalidad contra la Ley 24/1988, de 28 de julio, del Mercado de Valores y en consecuencia:</w:t>
      </w:r>
    </w:p>
    <w:p w:rsidR="006854DA" w:rsidRDefault="006854DA" w:rsidP="006854DA">
      <w:pPr>
        <w:pStyle w:val="TextoNormal"/>
      </w:pPr>
      <w:r>
        <w:t>a) Declarar que no son aplicables en las Comunidades Autónomas del País Vasco y Cataluña: el art.  45, en el inciso "aunque requerirá la conformidad del Gobierno de la Nación, atendiendo a los elementos y consecuencias supracomunitarias de dicha creación"; el inciso "Los estatutos de dichas Sociedades y sus modificaciones requerirán la previa aprobación por la Comisión Nacional del Mercado de Valores" del art. 48; el art. 64, párrafo 1º, en el inciso que dice "ante la Comisión Nacional del Mercado de Valores"; y la imposición del cambio de nombre de las actuales Bolsas existentes en las Comunidades Autónomas del País Vasco y Cataluña, contenida en la Disposición adicional primera.</w:t>
      </w:r>
    </w:p>
    <w:p w:rsidR="006854DA" w:rsidRDefault="006854DA" w:rsidP="006854DA">
      <w:pPr>
        <w:pStyle w:val="TextoNormal"/>
      </w:pPr>
      <w:r>
        <w:t xml:space="preserve">b) Declarar que no invaden las competencias de las Comunidades Autónomas recurrentes, siempre que se interpreten de acuerdo con lo expuesto en los fundamentos jurídicos de esta Sentencia que se especifican, los siguientes artículos de la Ley 24/1988: arts. 31.c y </w:t>
      </w:r>
      <w:r>
        <w:lastRenderedPageBreak/>
        <w:t>59 [fundamento jurídico 9.A.a)]; art. 34 [fundamento jurídico 9.A.d)]; art. 47 [fundamento jurídico 9.B.c)] y art. 78 [fundamento jurídico 11].</w:t>
      </w:r>
    </w:p>
    <w:p w:rsidR="006854DA" w:rsidRDefault="006854DA" w:rsidP="006854DA">
      <w:pPr>
        <w:pStyle w:val="TextoNormal"/>
      </w:pPr>
      <w:r>
        <w:t>c) Desestimar los recursos en todo lo demás.</w:t>
      </w:r>
    </w:p>
    <w:p w:rsidR="006854DA" w:rsidRDefault="006854DA" w:rsidP="006854DA">
      <w:pPr>
        <w:pStyle w:val="TextoNormal"/>
      </w:pPr>
      <w:r>
        <w:t>2º) Estimar en parte los conflictos positivos de competencia suscitados frente a los Reales Decretos 276/1989 y 726/1.989 y en consecuencia:</w:t>
      </w:r>
    </w:p>
    <w:p w:rsidR="006854DA" w:rsidRDefault="006854DA" w:rsidP="006854DA">
      <w:pPr>
        <w:pStyle w:val="TextoNormal"/>
      </w:pPr>
      <w:r>
        <w:t>a) Declarar que son de la titularidad exclusiva de la Comunidad Autónoma del País Vasco las competencias de aprobación contenidas en el art. 7; las competencias de suspender y dejar sin efecto así como las de vigilancia del art. 15, apartados 2 y 3; las competencias de aprobación del art. 17.2; y las competencias de fijación del importe global de la fianza y de reparto previstas en el art. 23.2; todos ellos del Real Decreto 726/1.989, de 23 de junio, sobre Sociedades Rectoras y miembros de las Bolsas de Valores, Sociedad de Bolsas y Fianza Colectiva.</w:t>
      </w:r>
    </w:p>
    <w:p w:rsidR="006854DA" w:rsidRDefault="006854DA" w:rsidP="006854DA">
      <w:pPr>
        <w:pStyle w:val="TextoNormal"/>
      </w:pPr>
      <w:r>
        <w:t>b) Declarar que el art. 12 del citado Real Decreto 726/1.989 no invade las competencias de la Comunidad Autónoma del País Vasco siempre que sea interpretado en la forma expresada en el fundamento jurídico 18.A.c) de esta Sentencia.</w:t>
      </w:r>
    </w:p>
    <w:p w:rsidR="006854DA" w:rsidRDefault="006854DA" w:rsidP="006854DA">
      <w:pPr>
        <w:pStyle w:val="TextoNormal"/>
      </w:pPr>
      <w:r>
        <w:t>c) Desestimar los dos conflictos de competencia en todo lo demás.</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dieciséis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0" w:name="SENTENCIA_1997_134"/>
      <w:r>
        <w:lastRenderedPageBreak/>
        <w:t>SENTENCIA 134/1997, de 17 de julio de 1997</w:t>
      </w:r>
    </w:p>
    <w:bookmarkEnd w:id="50"/>
    <w:p w:rsidR="006854DA" w:rsidRDefault="006854DA" w:rsidP="006854DA">
      <w:pPr>
        <w:pStyle w:val="TtuloResolucin"/>
      </w:pPr>
      <w:r>
        <w:t>Pleno</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ECLI:ES:TC:1997:134</w:t>
      </w:r>
    </w:p>
    <w:p w:rsidR="006854DA" w:rsidRDefault="006854DA" w:rsidP="006854DA">
      <w:pPr>
        <w:pStyle w:val="SntesisDescriptiva"/>
      </w:pPr>
    </w:p>
    <w:p w:rsidR="006854DA" w:rsidRDefault="006854DA" w:rsidP="006854DA">
      <w:pPr>
        <w:pStyle w:val="SntesisDescriptiva"/>
      </w:pPr>
      <w:r>
        <w:t>Conflicto positivo de competencia 1.524/1988. Promovido por el Consejo de Gobierno de la Comunidad Autónoma de las Islas Baleares en relación con los dos últimos párrafos de la cláusula Cuarta.3 del Convenio entre el Ministerio de Educación y Ciencia y el de Defensa, sobre Régimen, Promoción y Funcionamiento de Centros de Enseñanza, aprobado por Real Decreto 295/1988, de 28 de marzo.</w:t>
      </w:r>
    </w:p>
    <w:p w:rsidR="006854DA" w:rsidRDefault="006854DA" w:rsidP="006854DA">
      <w:pPr>
        <w:pStyle w:val="SntesisDescriptiva"/>
      </w:pPr>
    </w:p>
    <w:p w:rsidR="006854DA" w:rsidRDefault="006854DA" w:rsidP="006854DA">
      <w:pPr>
        <w:pStyle w:val="SntesisAnaltica"/>
      </w:pPr>
    </w:p>
    <w:p w:rsidR="006854DA" w:rsidRDefault="006854DA" w:rsidP="006854DA">
      <w:pPr>
        <w:pStyle w:val="SntesisAnaltica"/>
      </w:pPr>
    </w:p>
    <w:p w:rsidR="006854DA" w:rsidRDefault="006854DA" w:rsidP="006854DA">
      <w:pPr>
        <w:pStyle w:val="Extracto"/>
      </w:pPr>
      <w:r>
        <w:t>1.</w:t>
      </w:r>
      <w:r>
        <w:tab/>
        <w:t>Con apoyo en las pertinentes normas estatutarias que declaran la cooficialidad de la lengua autonómica, este Tribunal ha afirmado, con alcance general, que mientras corresponde al Estado regular la enseñanza del castellano, en cuanto única lengua oficial en todo el territorio nacional, atañe a las respectivas instituciones autonómicas la normación de la enseñanza de otras lenguas oficiales (SSTC 87/1983 y 337/1994). A este respecto, y dado que los Centros docentes concernidos son de titularidad del Ministerio de Defensa, importa destacar que la determinación del ámbito de la cooficialidad por parte de la Comunidad Autónoma se extiende, «prima facie»,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 (STC 82/1986). Es más: Justamente en relación con esta Comunidad Autónoma ya tuvimos la oportunidad de declarar en la STC 123/1988 que nada «impide, en principio, según la doctrina general sentada por anteriores decisiones sobre la cooficialidad, que se extraigan las consecuencias de dicho principio en relación con todas las Administraciones públicas, sin que a ello sea una excepción las Fuerzas Armadas», puesto que las «particularidades que poseen las Fuerzas Armadas no excluyen... su carácter de Administración Pública» [F.J. 2].</w:t>
      </w:r>
    </w:p>
    <w:p w:rsidR="006854DA" w:rsidRDefault="006854DA" w:rsidP="006854DA">
      <w:pPr>
        <w:pStyle w:val="Extracto"/>
      </w:pPr>
    </w:p>
    <w:p w:rsidR="006854DA" w:rsidRDefault="006854DA" w:rsidP="006854DA">
      <w:pPr>
        <w:pStyle w:val="Extracto"/>
      </w:pPr>
      <w:r>
        <w:t>2.</w:t>
      </w:r>
      <w:r>
        <w:tab/>
        <w:t>La regulación de todo lo relativo a la enseñanza del catalán, como lengua propia de las Islas Baleares, posee ciertamente -como señala la representación de la Comunidad Autónoma- un fundamento estatutario que justifica sobradamente que el Parlamento balear acordase, en la Ley 3/1986, de 29 de abril, de Normalización Lingüística, imponer la obligatoriedad de la enseñanza de esta lengua en todos los niveles, grados y modalidades de la enseñanza no universitaria (art. 19.1). Como también justifican, obviamente, que esta Ley previese la genérica posibilidad de que fuesen los órganos competentes de la Comunidad Autónoma los que decidiesen, en el supuesto de «residencia transitoria en las Islas Baleares», la eventual exención de dicha obligación -hasta un máximo de tres cursos-, fijando como requisito imprescindible para solicitarla que «el tiempo transcurri</w:t>
      </w:r>
      <w:r>
        <w:lastRenderedPageBreak/>
        <w:t>do de residencia más el tiempo previsto no sea superior a tres años» (Disposición adicional cuarta). Siendo innegable, en suma, la potestad autonómica tanto para establecer la obligatoriedad de la enseñanza de su lengua propia, como para eximir de la misma, hay que determinar ahora si el Estado dispone de algún título competencial que le autorice a decidir singularmente al respecto, concretamente en relación con los Centros objeto del Convenio o si, por el contrario, las normas impugnadas han de considerarse una intromisión ilegítima en la esfera competencial autonómica [F.J. 2].</w:t>
      </w:r>
    </w:p>
    <w:p w:rsidR="006854DA" w:rsidRDefault="006854DA" w:rsidP="006854DA">
      <w:pPr>
        <w:pStyle w:val="Extracto"/>
      </w:pPr>
    </w:p>
    <w:p w:rsidR="006854DA" w:rsidRDefault="006854DA" w:rsidP="006854DA">
      <w:pPr>
        <w:pStyle w:val="Extracto"/>
      </w:pPr>
      <w:r>
        <w:t>3.</w:t>
      </w:r>
      <w:r>
        <w:tab/>
        <w:t>Si bien es verdad que no puede drásticamente negarse toda vinculación de las disposiciones impugnadas con el referido ámbito material de Defensa y Fuerzas Armadas, no es menos cierto que entre ambos tampoco es dable detectar la necesaria trabazón que permitiría ya afirmar, sin ulterior argumentación, que el Estado está legitimado para adoptar tal medida en virtud del citado título competencial. Y es que, a diferencia de lo acontecido en la STC 123/1988 respecto del art. 13 de la Ley de Normalización Lingüística balear -que regulaba el uso del catalán durante la prestación del servicio militar y declaraba la validez de todas las actuaciones militares hechas en esta lengua en dicho territorio-, no cabe apreciar que los preceptos ahora controvertidos incidan en los mismos fundamentos de la «organización y funcionamiento» de las Fuerzas Armadas; afectación directa que, al sí producirse en relación con el mencionado art. 13, nos conduciría entonces a declarar su inconstitucionalidad por invadir el espacio competencial propio del Estado que el art. 149.1.4. C.E. acota. Ciertamente, el Convenio que nos ocupa, dado que se centra en el establecimiento de determinadas particularidades en el régimen regulador de los Centros docentes de titularidad del Ministerio de Defensa, sólo muestra una débil, en cuanto mediata, vinculación con dicho sector material. Justificar sobre esta sola apoyatura la facultad debatida equivaldría a expandir indebidamente el marco de la competencia estatal «ex» art. 149.1.4. C.E. a toda suerte de actividades no incluidas en dicho ámbito, por el mero hecho de su más o menos remota, potencial u ocasional relación con aquellas materias [F.J. 3].</w:t>
      </w:r>
    </w:p>
    <w:p w:rsidR="006854DA" w:rsidRDefault="006854DA" w:rsidP="006854DA">
      <w:pPr>
        <w:pStyle w:val="Extracto"/>
      </w:pPr>
    </w:p>
    <w:p w:rsidR="006854DA" w:rsidRDefault="006854DA" w:rsidP="006854DA">
      <w:pPr>
        <w:pStyle w:val="Extracto"/>
      </w:pPr>
      <w:r>
        <w:t>4.</w:t>
      </w:r>
      <w:r>
        <w:tab/>
        <w:t xml:space="preserve">El fundamento constitucional de las concretas disposiciones controvertidas debe hallarse, por tanto, en aquella esfera competencial estatal que, en última instancia, enraíza en el derecho fundamental a la educación, a -saber, la reconocida en el art. 149.1.30. C.E.; y, más específicamente, entra en juego en el presente caso el título competencial según el cual al Estado corresponde la regulación de las «normas básicas para el desarrollo del art. 27 de la Constitución, a fin de garantizar el cumplimiento de las obligaciones de los poderes públicos en esta materia». A este respecto, resulta pertinente recordar que el derecho de todos a la educación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(STC 337/1994). Esta necesaria participación de ambos niveles de gobierno en la configuración del sistema educativo parte, por lo demás, de la siguiente restricción impuesta no </w:t>
      </w:r>
      <w:r>
        <w:lastRenderedPageBreak/>
        <w:t>sólo por los Estatutos, sino también por la propia Constitución, a saber, que «del reconocimiento de la cooficialidad del castellano y de la lengua propia de una Comunidad se deriva el mandato para los poderes públicos, estatal y autonómico, de incluir ambas lenguas cooficiales como materia de enseñanza obligatoria en los Planes de Estudio, a fin de asegurar el derecho, de raíz constitucional y estatutaria, a su utilización» (STC 337/1994). Deber a cuyo cumplimiento se incardina claramente el art. 2 e) de la L.O.D.E., por cuanto incluye entre los fines que han de orientar la actividad educativa el de lograr una formación conforme a la «pluralidad lingüística y cultural de España», y  que satisfaría plenamente la Ley Orgánica 1/1990, de Ordenación General del Sistema Educativo, al establecer, para cada nivel educativo, como área o materia obligatoria la lengua oficial propia de la correspondiente Comunidad Autónoma [arts. 14.2 d), 20.2 e) y 27.4] [ F.J.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El Pleno del Tribunal Constitucional, compuesto por don Álvaro Rodríguez Bereijo, Presidente, don José Gabaldón López,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conflicto positivo de competencia núm. 1.524/88, promovido por el Consejo de Gobierno de la Comunidad Autónoma de las Islas Baleares, representado por el Letrado don Pedro Antonio Aguiló Monjo, en relación con los dos últimos párrafos de la cláusula Cuarta.3 del Convenio entre el Ministerio de Educación y Ciencia y el de Defensa, sobre Régimen, Promoción y Funcionamiento de Centros de Enseñanza, aprobado por Real Decreto 295/1988, de 25 de marzo. Ha comparecido y formulado alegaciones el Abogado del Estado, en representación y defensa del Gobierno de la Nación. Ha sido Ponente el Magistrado don Manuel Jiménez de Parga y Cabrera, quien expresa el parecer del Tribunal.</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Por escrito registrado en este Tribunal el día 16 de septiembre de 1988, el Abogado don Pedro Antonio Aguiló Monjo, en nombre y representación del Consejo de Gobierno de las Islas Baleares, una vez cumplidos los requisitos previos exigidos por el art. 63 LOTC, promovió conflicto positivo de competencia frente al Gobierno de la Nación en relación con los dos últimos párrafos de la cláusula Cuarta.3 del Convenio de Cooperación entre los Ministerios de Educación y Ciencia y de Defensa, sobre régimen, promoción y </w:t>
      </w:r>
      <w:r>
        <w:lastRenderedPageBreak/>
        <w:t>funcionamiento de los Centros de Enseñanza, que fue aprobado por Real Decreto 259/1988, de 25 de marzo.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términos del conflicto y su fundamentación jurídica son, resumidamente expuestos, los que siguen: </w:t>
      </w:r>
    </w:p>
    <w:p w:rsidR="006854DA" w:rsidRDefault="006854DA" w:rsidP="006854DA">
      <w:pPr>
        <w:pStyle w:val="TextoNormal"/>
      </w:pPr>
      <w:r>
        <w:t xml:space="preserve">A) A juicio de la representación de la Comunidad Autónoma promotora del conflicto, el Estado carece de competencias para dictar los preceptos impugnados, que son del siguiente tenor literal: "Por lo que respecta a la enseñanza de la lengua propia de la Comunidad, tendrá carácter obligatorio con la consideración de asignatura con los mismos efectos académicos y administrativos que las restantes materias o áreas que constituyan el Plan de estudios. No obstante, el Ministerio de Educación y Ciencia podrá conceder la exención de cursar la enseñanza de la lengua propia de la Comunidad en los casos y mediante el procedimiento que se determine". </w:t>
      </w:r>
    </w:p>
    <w:p w:rsidR="006854DA" w:rsidRDefault="006854DA" w:rsidP="006854DA">
      <w:pPr>
        <w:pStyle w:val="TextoNormal"/>
      </w:pPr>
      <w:r>
        <w:t xml:space="preserve">Se sostiene en el escrito de demanda que la competencia para determinar el nivel de obligatoriedad de la lengua catalana en las Islas Baleares corresponde a la Comunidad Autónoma, de conformidad con lo dispuesto en los arts. 3.2 y 148.1.17 C.E., así como en virtud de lo establecido en los arts. 10.21, 13 y, especialmente, 14 del Estatuto de Autonomía; disposición esta última que atribuye a la Comunidad Autónoma la "competencia exclusiva, en armonía con los planes de estudio estatales, para la enseñanza de la lengua catalana". Esta regulación constitucional y estatutaria se halla, por lo demás, corroborada por los arts. 17 a 26 de la Ley de Normalización Lingüística núm. 3/1986, de 19 de abril, del Parlamento balear, no afectados por el recurso de inconstitucionalidad planteado por el Estado contra la misma, y por el Decreto 53/1985, de 20 de junio, que, entre otros extremos, dispone en su art. 4 que el régimen de exenciones de la obligatoriedad de la enseñanza de la lengua catalana será regulado mediante Orden del Conseller de Educación y Cultura; previsión que, precisamente, ha sido desarrollada por sendas Órdenes fechadas el 10 de septiembre de 1985. </w:t>
      </w:r>
    </w:p>
    <w:p w:rsidR="006854DA" w:rsidRDefault="006854DA" w:rsidP="006854DA">
      <w:pPr>
        <w:pStyle w:val="TextoNormal"/>
      </w:pPr>
      <w:r>
        <w:t xml:space="preserve">B) Sentada, así, la competencia exclusiva de la Comunidad Autónoma en punto a la enseñanza de la lengua propia de las Islas Baleares, continúa el Letrado del Consejo de Gobierno rebatiendo la argumentación con que el Gobierno de la Nación fundamentó su respuesta negativa al requerimiento. Según este último, los párrafos impugnados encuentran justificación en la Disposición adicional primera, núm. 1, de la Ley Orgánica 8/1985, de 3 de julio, reguladora del Derecho a la Educación (L.O.D.E.), la cual, tras establecer el principio general consistente en que la misma puede ser desarrollada por las Comunidades Autónomas competentes para ello, se apresura a exceptuar "aquellas materias cuya regulación encomienda esta Ley al Gobierno". Y, precisamente, en la Disposición final segunda se "autoriza al Gobierno para adaptar lo dispuesto en esta Ley a las peculiaridades de los centros docentes de carácter singular que estén acogidos a convenios entre el Ministerio de Educación y Ciencia y otros Ministerios...". Pues bien, continúa el escrito de demanda apuntando que la L.O.D.E. ha de ser interpretada de acuerdo con la Constitución y los Estatutos de Autonomía, de tal modo que dicha Disposición final segunda debe entenderse necesariamente en el ámbito de las competencias educativas del Estado, pero no permite fundamentar la invasión de la competencia exclusiva de la Comunidad Autónoma en orden a la enseñanza de su lengua propia. Consiguientemente, en la medida en que la cláusula Cuarta.3 del Convenio incide en la regulación del nivel de obligatoriedad de la lengua catalana, invade la competencia exclusiva que a la Comunidad Autónoma atribuye el art. 14 del Estatuto. </w:t>
      </w:r>
    </w:p>
    <w:p w:rsidR="006854DA" w:rsidRDefault="006854DA" w:rsidP="006854DA">
      <w:pPr>
        <w:pStyle w:val="TextoNormal"/>
      </w:pPr>
      <w:r>
        <w:lastRenderedPageBreak/>
        <w:t xml:space="preserve">C) De otra parte, en nada puede influir en la resolución de la presente controversia el hecho de que la Comunidad Autónoma de las Islas Baleares sea un territorio que educativamente depende aún del Ministerio de Educación y Ciencia, habida cuenta de que el resto de los Centros Docentes Públicos vinculados a dicho Ministerio está sujeto a la normativa emanada de la Comunidad Autónoma en lo atinente a la enseñanza de la lengua catalana y a los casos de exención de la misma. Y, en fin, tampoco justifica la intromisión estatal la singularidad de los centros objeto del Convenio aprobado por el Real Decreto 295/1988. La lectura del mismo revela, en efecto, que tales centros se regulan por las disposiciones legales vigentes para el conjunto de los centros públicos dependientes del M.E.C., residiendo la única particularidad en el establecimiento de un derecho de preferencia que asegure la escolarización de los hijos del personal militar que tenga su destino en la localidad, sin perjuicio de que las vacantes existentes -una vez atendido el derecho de preferencia expresado-, se cubran mediante el procedimiento ordinario para la admisión de alumnos en los centros sostenidos con fondos públicos. </w:t>
      </w:r>
    </w:p>
    <w:p w:rsidR="006854DA" w:rsidRDefault="006854DA" w:rsidP="006854DA">
      <w:pPr>
        <w:pStyle w:val="TextoNormal"/>
      </w:pPr>
      <w:r>
        <w:t xml:space="preserve">D) Ésta es, por lo demás, la perspectiva desde la que debe abordarse el caso, de acuerdo con la jurisprudencia constitucional establecida en la materia. Las SSTC 82, 83 y 84/1986, así como la pronunciada el 23 de junio de 1988 en el recurso núm. 1.955/86, ponen de manifiesto que la cooficialidad de las lenguas distintas a la española en determinadas Comunidades Autónomas se rige por un criterio de territorialidad y afecta, con todas las consecuencias inherentes, "...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 (fundamento jurídico 2º, in fine, de la STC de 26 de junio de 1986). </w:t>
      </w:r>
    </w:p>
    <w:p w:rsidR="006854DA" w:rsidRDefault="006854DA" w:rsidP="006854DA">
      <w:pPr>
        <w:pStyle w:val="TextoNormal"/>
      </w:pPr>
      <w:r>
        <w:t>En consecuencia, se solicita de este Tribunal que dicte Sentencia por la que se declare que la competencia discutida corresponde a la Comunidad Autónoma de las Islas Baleares y anule, por tanto, los dos últimos párrafos de la cláusula Cuarta.3 del Convenio aprobado por el Real Decreto 295/1988. Mediante otrosí solicita, con base en el art. 64.3 LOTC, la suspensión de los impugnados preceptos del Convenio, ya que, de mantenerse la competencia estatal en ellos prevista, podrían producirse perjuicios irreparables o, al menos, de muy difícil reparación en el proceso de normalización de la lengua catalana en las Islas Baleares, así como en el ejercicio de las competencias que la Constitución y el Estatuto de Autonomía atribuyen a la Comunidad Autónoma en orden a la enseñanza de la lengua propia de las Islas Baleares.</w:t>
      </w:r>
    </w:p>
    <w:p w:rsidR="006854DA" w:rsidRDefault="006854DA" w:rsidP="006854DA">
      <w:pPr>
        <w:pStyle w:val="TextoNormal"/>
      </w:pPr>
    </w:p>
    <w:p w:rsidR="006854DA" w:rsidRDefault="006854DA" w:rsidP="006854DA">
      <w:pPr>
        <w:pStyle w:val="TextoNormal"/>
      </w:pPr>
      <w:r w:rsidRPr="006854DA">
        <w:rPr>
          <w:rStyle w:val="NumeroAFNegritaCaracter"/>
        </w:rPr>
        <w:t>3</w:t>
      </w:r>
      <w:r>
        <w:t>. Por providencia de 13 de octubre de 1988, la Sección Tercera de este Tribunal acordó admitir a trámite el presente conflicto positivo de competencia y dar traslado al Gobierno, por conducto de su Presidente, de la demanda y documentos adjuntos al objeto de que aportara, en el plazo de veinte días y por medio de representación procesal, cuantos documentos y alegaciones estimara pertinentes. Asimismo, se acordó dirigir comunicación al Presidente del Tribunal Supremo para conocimiento de la Sala de lo Contencioso- Administrativo correspondiente del mismo, por si ante ella se impugnare o estuviese impugnado el Real Decreto 295/1988; dar audiencia al Abogado del Estado para que, en el plazo de cinco días, expusiera lo que estimara procedente acerca de la suspensión solicitada en el otrosí de la demanda; y, en fin, publicar la incoación del conflicto en el Boletín Oficial del Estado y en el de la Comunidad Autónoma de las Islas Baleares, para general conocimiento.</w:t>
      </w:r>
    </w:p>
    <w:p w:rsidR="006854DA" w:rsidRDefault="006854DA" w:rsidP="006854DA">
      <w:pPr>
        <w:pStyle w:val="TextoNormal"/>
      </w:pPr>
    </w:p>
    <w:p w:rsidR="006854DA" w:rsidRDefault="006854DA" w:rsidP="006854DA">
      <w:pPr>
        <w:pStyle w:val="TextoNormal"/>
      </w:pPr>
      <w:r w:rsidRPr="006854DA">
        <w:rPr>
          <w:rStyle w:val="NumeroAFNegritaCaracter"/>
        </w:rPr>
        <w:t>4</w:t>
      </w:r>
      <w:r>
        <w:t>. El 20 de octubre de 1988, se registró en este Tribunal escrito del Abogado del Estado en el que se oponía a la suspensión solicitada en la demanda. Mediante Auto de 22 de noviembre de 1988, el Pleno del Tribunal acordó denegar la suspensión de los dos últimos párrafos de la cláusula Cuarta.3 del Convenio entre los Ministerio de Educación y Ciencia y de Defensa, sobre Régimen de Promoción y Funcionamiento de Centros de Enseñanza, aprobado por Real Decreto 295/1988, de 28 de marzo.</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El escrito de alegaciones del Abogado del Estado, que se registró en este Tribunal el 11 de noviembre de 1988, sostuvo la titularidad estatal de la competencia controvertida esgrimiendo los siguiente argumentos: </w:t>
      </w:r>
    </w:p>
    <w:p w:rsidR="006854DA" w:rsidRDefault="006854DA" w:rsidP="006854DA">
      <w:pPr>
        <w:pStyle w:val="TextoNormal"/>
      </w:pPr>
      <w:r>
        <w:t xml:space="preserve">A) En primer término, se subraya que la facultad que se atribuye al Estado para eximir a los alumnos de la enseñanza obligatoria de la lengua oficial de la Comunidad Autónoma afecta a Centros Docentes de los que es titular el Ministerio de Defensa. Así se desprende con toda evidencia del Convenio impugnado, puesto que tanto su Preámbulo como la Cláusula Primera, núm. 1, dejan constancia expresa de que el Ministerio de Defensa es el titular de dichos Centros. Titularidad que, junto a la competencia para regular todo lo relativo a estos Centros singulares, resulta inequívocamente de la Disposición Final segunda de la Ley Orgánica 8/1985, de 3 de julio, reguladora de Derecho a la Educación, que dice así: "Se autoriza al Gobierno para adaptar lo dispuesto en esta Ley a las peculiaridades de los centros docentes de carácter singular que estén acogidos a convenios entre el Ministerio de Educación y Ciencia y otros Ministerios, o cuyo carácter específico esté reconocido por acuerdos internacionales de carácter bilateral". </w:t>
      </w:r>
    </w:p>
    <w:p w:rsidR="006854DA" w:rsidRDefault="006854DA" w:rsidP="006854DA">
      <w:pPr>
        <w:pStyle w:val="TextoNormal"/>
      </w:pPr>
      <w:r>
        <w:t xml:space="preserve">La competencia estatal, tanto normativa como ejecutiva, que este precepto reconoce, se conecta, además, con dos títulos competenciales específicos. De una parte, con las competencias estatales de homologación del sistema educativo y desarrollo del derecho a la educación, ex art. 27.8 C.E., en el que precisamente se apoya la L.O. 8/1985. Y en segundo término, con la competencia sobre la Defensa Nacional, ex art. 149.1.4 C.E., habida cuenta de que la singularidad del Centro proviene de la necesidad de facilitar la enseñanza de los hijos del personal militar, condición indudablemente necesaria para atender correctamente a la política de personal de la Defensa Nacional, que es evidentemente un elemento integrante de la misma. La posibilidad de disponer de las dotaciones necesarias y adecuadas en todo el territorio nacional implica el facilitar al máximo la política de personal precisa para ello, por lo que resulta conveniente incluir la atención a la educación de los hijos de este personal. </w:t>
      </w:r>
    </w:p>
    <w:p w:rsidR="006854DA" w:rsidRDefault="006854DA" w:rsidP="006854DA">
      <w:pPr>
        <w:pStyle w:val="TextoNormal"/>
      </w:pPr>
      <w:r>
        <w:t xml:space="preserve">Dada la existencia de una competencia estatal específica, no basta la invocación general de la competencia autonómica para regular la cooficialidad de la lengua propia. Es, pues, plenamente aplicable a este caso la siguiente afirmación vertida en la STC 82/1986: "... pero sí puede la Comunidad Autónoma determinar el alcance de la cooficialidad, que se deriva inmediatamente de la Constitución y de su Estatuto de Autonomía y es inherente al concepto de aquélla, correspondiendo a la Administración estatal la ordenación concreta de la puesta en práctica de aquella regulación legal en cuanto afecte a órganos propios". </w:t>
      </w:r>
    </w:p>
    <w:p w:rsidR="006854DA" w:rsidRDefault="006854DA" w:rsidP="006854DA">
      <w:pPr>
        <w:pStyle w:val="TextoNormal"/>
      </w:pPr>
      <w:r>
        <w:t xml:space="preserve">B) Por lo demás, en el ejercicio de dicha competencia el Estado no ha menoscabado o restringido la competencia autonómica para regular la cooficialidad de la lengua propia de la Comunidad, de tal modo que no cabe afirmar en absoluto que haya incurrido en un exceso de competencia. En primer lugar, porque la norma cuestionada posee una justificación razonable y proporcionada al fin perseguido por la competencia estatal. Así se desprende de la conexión de la norma con la Defensa Nacional, como elemento necesario </w:t>
      </w:r>
      <w:r>
        <w:lastRenderedPageBreak/>
        <w:t xml:space="preserve">para facilitar al máximo, desde la perspectiva constitucional de los derechos fundamentales, ex art. 9.2 C.E., un integrante esencial de la misma, como es una política de personal adecuada en todo momento y en todo el territorio a las necesidades de la defensa nacional. E, igualmente, la razonabilidad de la norma impugnada se hace patente si se toma en consideración que la misma pretende facilitar en la práctica una educación homogénea (ex art. 27 C.E.) a los hijos de un personal eminentemente transeúnte, como es el personal militar. </w:t>
      </w:r>
    </w:p>
    <w:p w:rsidR="006854DA" w:rsidRDefault="006854DA" w:rsidP="006854DA">
      <w:pPr>
        <w:pStyle w:val="TextoNormal"/>
      </w:pPr>
      <w:r>
        <w:t>Y, de otro lado, se pone de manifiesto que no se ha producido exceso competencial en el hecho de que el Convenio produce exclusivamente sus efectos en un ámbito singular, diferenciado de aquellos donde se ejercen las competencias autonómicas, a saber, un Centro de titularidad estatal, concretamente del Ministerio de Defensa, por lo que puede sostenerse que sólo existe un "vínculo débil" con las instituciones públicas autonómicas y con sus competencias. En suma, el ámbito tanto objetivo como subjetivo de los destinatarios de la norma revela la ausencia de cualquier tipo de interferencia o menoscabo en las competencias autonómicas, lo que permite insistir en la conclusión de que no ha existido exceso alguno en el ejercicio de la competencia estatal.</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15 de julio de 1997, se señaló para deliberación y votación del presente conflicto positivo de competencia el día 17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presente conflicto positivo de competencia se centra en el Convenio suscrito entre los Ministerios de Educación y Ciencia y de Defensa, sobre régimen, promoción y funcionamiento de Centros de Enseñanza, que fue aprobado por el Real Decreto 295/1988, de 25 de marzo. Tal y como se indica en su Preámbulo, este Convenio venía a sustituir a otro anterior, suscrito el año 1978, cuya razón de ser residía en "la necesidad de que el personal de las Fuerzas Armadas contase con Centros escolares suficientes, debidamente coordinados, para que los frecuentes traslados de residencia a que se ve sometido dicho personal no perjudicase la trayectoria educativa de sus hijos".  Y, persistiendo tal circunstancia, fue, precisamente, la necesidad de acomodar lo dispuesto en aquel primer Convenio al espíritu de la Ley Orgánica 8/1985, reguladora del derecho a la educación (en adelante, L.O.D.E.), la que impulsó el establecimiento del que ahora se impugna, según asegura el referido Preámbulo del Real Decreto 295/1988.</w:t>
      </w:r>
    </w:p>
    <w:p w:rsidR="006854DA" w:rsidRDefault="006854DA" w:rsidP="006854DA">
      <w:pPr>
        <w:pStyle w:val="TextoNormal"/>
      </w:pPr>
      <w:r>
        <w:t>Más concretamente, el controvertido Convenio, cuyo ámbito de aplicación -cumple señalar- se ciñe exclusivamente a determinados Centros docentes cuyo titular es el Ministerio de Defensa, ha sido impugnado porque en los últimos incisos de la cláusula Cuarta.3 se establece lo siguiente: "Por lo que respecta a la enseñanza de la lengua propia de la Comunidad, tendrá carácter obligatorio con la consideración de asignatura con los mismos efectos académicos y administrativos que las restantes materias o áreas que constituyan el Plan de estudios. No obstante, el Ministerio de Educación y Ciencia podrá conceder la exención de cursar la enseñanza de la lengua propia de la Comunidad en los casos y mediante el procedimiento que se determine".</w:t>
      </w:r>
    </w:p>
    <w:p w:rsidR="006854DA" w:rsidRDefault="006854DA" w:rsidP="006854DA">
      <w:pPr>
        <w:pStyle w:val="TextoNormal"/>
      </w:pPr>
      <w:r>
        <w:t xml:space="preserve">A juicio de la representación de la Comunidad Autónoma de las Islas Baleares, acordar sobre la enseñanza de la lengua catalana, propia de las Islas Baleares, así como eximir de la enseñanza de la misma, es una atribución que sólo corresponde a la Comunidad Autónoma, según se desprende de los arts. 3.2 y 148.1.17ª C.E., y de las competencias que en </w:t>
      </w:r>
      <w:r>
        <w:lastRenderedPageBreak/>
        <w:t>punto a la materia lingüística le reconoce su Estatuto de Autonomía, especialmente su art. 14, en virtud del cual:</w:t>
      </w:r>
    </w:p>
    <w:p w:rsidR="006854DA" w:rsidRDefault="006854DA" w:rsidP="006854DA">
      <w:pPr>
        <w:pStyle w:val="TextoNormal"/>
      </w:pPr>
      <w:r>
        <w:t>"La Comunidad Autónoma tiene competencia exclusiva, en armonía con los planes de estudios estatales, para la enseñanza de la lengua catalana, propia de las Islas Baleares, de acuerdo con la tradición literaria autóctona. Su normalización será un objetivo de los poderes públicos de la Comunidad Autónoma. Las modalidades insulares del catalán serán objeto de estudio y protección, sin perjuicio de la unidad del idioma".</w:t>
      </w:r>
    </w:p>
    <w:p w:rsidR="006854DA" w:rsidRDefault="006854DA" w:rsidP="006854DA">
      <w:pPr>
        <w:pStyle w:val="TextoNormal"/>
      </w:pPr>
      <w:r>
        <w:t>Frente a esta posición, entiende el Abogado del Estado que la capacidad debatida encuentra, en última instancia, un suficiente anclaje constitucional tanto en la competencia exclusiva que el Estado ostenta sobre "Defensa y Fuerzas Armadas" (art.  149.1.4ª), como en las competencias estatales de homologación del sistema educativo y desarrollo del derecho fundamental a la educación que la Constitución igualmente le atribuye.</w:t>
      </w:r>
    </w:p>
    <w:p w:rsidR="006854DA" w:rsidRDefault="006854DA" w:rsidP="006854DA">
      <w:pPr>
        <w:pStyle w:val="TextoNormal"/>
      </w:pPr>
      <w:r>
        <w:t>Una vez descritos, siquiera en sus más elementales trazos, los términos del conflicto, procede comenzar exponiendo la doctrina conforme a la cual habremos de resolverlo.</w:t>
      </w:r>
    </w:p>
    <w:p w:rsidR="006854DA" w:rsidRDefault="006854DA" w:rsidP="006854DA">
      <w:pPr>
        <w:pStyle w:val="TextoNormal"/>
      </w:pPr>
    </w:p>
    <w:p w:rsidR="006854DA" w:rsidRDefault="006854DA" w:rsidP="006854DA">
      <w:pPr>
        <w:pStyle w:val="TextoNormal"/>
      </w:pPr>
      <w:r w:rsidRPr="006854DA">
        <w:rPr>
          <w:rStyle w:val="NumeroAFNegritaCaracter"/>
        </w:rPr>
        <w:t>2</w:t>
      </w:r>
      <w:r>
        <w:t>. La voluntad de la Nación española, manifestada abiertamente en el propio Preámbulo de la Constitución, de proteger las diversas culturas, tradiciones y lenguas de los pueblos de España, encuentra una proyección inmediata en el articulado de nuestro texto constitucional. Ya en el Título Preliminar, en efecto, tras declararse el castellano la lengua oficial del Estado, se prevé que las "demás lenguas españolas serán también oficiales en las respectivas Comunidades Autónomas de acuerdo con sus Estatutos" (art. 3.2 C.E.). Y, acto seguido, el art. 3.3 C.E. concluye: "La riqueza de las distintas modalidades lingüísticas de España es un patrimonio cultural que será objeto de especial respeto y protección". Es un reconocimiento del pluralismo lingüístico característico de nuestra Nación que, en fin, tiene también algún eco en el marco constitucional delimitador del orden competencial, toda vez que el art.  148.1.17ª permite a los Estatutos asumir competencias sobre el fomento de la "enseñanza de la lengua de la Comunidad Autónoma".</w:t>
      </w:r>
    </w:p>
    <w:p w:rsidR="006854DA" w:rsidRDefault="006854DA" w:rsidP="006854DA">
      <w:pPr>
        <w:pStyle w:val="TextoNormal"/>
      </w:pPr>
      <w:r>
        <w:t>Pues bien, basándose en la remisión del art.  3.2 C.E., el Estatuto de Autonomía para las Islas Baleares ha consagrado en su art. 3 el carácter de idioma oficial de la lengua catalana, en cuanto propia de esta Comunidad, apostillando a continuación que "todos tienen el derecho de conocerla y utilizarla"; y, asimismo, el Estatuto impone el mandato de que su "normalización será un objetivo de los poderes públicos de la Comunidad Autónoma" (segundo inciso del art. 14).</w:t>
      </w:r>
    </w:p>
    <w:p w:rsidR="006854DA" w:rsidRDefault="006854DA" w:rsidP="006854DA">
      <w:pPr>
        <w:pStyle w:val="TextoNormal"/>
      </w:pPr>
      <w:r>
        <w:t>Con apoyo en las pertinentes normas estatutarias que declaran la cooficialidad de la lengua autonómica, este Tribunal ha afirmado, con alcance general, que mientras corresponde al Estado regular la enseñanza del castellano, en cuanto única lengua oficial en todo el territorio nacional, atañe a las respectivas instituciones autonómicas la normación de la enseñanza de otras lenguas oficiales (SSTC 87/1983, fundamento jurídico 5º y 337/1994, fundamentos jurídicos 10 y 14).  A este respecto, y dado que los Centros docentes concernidos son de titularidad del Ministerio de Defensa, importa destacar que la determinación del ámbito de la cooficialidad por parte de la Comunidad Autónoma se extiende, prima facie,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 (STC 82/1986, fundamento jurídico 2º).  Es más: justamente en relación con esta Comunidad Autónoma ya tuvimos la oportunidad de declarar en la STC 123/1988 que nada «im</w:t>
      </w:r>
      <w:r>
        <w:lastRenderedPageBreak/>
        <w:t>pide, en principio, según la doctrina general sentada por anteriores decisiones sobre la cooficialidad, que se extraigan las consecuencias de dicho principio en relación con todas las Administraciones públicas, sin que a ello sea una excepción las Fuerzas Armadas», puesto que las «particularidades que poseen las Fuerzas Armadas no excluyen... su carácter de Administración Pública» (fundamento jurídico 5º).</w:t>
      </w:r>
    </w:p>
    <w:p w:rsidR="006854DA" w:rsidRDefault="006854DA" w:rsidP="006854DA">
      <w:pPr>
        <w:pStyle w:val="TextoNormal"/>
      </w:pPr>
      <w:r>
        <w:t>Esta doctrina general tiene una versión específica al aplicarse a la Comunidad Autónoma de las Islas Baleares, puesto que además de las citadas disposiciones estatutarias que son afines a la generalidad de las Comunidades Autónomas dotadas de lengua propia, el Estatuto balear contiene otras previsiones relativas específicamente a la enseñanza de la lengua catalana. En primer término, ya en su redacción inicial el Estatuto contemplaba la competencia sobre el fomento de la misma (art. 10.21); norma que se ha mantenido con idéntico tenor literal en el art. 10.20 tras la reforma del Estatuto acometida en la Ley Orgánica 9/1994, de 24 de marzo. Y, sobre todo, el primer inciso de su art. 14 - antes transcrito- atribuye a la Comunidad Autónoma la "competencia exclusiva, en armonía con los planes de estudios estatales, para la enseñanza de la lengua catalana, propia de las Islas Baleares, de acuerdo con su tradición literaria autóctona".</w:t>
      </w:r>
    </w:p>
    <w:p w:rsidR="006854DA" w:rsidRDefault="006854DA" w:rsidP="006854DA">
      <w:pPr>
        <w:pStyle w:val="TextoNormal"/>
      </w:pPr>
      <w:r>
        <w:t>Así, pues, la regulación de todo lo relativo a la enseñanza del catalán, como lengua propia de las Islas Baleares, posee ciertamente -como señala la representación de la Comunidad Autónoma- un fundamento estatutario que justifica sobradamente que el Parlamento balear acordase, en la Ley 3/1986, de 29 de abril, de Normalización Lingüística, imponer la obligatoriedad de la enseñanza de esta lengua en todos los niveles, grados y modalidades de la enseñanza no universitaria (art.  19.1). Como también justifican, obviamente, que esta Ley previese la genérica posibilidad de que fuesen los órganos competentes de la Comunidad Autónoma los que decidiesen, en el supuesto de "residencia transitoria en las Islas Baleares", la eventual exención de dicha obligación -hasta un máximo de tres cursos-, fijando como requisito imprescindible para solicitarla que "el tiempo transcurrido de residencia más el tiempo previsto no sea superior a tres años" (Disposición adicional cuarta).</w:t>
      </w:r>
    </w:p>
    <w:p w:rsidR="006854DA" w:rsidRDefault="006854DA" w:rsidP="006854DA">
      <w:pPr>
        <w:pStyle w:val="TextoNormal"/>
      </w:pPr>
      <w:r>
        <w:t>Siendo innegable, en suma, la potestad autonómica tanto para establecer la obligatoriedad de la enseñanza de su lengua propia, como para eximir de la misma, hay que determinar ahora si el Estado dispone de algún título competencial que le autorice a decidir singularmente al respecto, concretamente en relación con los Centros objeto del Convenio o si, por el contrario, las normas impugnadas han de considerarse una intromisión ilegítima en la esfera competencial autonómica.</w:t>
      </w:r>
    </w:p>
    <w:p w:rsidR="006854DA" w:rsidRDefault="006854DA" w:rsidP="006854DA">
      <w:pPr>
        <w:pStyle w:val="TextoNormal"/>
      </w:pPr>
    </w:p>
    <w:p w:rsidR="006854DA" w:rsidRDefault="006854DA" w:rsidP="006854DA">
      <w:pPr>
        <w:pStyle w:val="TextoNormal"/>
      </w:pPr>
      <w:r w:rsidRPr="006854DA">
        <w:rPr>
          <w:rStyle w:val="NumeroAFNegritaCaracter"/>
        </w:rPr>
        <w:t>3</w:t>
      </w:r>
      <w:r>
        <w:t>. Frente al aludido marco estatutario en el que la Comunidad Autónoma basa su facultad exclusiva y excluyente para acordar la obligatoriedad de la enseñanza, así como para establecer exenciones de ella, el Abogado del Estado fundamenta la adecuación al orden constitucional del Convenio impugnado en la competencia exclusiva que en materia de Defensa y Fuerzas Armadas atribuye al Estado el art. 149.1.4ª C.E., puesto que, a su juicio, el objetivo que el mismo persigue no es otro que el de lograr una adecuada política de personal, aspecto éste inherente a las materias aludidas en dicha disposición constitucional.</w:t>
      </w:r>
    </w:p>
    <w:p w:rsidR="006854DA" w:rsidRDefault="006854DA" w:rsidP="006854DA">
      <w:pPr>
        <w:pStyle w:val="TextoNormal"/>
      </w:pPr>
      <w:r>
        <w:t>Esta argumentación no debe ser compartida. Pues, si bien es verdad que no puede drásticamente negarse toda vinculación de las disposiciones impugnadas con el referido ámbito material, no es menos cierto que entre ambos tampoco es dable detectar la necesaria trabazón que permitiría ya afirmar, sin ulterior argumentación, que el Estado está legitimado para adoptar tal medida en virtud del citado título competencial. Y es que, a diferen</w:t>
      </w:r>
      <w:r>
        <w:lastRenderedPageBreak/>
        <w:t>cia de lo acontecido en la STC 123/1988 respecto del art. 13 de la Ley de Normalización Lingüística balear -que regulaba el uso del catalán durante la prestación del servicio militar y declaraba la validez de todas las actuaciones militares hechas en esta lengua en dicho territorio-, no cabe apreciar que los preceptos ahora controvertidos incidan en los mismos fundamentos de la «organización y funcionamiento» de las Fuerzas Armadas (fundamento jurídico 5º); afectación directa que, al sí producirse en relación con el mencionado art.  13, nos conduciría entonces a declarar su inconstitucionalidad por invadir el espacio competencial propio del Estado que el art. 149.1.4ª C.E. acota.  Ciertamente, el Convenio que nos ocupa, dado que se centra en el establecimiento de determinadas particularidades en el régimen regulador de los Centros docentes de titularidad del Ministerio de Defensa, sólo muestra una débil, en cuanto mediata, vinculación con dicho sector material. Justificar sobre esta sola apoyatura la facultad debatida equivaldría a expandir indebidamente el marco de la competencia estatal ex art.  149.1.4ª C.E. a toda suerte de actividades no incluidas en dicho ámbito, por el mero hecho de su más o menos remota, potencial u ocasional relación con aquellas materias.</w:t>
      </w:r>
    </w:p>
    <w:p w:rsidR="006854DA" w:rsidRDefault="006854DA" w:rsidP="006854DA">
      <w:pPr>
        <w:pStyle w:val="TextoNormal"/>
      </w:pPr>
    </w:p>
    <w:p w:rsidR="006854DA" w:rsidRDefault="006854DA" w:rsidP="006854DA">
      <w:pPr>
        <w:pStyle w:val="TextoNormal"/>
      </w:pPr>
      <w:r w:rsidRPr="006854DA">
        <w:rPr>
          <w:rStyle w:val="NumeroAFNegritaCaracter"/>
        </w:rPr>
        <w:t>4</w:t>
      </w:r>
      <w:r>
        <w:t>. El objetivo prioritario del Convenio que estamos enjuiciando es acomodar el régimen educativo general a la peculiar movilidad del personal al servicio de las Fuerzas Armadas. La materia más directamente concernida no es otra que la enseñanza.  Resulta significativo que sea al Ministerio de Educación y Ciencia, que no al de Defensa, al que el Convenio de Cooperación le atribuye la competencia. El fundamento constitucional de las concretas disposiciones controvertidas debe hallarse, por tanto, en aquella esfera competencial estatal que, en última instancia, enraíza en el derecho fundamental a la educación, a saber, la reconocida en el art. 149.1.30ª C.E.; y, más específicamente, entra en juego en el presente caso el título competencial según el cual al Estado corresponde la regulación de las "normas básicas para el desarrollo del art. 27 de la Constitución, a fin de garantizar el cumplimiento de las obligaciones de los poderes públicos en esta materia".</w:t>
      </w:r>
    </w:p>
    <w:p w:rsidR="006854DA" w:rsidRDefault="006854DA" w:rsidP="006854DA">
      <w:pPr>
        <w:pStyle w:val="TextoNormal"/>
      </w:pPr>
      <w:r>
        <w:t>A este respecto, resulta pertinente recordar que el derecho de todos a la educación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(STC 337/1994, fundamento jurídico 9º). Esta necesaria participación de ambos niveles de gobierno en la configuración del sistema educativo parte, por lo demás, de la siguiente restricción impuesta no sólo por los Estatutos, sino también por la propia Constitución, a saber, que «del reconocimiento de la cooficialidad del castellano y de la lengua propia de una Comunidad se deriva el mandato para los poderes públicos, estatal y autonómico, de incluir ambas lenguas cooficiales como materia de enseñanza obligatoria en los Planes de Estudio, a fin de asegurar el derecho, de raíz constitucional y estatutaria, a su utilización» (STC 337/1994, fundamento jurídico 14). Deber a cuyo cumplimiento se incardina claramente el art. 2 e) de la L.O.D.E., por cuanto incluye entre los fines que han de orientar la actividad educativa el de lograr una formación conforme a la "pluralidad lingüística y cultural de España", y que satisfaría plenamente la Ley Orgánica 1/1990, de Ordenación General del Sistema Educativo, al establecer, para cada nivel educativo, como área o materia obligatoria la lengua oficial propia de la correspondiente Comunidad Autónoma [arts. 14.2 d), 20.2 e) y 27.4].</w:t>
      </w:r>
    </w:p>
    <w:p w:rsidR="006854DA" w:rsidRDefault="006854DA" w:rsidP="006854DA">
      <w:pPr>
        <w:pStyle w:val="TextoNormal"/>
      </w:pPr>
      <w:r>
        <w:lastRenderedPageBreak/>
        <w:t>En este marco normativo, se hace evidente que la posibilidad de acordar la exención del estudio del catalán, lengua propia de las Islas Baleares, se configura como una excepción al recién aludido mandato que pesa sobre los poderes públicos de incluir en los Planes de Estudio como materia curricular obligatoria a las lenguas propias de las Comunidades Autónomas. Y esta singularidad, como en general todas las establecidas en relación con los Centros objeto del Convenio, según reconoce el Preámbulo del Real Decreto 295/1988, sería el resultado del uso de la autorización establecida en la Disposición Final Segunda de la L.O.D.E., que es del siguiente tenor literal: "Se autoriza al Gobierno para adaptar lo dispuesto en esta Ley a las peculiaridades de los centros docentes de carácter singular que estén acogidos a Convenios entre el Ministerio de Educación y Ciencia y otros Ministerios, o cuyo carácter específico esté reconocido por acuerdos internacionales de carácter bilateral".</w:t>
      </w:r>
    </w:p>
    <w:p w:rsidR="006854DA" w:rsidRDefault="006854DA" w:rsidP="006854DA">
      <w:pPr>
        <w:pStyle w:val="TextoNormal"/>
      </w:pPr>
      <w:r>
        <w:t>Consiguientemente, habida cuenta de que los debatidos incisos de la Cuarta Cláusula del Convenio encontrarían su soporte normativo en la citada Disposición Final segunda de la L.O.D.E., el problema competencial se reconduce, en última instancia, a determinar cuál sea el alcance de la habilitación contenida en dicha disposición, interpretada obviamente a la luz de los pertinentes preceptos del bloque de la constitucionalidad. De ello habremos ahora de ocuparnos.</w:t>
      </w:r>
    </w:p>
    <w:p w:rsidR="006854DA" w:rsidRDefault="006854DA" w:rsidP="006854DA">
      <w:pPr>
        <w:pStyle w:val="TextoNormal"/>
      </w:pPr>
    </w:p>
    <w:p w:rsidR="006854DA" w:rsidRDefault="006854DA" w:rsidP="006854DA">
      <w:pPr>
        <w:pStyle w:val="TextoNormal"/>
      </w:pPr>
      <w:r w:rsidRPr="006854DA">
        <w:rPr>
          <w:rStyle w:val="NumeroAFNegritaCaracter"/>
        </w:rPr>
        <w:t>5</w:t>
      </w:r>
      <w:r>
        <w:t>. Apunta el Abogado del Estado que de la mencionada Disposición final segunda de la L.O.D.E. -en conexión con la primera- se desprende con claridad la facultad estatal para regular enteramente la enseñanza en los Centros objeto del Convenio; atribución específica frente a la cual no basta la invocación general de la competencia autonómica para normar la cooficialidad de la lengua propia. Por contra, la representación de la Comunidad Autónoma mantiene que la habilitación aludida debe entenderse necesariamente en el ámbito de las competencias educativas del Estado, sin que permita fundamentar la invasión de su competencia exclusiva en orden a la enseñanza de su lengua propia.</w:t>
      </w:r>
    </w:p>
    <w:p w:rsidR="006854DA" w:rsidRDefault="006854DA" w:rsidP="006854DA">
      <w:pPr>
        <w:pStyle w:val="TextoNormal"/>
      </w:pPr>
      <w:r>
        <w:t>Pues bien, al acometer la delimitación del alcance de esta habilitación que autoriza al Gobierno a introducir modificaciones en el régimen educativo general, ha de partirse de que la misma, en el marco del art. 149.1.30ª C.E., debe necesariamente incardinarse a "garantizar el cumplimiento de las obligaciones de los poderes públicos" respecto del derecho a la educación.  Los límites y las posibilidades de tal habilitación deben fijarse, por consiguiente, atendiendo estrictamente a su vinculación con dicha finalidad.</w:t>
      </w:r>
    </w:p>
    <w:p w:rsidR="006854DA" w:rsidRDefault="006854DA" w:rsidP="006854DA">
      <w:pPr>
        <w:pStyle w:val="TextoNormal"/>
      </w:pPr>
      <w:r>
        <w:t>Como se indica en el Preámbulo del Real Decreto 295/1988, la pretensión del Convenio en su conjunto es asegurar el más adecuado disfrute del derecho a la educación de los hijos del personal militar, cuyo normal desenvolvimiento puede verse trastornado con motivo de unos traslados de residencia que, en función de las necesidades de organización de la defensa nacional, pueden llegar a ser harto frecuentes en el seno de la Fuerzas Armadas. Se orienta claramente a dicho objetivo, sin que el resultado alcanzado pueda considerarse excesivo en atención a esa finalidad, la medida prevista en el apartado primero de la Cláusula Cuarta, según la cual tienen derecho preferente a ser admitidos en los Centros contemplados en el Convenio "los hijos del personal militar que tenga su destino en la localidad, o establecida en ella su residencia familiar", o que, en el apartado 3 de la misma Cláusula Cuarta, segundo inciso, se prevea la utilización del castellano como lengua docente.</w:t>
      </w:r>
    </w:p>
    <w:p w:rsidR="006854DA" w:rsidRDefault="006854DA" w:rsidP="006854DA">
      <w:pPr>
        <w:pStyle w:val="TextoNormal"/>
      </w:pPr>
      <w:r>
        <w:t xml:space="preserve">Sucede, sin embargo, que la cuestión que aquí se debate no versa sobre la enseñanza "en" catalán, lengua propia de la Comunidad Autónoma de las Islas Baleares, sino sobre la enseñanza "de" dicha lengua como asignatura. Es decir, el conflicto afecta a una concreta </w:t>
      </w:r>
      <w:r>
        <w:lastRenderedPageBreak/>
        <w:t>materia respecto de la cual el Estatuto -de acuerdo con el art. 148.1.17 C.E.- ha previsto expresamente la competencia autonómica exclusiva: "La Comunidad Autónoma -dice el art. 14 del Estatuto, que ahora resulta pertinente reiterar- tiene competencia exclusiva, en armonía con los planes de estudios estatales, para la enseñanza de la lengua catalana...".</w:t>
      </w:r>
    </w:p>
    <w:p w:rsidR="006854DA" w:rsidRDefault="006854DA" w:rsidP="006854DA">
      <w:pPr>
        <w:pStyle w:val="TextoNormal"/>
      </w:pPr>
      <w:r>
        <w:t>El Consejo de Gobierno balear, en definitiva, esgrime un título competencial específico, que, además, como vimos supra en el fundamento jurídico 2º, fue utilizado en la Ley 3/1986, de Normalización Lingüística, para atribuir precisamente a sus órganos competentes la facultad de decidir acerca de la enseñanza del catalán, lengua propia de las Islas Baleares, así como de la eventual exención de tal enseñanza. Planteado de este modo el asunto, se llega a la conclusión de que las controvertidas disposiciones estatales entrañan una injerencia ilegítima en el ámbito competencial acotado por el Estatuto de Autonomía para las Islas Baleares.</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Declarar que la competencia controvertida corresponde a la Comunidad Autónoma de las Islas Baleares.</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diecisiete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1" w:name="SENTENCIA_1997_135"/>
      <w:r>
        <w:lastRenderedPageBreak/>
        <w:t>SENTENCIA 135/1997, de 21 de julio de 1997</w:t>
      </w:r>
    </w:p>
    <w:bookmarkEnd w:id="51"/>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ECLI:ES:TC:1997:135</w:t>
      </w:r>
    </w:p>
    <w:p w:rsidR="006854DA" w:rsidRDefault="006854DA" w:rsidP="006854DA">
      <w:pPr>
        <w:pStyle w:val="SntesisDescriptiva"/>
      </w:pPr>
    </w:p>
    <w:p w:rsidR="006854DA" w:rsidRDefault="006854DA" w:rsidP="006854DA">
      <w:pPr>
        <w:pStyle w:val="SntesisDescriptiva"/>
      </w:pPr>
      <w:r>
        <w:t>Recurso de amparo 2.007/1994. Contra Auto de la Audiencia Provincial de Santa Cruz de Tenerife recaído en juicio de faltas tramitado por el Juzgado de Primera Instancia e Instrucción núm. 5 de esa ciudad y Sentencia condenatoria  que puso fin al mismo.</w:t>
      </w:r>
    </w:p>
    <w:p w:rsidR="006854DA" w:rsidRDefault="006854DA" w:rsidP="006854DA">
      <w:pPr>
        <w:pStyle w:val="SntesisDescriptiva"/>
      </w:pPr>
    </w:p>
    <w:p w:rsidR="006854DA" w:rsidRDefault="006854DA" w:rsidP="006854DA">
      <w:pPr>
        <w:pStyle w:val="SntesisAnaltica"/>
      </w:pPr>
      <w:r>
        <w:t>Vulneración del derecho a la tutela judicial efectiva: resolución judicial dictada "inaudita parte".</w:t>
      </w:r>
    </w:p>
    <w:p w:rsidR="006854DA" w:rsidRDefault="006854DA" w:rsidP="006854DA">
      <w:pPr>
        <w:pStyle w:val="SntesisAnaltica"/>
      </w:pPr>
    </w:p>
    <w:p w:rsidR="006854DA" w:rsidRDefault="006854DA" w:rsidP="006854DA">
      <w:pPr>
        <w:pStyle w:val="Extracto"/>
      </w:pPr>
      <w:r>
        <w:t>1.</w:t>
      </w:r>
      <w:r>
        <w:tab/>
        <w:t>El recurso de apelación intentado por el recurrente permitía, desde la perspectiva constitucional, conciliar adecuadamente el principio de seguridad jurídica con el pleno contenido del derecho a la tutela judicial efectiva sin indefensión, por lo que no puede ser considerado improcedente. Por otra parte, el recurrente pudo pensar fundadamente que tenía derecho a tal recurso, tanto por las específicas exigencias relativas al doble grado de jurisdicción en materia penal, según las cuales al condenado por delito asiste el derecho fundamental a obtener la revisión de su condena por un Tribunal superior, cuanto por los condicionamientos, a los que se halla sometida la condena en ausencia en causas criminales, según los cuales, o ésta se halla vedada en atención a la importancia de los intereses en juego, o su imposición sólo es posible tras una efectiva citación para juicio que ha de ir seguida de una posibilidad de purga posterior que permita combatir tanto el fondo de la resolución como la eventual indefensión producida por la involuntaria ausencia del acusado [criterio sentado por el Tribunal Europeo de Derechos Humanos al interpretar las exigencias del art. 6.1 del Convenio en la Sentencia de 12 de octubre de 1992 (Caso T. contra Italia), parágrafos 24 a 30] [F.J. 3].</w:t>
      </w:r>
    </w:p>
    <w:p w:rsidR="006854DA" w:rsidRDefault="006854DA" w:rsidP="006854DA">
      <w:pPr>
        <w:pStyle w:val="Extracto"/>
      </w:pPr>
    </w:p>
    <w:p w:rsidR="006854DA" w:rsidRDefault="006854DA" w:rsidP="006854DA">
      <w:pPr>
        <w:pStyle w:val="Extracto"/>
      </w:pPr>
      <w:r>
        <w:t>2.</w:t>
      </w:r>
      <w:r>
        <w:tab/>
        <w:t>En el proceso penal este principio general se ve aún reforzado con exigencias adicionales, dada la intensidad y el alcance de los derechos fundamentales en juego, por lo que, atendiendo a intereses constitucionalmente relevantes, nuestro ordenamiento procesal penal, en consonancia con las Recomendaciones del Comite de Ministros del Consejo de Europa fijadas en la Resolución (75)11, de 21 de mayo, trata de asegurar la presencia del acusado en el acto del juicio oral no sólo exigiendo una especial minuciosidad en su citación, para así garantizar la posibilidad de defensa, sino también estableciendo numerosas reservas a la posibilidad de una condena en ausencia [F.J. 4].</w:t>
      </w:r>
    </w:p>
    <w:p w:rsidR="006854DA" w:rsidRDefault="006854DA" w:rsidP="006854DA">
      <w:pPr>
        <w:pStyle w:val="Extracto"/>
      </w:pPr>
    </w:p>
    <w:p w:rsidR="006854DA" w:rsidRDefault="006854DA" w:rsidP="006854DA">
      <w:pPr>
        <w:pStyle w:val="Extracto"/>
      </w:pPr>
      <w:r>
        <w:t>3.</w:t>
      </w:r>
      <w:r>
        <w:tab/>
        <w:t>En el caso analizado no se observó ninguno de los requisitos exigibles para la validez constitucional del emplazamiento edictal, pues no se intentó la citación a juicio por los medios ordinarios previstos en la L.E.Crim. en los arts. 166 a 171, pese a que el denunciado tenía domicilio conocido, como lo demuestra el hecho de que la citación para ejecutar la Sentencia, hecha en el domicilio que constaba en la denuncia inicial, sí fue efectiva. Tampoco cuando se acordó la citación edic</w:t>
      </w:r>
      <w:r>
        <w:lastRenderedPageBreak/>
        <w:t>tal existía en las actuaciones constancia formal de que la citación personal se hubiera intentado sin efecto conforme a Ley, ya que se dedujo erróneamente la falta de domicilio conocido y se pasó automáticamente a la citación edictal al constatar en el acto del juicio la incomparecencia del denunciado. En tal situación no cabe considerar que la decisión de citar por edictos se fundara en criterio razonable que permitiese valorar la ineficacia de los otros medios de comunicación. Al proceder así, el Juzgado de Instrucción incurrió en una infracción procesal con trascendencia constitucional que ha provocado indefensión al recurrente lesionando por ello el derecho que garantiza el art. 24.1 C.E. [F.J.4].</w:t>
      </w:r>
    </w:p>
    <w:p w:rsidR="006854DA" w:rsidRDefault="006854DA" w:rsidP="006854DA">
      <w:pPr>
        <w:pStyle w:val="Extracto"/>
      </w:pPr>
    </w:p>
    <w:p w:rsidR="006854DA" w:rsidRDefault="006854DA" w:rsidP="006854DA">
      <w:pPr>
        <w:pStyle w:val="Extracto"/>
      </w:pPr>
      <w:r>
        <w:t>4.</w:t>
      </w:r>
      <w:r>
        <w:tab/>
        <w:t>Desde sus primeros pronunciamientos este Tribunal ha destacado que el derecho fundamental recogido en el art. 24.1 C.E. comporta la exigencia de que en todo proceso judicial deba respetarse, a través de la contradicción, el derecho de defensa de las partes contendientes. Tal derecho fundamental alcanza su máxima intensidad en el ámbito penal por la trascendencia de los intereses en juego, y los principios constitucionales que lo informan (presunción de inocencia, derecho a conocer la acusación y ejercicio del derecho de autodefensa, entre otros), pues no en vano al proceso penal se acude postulando la actuación del poder del Estado en su forma más extrema -la pena criminal- y esta actuación puede implicar una profunda injerencia en la libertad del imputado y en el núcleo más «sagrado» de sus derechos fundamentales. Por ello su plena efectividad ha de ser singularmente exigente en la fase plenaria, en la que se ha de practicar contradictoriamente la prueba capaz de desvirtuar la presunción de inocencia, para garantizar el equilibrio entre las partes acusadoras y acusadas y brindar al Tribunal amplios elementos de juicio para pronunciarse sobre las pretensiones ejercitadas (STC 4/1982) [F.J. 6].</w:t>
      </w:r>
    </w:p>
    <w:p w:rsidR="006854DA" w:rsidRDefault="006854DA" w:rsidP="006854DA">
      <w:pPr>
        <w:pStyle w:val="Extracto"/>
      </w:pPr>
    </w:p>
    <w:p w:rsidR="006854DA" w:rsidRDefault="006854DA" w:rsidP="006854DA">
      <w:pPr>
        <w:pStyle w:val="Extracto"/>
      </w:pPr>
      <w:r>
        <w:t>5.</w:t>
      </w:r>
      <w:r>
        <w:tab/>
        <w:t>De todo lo dicho anteriormente cabe concluir que la condena «in absentia» en juicios penales sólo es constitucionalmente admisible si se garantiza suficientemente el derecho del acusado a defenderse en un juicio contradictorio, dándole, mediante la citación que produzca un conocimiento efectivo, oportunidad de comparecer en él con anterioridad para que pueda conocer los hechos que se le imputan y garantizándole, en cualquier caso, la posibilidad de instar un procedimiento rescisorio frente a la condena penal «in absentia», sin que tal posibilidad haya de extenderse necesariamente a los pronunciamientos civiles de la Sentencia. Esta declaración es aplicable a los juicios de faltas y tiene plenos efectos frente a todos, tal y como prevé el art. 164 de la C.E. [F.J. 7].</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 Regueral, don Julio Diego González Campos, don Rafael de Mendizábal Allende,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2.007/94 promovido por don Aurelio de la Vega Feliciano, representado por la Procuradora de los Tribunales doña María del Pilar Reina Sagrado y asistido del Letrado don Andrés de la Vega Alcañiz, contra el Auto de la Sección Segunda de la Audiencia Provincial de Santa Cruz de Tenerife, de 5 de mayo de 1994, recaído en autos de juicio de faltas 86/93 tramitado por el Juzgado de Primera Instancia e Instrucción núm. 5 de esa ciudad y la Sentencia condenatoria de 30 de octubre de 1993, que puso fin al mismo. Ha sido parte el Ministerio Fiscal, siendo Ponente el Magistrado don Tomás S. Vives Antón,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que tuvo entrada en este Tribunal el día 8 de Junio de 1994, don Aurelio de la Vega Feliciano, representado por la Procuradora de los Tribunales doña María del Pilar Reina Sagrado y asistido del Letrado don Andrés de la Vega Alcañiz, presentó demanda de amparo contra la Sentencia condenatoria de 30 de octubre de 1993 dictada en autos de juicio de faltas 86/93 tramitados por el Juzgado de Primera Instancia e Instrucción núm. 5 de Santa Cruz de Tenerife, y contra el Auto de la Sección Segunda de su Audiencia Provincial, de 5 de mayo de 1994, dictado durante la ejecución de la misma.</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relevantes para la comprensión de la presente demanda, tal como se desprenden de la misma y de los documentos que la acompañan así como de las actuaciones reclamadas, son los siguientes: </w:t>
      </w:r>
    </w:p>
    <w:p w:rsidR="006854DA" w:rsidRDefault="006854DA" w:rsidP="006854DA">
      <w:pPr>
        <w:pStyle w:val="TextoNormal"/>
      </w:pPr>
      <w:r>
        <w:t xml:space="preserve">a) El 27 de julio de 1993 se produjo un incidente entre el recurrente y dos agentes de la policía local de Santa Cruz de Tenerife como consecuencia de haber sancionado éstos a aquel por tener detenido su vehículo en doble fila, lo cual motivó la intervención de la grúa municipal para retirar el vehículo, actuación a la que, según el atestado, se opuso el Sr. de la Vega que llegó a subirse en el vehículo que a su vez había sido ya remolcado por la grúa. Por estos hechos se incoó atestado policial que, remitido al Juez Decano, correspondió al Juzgado de Instrucción núm. 6 de dicha ciudad. En dicho atestado se identificó e hizo constar el domicilio del denunciado. </w:t>
      </w:r>
    </w:p>
    <w:p w:rsidR="006854DA" w:rsidRDefault="006854DA" w:rsidP="006854DA">
      <w:pPr>
        <w:pStyle w:val="TextoNormal"/>
      </w:pPr>
      <w:r>
        <w:t xml:space="preserve">b) Incoadas diligencias previas, el 10 de agosto de 1993, a fin de tomarle declaración, se citó por telegrama al reclamado en el domicilio que consta en el atestado, siendo devuelto el mismo con la indicación "no entregado, ausente, dejado aviso, no reclamado". Por Auto de 17 de agosto de 1993 el Juzgado declara falta los hechos enjuiciados y remite nuevamente las actuaciones al Juez Decano para su reparto, correspondiendo esta vez su enjuiciamiento al Juzgado de Instrucción núm. 5, que el 1 de septiembre de 1993 señala juicio para el 17 de septiembre acordando citar "a las partes y al Ministerio Fiscal". La citación de los agentes denunciantes se hace a través de telegrama. La citación del denunciado se intenta directamente a través de un oficio dirigido al Sr. Jefe de la Policía Local de Santa Cruz en el que se le ruega "se sirva disponer de la citación para comparecer ante el Juzgado" de la persona denunciada. En el oficio, de 6 de septiembre de 1993, se reseña como domicilio del denunciado el mismo que aparecía en el atestado. </w:t>
      </w:r>
    </w:p>
    <w:p w:rsidR="006854DA" w:rsidRDefault="006854DA" w:rsidP="006854DA">
      <w:pPr>
        <w:pStyle w:val="TextoNormal"/>
      </w:pPr>
      <w:r>
        <w:lastRenderedPageBreak/>
        <w:t xml:space="preserve">c) El 17 de septiembre de 1993 se suspende el juicio señalado al no aparecer acreditada la citación del denunciado, Sr. de la Vega, y se vuelve a señalar para el día 29 de octubre a las 9'30 horas. Por providencia de 21 de septiembre se acuerda, a la vista del contenido del acta del juicio oral suspendido por no estar citado en legal forma el denunciado, librar oficio al Boletín Oficial de la Provincia a fin de citarle en legal forma. Con posterioridad al acta del juicio oral aparece unido a las actuaciones un oficio de fecha 13 de septiembre del Jefe de la Policía local por el que se devuelve la citación interesada para el día 17 de septiembre, "toda vez que de las varias ocasiones en que se intentó citar al mismo, siempre se encontró el referido domicilio cerrado, y los vecinos no dieron razón del actual paradero del interesado". </w:t>
      </w:r>
    </w:p>
    <w:p w:rsidR="006854DA" w:rsidRDefault="006854DA" w:rsidP="006854DA">
      <w:pPr>
        <w:pStyle w:val="TextoNormal"/>
      </w:pPr>
      <w:r>
        <w:t xml:space="preserve">d) El día 29 de octubre de 1993 se celebra el juicio de faltas, sin que en él comparezca el denunciado, pese a que la citación edictal apareció en el B.O.P. del día 20 de octubre. Sí comparecen dos de los policías denunciantes que ratifican el contenido del atestado. El 30 de octubre de 1993 el Juez de Instrucción dicta Sentencia por la que condena al denunciado como autor de una falta de desobediencia del art. 570.2 del Código penal entonces vigente, a la pena de 10.000 pesetas de multa con arresto sustitutorio de tres días para el caso de impago y costas procesales. La Sentencia se notifica también por edictos, según consta en diligencia del Secretario Judicial de fecha 9 de noviembre de 1993. El edicto aparece publicado en el B.O.P. de 19 de noviembre de 1993. El 18 de enero de 1994 se dicta providencia que declara firme la Sentencia dictada y acuerda incoar ejecutoria. </w:t>
      </w:r>
    </w:p>
    <w:p w:rsidR="006854DA" w:rsidRDefault="006854DA" w:rsidP="006854DA">
      <w:pPr>
        <w:pStyle w:val="TextoNormal"/>
      </w:pPr>
      <w:r>
        <w:t xml:space="preserve">e) A fin de ejecutar la Sentencia impuesta el pasado 9 de febrero de 1994 fue citado personalmente el demandante de amparo en el domicilio que siempre constó en las actuaciones. Compareció el 10 de febrero ante el Juez que le requirió para el pago de la multa. En la misma comparecencia solicitó el denunciado la paralización de la ejecutoria a fin de solicitar la nulidad de lo actuado "por no haber sido citado personalmente pues ... en su domicilio en la fecha en que se le dice que fue citado había gente en todo momento e incluso para más información existe una placa en la puerta en la que se lee don Andrés de la Vega Alcañiz, Abogado, padre del denunciado, por lo que estima que podía haberse hecho cualquier gestión en el Colegio de Abogados, que, además, está junto al indicado domicilio". Su solicitud de paralización no fue atendida. </w:t>
      </w:r>
    </w:p>
    <w:p w:rsidR="006854DA" w:rsidRDefault="006854DA" w:rsidP="006854DA">
      <w:pPr>
        <w:pStyle w:val="TextoNormal"/>
      </w:pPr>
      <w:r>
        <w:t>Interpuso recurso de apelación contra la Sentencia condenatoria dictada, el cual fue inadmitido a trámite por providencia de 28 de febrero de 1994 al entender el Juez de Instrucción que el recurso era extemporáneo pues la Sentencia se le notificó en legal forma y se declaró firme en fecha 18 de enero de 1994. Recurrida en queja tal resolución, la misma fue desestimada por Auto de 5 de mayo de 1994 que consideró también que la citación para juicio se llevó a cabo conforme prevé el art. 178 de la L.E.Crim. y por tanto de forma legal y correcta, lo que llevó a confirmar la providencia de inadmisión del recurso de apelación presentado.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A juicio del recurrente, las resoluciones judiciales impugnadas han vulnerado el art. 24 de la Constitución por las siguientes razones que se recogen en la demanda: </w:t>
      </w:r>
    </w:p>
    <w:p w:rsidR="006854DA" w:rsidRDefault="006854DA" w:rsidP="006854DA">
      <w:pPr>
        <w:pStyle w:val="TextoNormal"/>
      </w:pPr>
      <w:r>
        <w:t xml:space="preserve">a) Se denuncia violación del derecho a obtener tutela judicial efectiva sin indefensión, ya que las citaciones para juicio, y la notificación de la Sentencia condenatoria se hicieron a través de edictos sin haber agotado los recursos razonables para llevarlas a cabo personalmente, lo que provocó su condena penal inaudita parte y la imposibilidad de recurrir la Sentencia así dictada. </w:t>
      </w:r>
    </w:p>
    <w:p w:rsidR="006854DA" w:rsidRDefault="006854DA" w:rsidP="006854DA">
      <w:pPr>
        <w:pStyle w:val="TextoNormal"/>
      </w:pPr>
      <w:r>
        <w:lastRenderedPageBreak/>
        <w:t xml:space="preserve">b) También considera lesionado su derecho a la presunción de inocencia por cuanto, en su opinión, las manifestaciones en el acto del juicio oral de los agentes de policía municipal no son suficientes como para entender cometida una acción antijurídica y culpable. </w:t>
      </w:r>
    </w:p>
    <w:p w:rsidR="006854DA" w:rsidRDefault="006854DA" w:rsidP="006854DA">
      <w:pPr>
        <w:pStyle w:val="TextoNormal"/>
      </w:pPr>
      <w:r>
        <w:t>Concluye la demanda con la solicitud de que, otorgando el amparo, sea dictada Sentencia que declare la nulidad de todo lo actuado y la absolución del denunciado.</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16 de marzo de 1995, la Sección Tercera (Sala Segunda) de este Tribunal acordó admitir a trámite la demanda de amparo y solicitar de los órganos jurisdiccionales certificación de las actuaciones correspondientes, debiendo previamente emplazarse a quienes hubieron sido parte en el procedimiento para que pudieran comparecer en el recurso de amparo y defender sus derechos.</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8 de mayo de 1995, la Sección Cuarta (Sala Segunda) acordó dar vista de las actuaciones remitidas a las partes personadas y al Ministerio Fiscal por plazo común de veinte días, para que presentaran las alegaciones que estimasen pertinentes, conforme determina el art. 52.1 de la LOTC.</w:t>
      </w:r>
    </w:p>
    <w:p w:rsidR="006854DA" w:rsidRDefault="006854DA" w:rsidP="006854DA">
      <w:pPr>
        <w:pStyle w:val="TextoNormal"/>
      </w:pPr>
    </w:p>
    <w:p w:rsidR="006854DA" w:rsidRDefault="006854DA" w:rsidP="006854DA">
      <w:pPr>
        <w:pStyle w:val="TextoNormal"/>
      </w:pPr>
      <w:r w:rsidRPr="006854DA">
        <w:rPr>
          <w:rStyle w:val="NumeroAFNegritaCaracter"/>
        </w:rPr>
        <w:t>6</w:t>
      </w:r>
      <w:r>
        <w:t xml:space="preserve">. El Fiscal ante el Tribunal Constitucional formula sus alegaciones en escrito registrado el 2 de junio de 1995, y en él plantea, en primer lugar, la posible existencia de una causa de inadmisión, que en esta fase sería de desestimación, por extemporaneidad del recurso de amparo, pues considera que el recurso de apelación intentado por el demandante y la posterior queja fueron recursos improcedentes que no tuvieron efectos interruptivos del plazo de caducidad de presentación de la demanda de amparo, que se habría presentado fuera del plazo legal de veinte días pues el demandante manifiesta conocer la Sentencia impugnada el 10 de febrero de 1994, y el recurso de amparo se presentó el 8 de junio de ese mismo año -casi cuatro meses después-. </w:t>
      </w:r>
    </w:p>
    <w:p w:rsidR="006854DA" w:rsidRDefault="006854DA" w:rsidP="006854DA">
      <w:pPr>
        <w:pStyle w:val="TextoNormal"/>
      </w:pPr>
      <w:r>
        <w:t xml:space="preserve">En su opinión debió el demandante acudir a este proceso constitucional tan pronto conoció del proceso penal y no emprender la vía del recurso de apelación y queja pues en ellos no podía ver satisfecha su pretensión anulatoria, a tenor de lo previsto en el art. 240 de la L.O.P.J. </w:t>
      </w:r>
    </w:p>
    <w:p w:rsidR="006854DA" w:rsidRDefault="006854DA" w:rsidP="006854DA">
      <w:pPr>
        <w:pStyle w:val="TextoNormal"/>
      </w:pPr>
      <w:r>
        <w:t xml:space="preserve">En cuanto al fondo de la pretensión de amparo para el supuesto de no apreciación de la extemporaneidad, el Fiscal analiza las causas que originaron la citación edictal y la actividad judicial tendente a garantizar la presencia del denunciado en el juicio, y constata que la primera citación se llevó a cabo por la vía prevista en el art. 178 L.E.Crim. eludiendo otros medios más directos de citación -art. 166 y ss.) que resultan de aplicación en el juicio de faltas, por lo que concluye que el Juzgado no utilizó otros medios a su alcance que tenía para asegurar su comparecencia. La incomparecencia en el primer juicio provocó la citación edictal, pese a que se sabía que tenía el denunciado domicilio conocido. En el segundo llamamiento se insiste en esta vía edictal, pese los vagos términos de la comunicación de la policía local que informaba de no haber citado al denunciado. Concluye el Fiscal considerando que la forma en que se llevó a cabo el llamamiento no garantizó de modo verosímil el conocimiento del proceso por el que luego fue condenado, por lo que se vio indebidamente privado de la posibilidad de defenderse y de usar los medios inherentes a su posición procesal. </w:t>
      </w:r>
    </w:p>
    <w:p w:rsidR="006854DA" w:rsidRDefault="006854DA" w:rsidP="006854DA">
      <w:pPr>
        <w:pStyle w:val="TextoNormal"/>
      </w:pPr>
      <w:r>
        <w:t>Por ello solicita que se dicte Sentencia que estime el recurso interpuesto y retrotraiga las actuaciones al momento del llamamiento al juicio de faltas para que el mismo se lleve a cabo con respeto al art. 24.1, y se anulen los actos procesales posteriores.</w:t>
      </w:r>
    </w:p>
    <w:p w:rsidR="006854DA" w:rsidRDefault="006854DA" w:rsidP="006854DA">
      <w:pPr>
        <w:pStyle w:val="TextoNormal"/>
      </w:pPr>
    </w:p>
    <w:p w:rsidR="006854DA" w:rsidRDefault="006854DA" w:rsidP="006854DA">
      <w:pPr>
        <w:pStyle w:val="TextoNormal"/>
      </w:pPr>
      <w:r w:rsidRPr="006854DA">
        <w:rPr>
          <w:rStyle w:val="NumeroAFNegritaCaracter"/>
        </w:rPr>
        <w:t>7</w:t>
      </w:r>
      <w:r>
        <w:t>. Por escrito, registrado el 5 de diciembre de 1996, el demandante solicita que se tengan por reproducidas las alegaciones contenidas en el escrito de interposición del recurso de amparo.</w:t>
      </w:r>
    </w:p>
    <w:p w:rsidR="006854DA" w:rsidRDefault="006854DA" w:rsidP="006854DA">
      <w:pPr>
        <w:pStyle w:val="TextoNormal"/>
      </w:pPr>
    </w:p>
    <w:p w:rsidR="006854DA" w:rsidRDefault="006854DA" w:rsidP="006854DA">
      <w:pPr>
        <w:pStyle w:val="TextoNormal"/>
      </w:pPr>
      <w:r w:rsidRPr="006854DA">
        <w:rPr>
          <w:rStyle w:val="NumeroAFNegritaCaracter"/>
        </w:rPr>
        <w:t>8</w:t>
      </w:r>
      <w:r>
        <w:t>. Por providencia de 17 de julio de 1997, se acordó señalar el día 21 del mismo mes y año para la deliberación y votación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demandante de amparo fue condenado el 30 de octubre de 1993 por el Juzgado de Instrucción núm. 5 de Santa Cruz de Tenerife, a la pena de 10.000 pesetas de multa con arresto sustitutorio de tres días para el caso de impago, al ser considerado autor de una falta de desobediencia prevista en el art.  570.2 del Código Penal entonces vigente. La citación para comparecer en el juicio de faltas se hizo mediante un edicto publicado en el Boletín Oficial de la Provincia tras fracasar el intento inicial de citación personal llevado a cabo por agentes de la policía local, los cuales informaron al Juzgado de que la citación intentada no se había practicado "toda vez que de las varias ocasiones en que se intentó citar al mismo, siempre se encontró el referido domicilio cerrado, y los vecinos no dieron razón del actual paradero del interesado". El juicio de faltas se desarrolló sin la presencia del denunciado y la Sentencia condenatoria fue también notificada edictalmente, sin que previamente se intentase notificación personal alguna.</w:t>
      </w:r>
    </w:p>
    <w:p w:rsidR="006854DA" w:rsidRDefault="006854DA" w:rsidP="006854DA">
      <w:pPr>
        <w:pStyle w:val="TextoNormal"/>
      </w:pPr>
      <w:r>
        <w:t>El recurrente manifiesta haber tenido conocimiento de la condena cuando compareció en el Juzgado atendiendo una citación, que recibió por correo en su domicilio, cuyo objeto era ejecutar la Sentencia impuesta. Inmediatamente interpuso recurso de apelación contra la Sentencia dictada en primera instancia. Su recurso fue inadmitido a trámite por el Juzgado de Instrucción, mediante providencia de 28 de febrero de 1994, que lo consideró extemporáneo al tomar como fecha inicial de cómputo del plazo para recurrir la de publicación en el Boletín Oficial de la Provincia del edicto de notificación.  La decisión de inadmisión fue confirmada al resolver la Audiencia Provincial de Tenerife, por Auto de 5 de mayo de 1994, el recurso de queja interpuesto.</w:t>
      </w:r>
    </w:p>
    <w:p w:rsidR="006854DA" w:rsidRDefault="006854DA" w:rsidP="006854DA">
      <w:pPr>
        <w:pStyle w:val="TextoNormal"/>
      </w:pPr>
    </w:p>
    <w:p w:rsidR="006854DA" w:rsidRDefault="006854DA" w:rsidP="006854DA">
      <w:pPr>
        <w:pStyle w:val="TextoNormal"/>
      </w:pPr>
      <w:r w:rsidRPr="006854DA">
        <w:rPr>
          <w:rStyle w:val="NumeroAFNegritaCaracter"/>
        </w:rPr>
        <w:t>2</w:t>
      </w:r>
      <w:r>
        <w:t>. La pretensión de amparo ejercitada en la demanda considera que las actuaciones procesales relatadas le han producido indefensión, ya que ha sido condenado sin haber sido oído en un juicio de faltas para el que no fue legalmente citado, pues la precipitada citación edictal para juicio y la posterior notificación en la misma manera de la Sentencia condenatoria, no se produjeron en ninguna de las circunstancias previstas en la ley.</w:t>
      </w:r>
    </w:p>
    <w:p w:rsidR="006854DA" w:rsidRDefault="006854DA" w:rsidP="006854DA">
      <w:pPr>
        <w:pStyle w:val="TextoNormal"/>
      </w:pPr>
      <w:r>
        <w:t>Dos son por tanto las resoluciones judiciales que se impugnan: la Sentencia condenatoria de 30 de octubre de 1993 dictada en primera instancia por el Juzgado de Instrucción núm. 5 de Santa Cruz de Tenerife, en la medida en que se dicta inaudita parte tras una citación edictal, y el Auto de 5 de mayo de 1994 de la Audiencia Provincial de Tenerife por el que se desestimó la queja formulada contra la providencia que acordó no admitir a trámite el recurso de apelación intentado contra aquella Sentencia, por cuanto no permite al recurrente impugnar, inmediatamente después de tener conocimiento de la misma, la Sentencia penal condenatoria dictada in absentia.</w:t>
      </w:r>
    </w:p>
    <w:p w:rsidR="006854DA" w:rsidRDefault="006854DA" w:rsidP="006854DA">
      <w:pPr>
        <w:pStyle w:val="TextoNormal"/>
      </w:pPr>
    </w:p>
    <w:p w:rsidR="006854DA" w:rsidRDefault="006854DA" w:rsidP="006854DA">
      <w:pPr>
        <w:pStyle w:val="TextoNormal"/>
      </w:pPr>
      <w:r w:rsidRPr="006854DA">
        <w:rPr>
          <w:rStyle w:val="NumeroAFNegritaCaracter"/>
        </w:rPr>
        <w:lastRenderedPageBreak/>
        <w:t>3</w:t>
      </w:r>
      <w:r>
        <w:t>. Antes de analizar la pretensión de fondo es preciso despejar la duda de admisibilidad planteada por el Ministerio Fiscal, según la cual el recurso de amparo podría ser considerado extemporáneo al haberse interpuesto en el proceso judicial un recurso manifiestamente improcedente, finalmente inadmitido, que no habría suspendido el plazo de caducidad establecido en el art.  44.2 LOTC.: se trata del recurso de apelación intentado contra la Sentencia dictada en primera instancia en el juicio de faltas cuando ésta, transcurridos más de cinco días desde su notificación edictal, había sido declarada firme y se había dado ya inicio a su ejecución.</w:t>
      </w:r>
    </w:p>
    <w:p w:rsidR="006854DA" w:rsidRDefault="006854DA" w:rsidP="006854DA">
      <w:pPr>
        <w:pStyle w:val="TextoNormal"/>
      </w:pPr>
      <w:r>
        <w:t>El análisis de esta cuestión ha de partir de las consideraciones expresadas por esta Sala en sus SSTC 122/1996 y 205/1996, según las cuales "al enjuiciar el carácter manifiestamente improcedente de un recurso desde la perspectiva del art. 44.1 a) LOTC, las exigencias del principio de seguridad jurídica (art. 9.3 C.E.), han de armonizarse con el respeto al pleno contenido del derecho a la tutela judicial efectiva (art.  24.1 C.E.), lo que conduce a una aplicación restrictiva del concepto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352/1993, 253/1994)".</w:t>
      </w:r>
    </w:p>
    <w:p w:rsidR="006854DA" w:rsidRDefault="006854DA" w:rsidP="006854DA">
      <w:pPr>
        <w:pStyle w:val="TextoNormal"/>
      </w:pPr>
      <w:r>
        <w:t>Desde una perspectiva subjetiva, que es sin duda fundamental al valorar la conducta procesal del demandante, no cabe considerar que la interposición del recurso de apelación inmediatamente después de conocer la existencia de la Sentencia condenatoria dictada en ausencia, cuando ni siquiera hubo previa citación personal, pueda ser considerada una maniobra para prolongar artificialmente el plazo de interposición del amparo.</w:t>
      </w:r>
    </w:p>
    <w:p w:rsidR="006854DA" w:rsidRDefault="006854DA" w:rsidP="006854DA">
      <w:pPr>
        <w:pStyle w:val="TextoNormal"/>
      </w:pPr>
      <w:r>
        <w:t>Tampoco, atendiendo a su finalidad, cabe estimar que tal recurso fuera evidentemente injustificado pues el condenado trataba de combatir, a través del único recurso posible, los argumentos que justificaron la sentencia condenatoria dictada en primera instancia, y, al tiempo, intentaba plantear, en la vía judicial, la indefensión que en su opinión había sufrido por la condena inaudita parte.</w:t>
      </w:r>
    </w:p>
    <w:p w:rsidR="006854DA" w:rsidRDefault="006854DA" w:rsidP="006854DA">
      <w:pPr>
        <w:pStyle w:val="TextoNormal"/>
      </w:pPr>
      <w:r>
        <w:t>En definitiva, el recurso de apelación intentado por el recurrente permitía en este caso, desde la perspectiva constitucional, conciliar adecuadamente el principio de seguridad jurídica con el pleno contenido del derecho a la tutela judicial efectiva sin indefensión por lo que no puede ser considerado improcedente. Por otra parte, el recurrente pudo pensar fundadamente que tenía derecho a tal recurso, tanto por las específicas exigencias relativas al doble grado de jurisdicción en materia penal, según las cuales al condenado por delito asiste el derecho fundamental a obtener la revisión de su condena por un Tribunal superior (SSTC 17/1985, 60/1985, 110/1985 y 89/1995 entre otras), cuanto por los condicionamientos, a los que se halla sometida la condena en ausencia en causas criminales, según los cuales, o ésta se halla vedada en atención a la importancia de los intereses en juego, o su imposición sólo es posible tras una efectiva citación para juicio que ha de ir seguida de una posibilidad de purga posterior que permita combatir tanto el fondo de la resolución como la eventual indefensión producida por la involuntaria ausencia del acusado (criterio sentado por el Tribunal Europeo de Derechos Humanos al interpretar las exigencias del art. 6.1 del Convenio en la Sentencia de 12 de octubre de 1992 [Caso T. contra Italia], parágrafos 24 a 30).</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Los hechos que dan origen a la presente demanda de amparo suscitan, al menos, tres cuestiones distintas, cuyo análisis es obligado una vez despejada la duda de admisibilidad planteada por el Ministerio Fiscal. La primera de ellas es la de los requisitos de validez que ha de cumplir la citación edictal en el ámbito del proceso penal, y más concretamente, </w:t>
      </w:r>
      <w:r>
        <w:lastRenderedPageBreak/>
        <w:t>para comparecer en el juicio de faltas; la segunda se refiere a las consecuencias que del emplazamiento edictal pueden extraerse en el juicio de faltas cuando, pese al mismo, no comparece el denunciado; la tercera hace referencia a las exigencias, que, en cuanto a la notificación de la Sentencia y posibilidades de recurrirla, se derivan del hecho de haber sido la misma dictada en ausencia del acusado.</w:t>
      </w:r>
    </w:p>
    <w:p w:rsidR="006854DA" w:rsidRDefault="006854DA" w:rsidP="006854DA">
      <w:pPr>
        <w:pStyle w:val="TextoNormal"/>
      </w:pPr>
      <w:r>
        <w:t>En cuanto a la primera, el art. 24.1 C.E. exige la correcta citación de las partes a través de los actos de comunicación establecidos en la ley. La presencia en juicio hace real la posibilidad de defensa y, en tal medida, el citado precepto constitucional impide, con carácter general, una resolución judicial de fondo inaudita parte salvo en los casos de incomparecencia por voluntad expresa o tácita o negligencia imputable al procesado citado personalmente (SSTC 112/1987, 151/1987, 89/1991 ó 123/1991).  Por dichas razones este Tribunal ha venido insistiendo desde sus primeras resoluciones en la necesidad de que los órganos judiciales realicen los actos de comunicación con las partes con sumo cuidado y respeto a las normas procesales que los regulan (SSTC 57/1987, 16/1989, 110/1989, 142/1989 y 103/1994).</w:t>
      </w:r>
    </w:p>
    <w:p w:rsidR="006854DA" w:rsidRDefault="006854DA" w:rsidP="006854DA">
      <w:pPr>
        <w:pStyle w:val="TextoNormal"/>
      </w:pPr>
      <w:r>
        <w:t>En el proceso penal este principio general se ve aún reforzado con exigencias adicionales, dada la intensidad y el alcance de los derechos fundamentales en juego, por lo que atendiendo a intereses constitucionalmente relevantes, nuestro ordenamiento procesal penal, en consonancia con las Recomendaciones del Comite de Ministros del Consejo de Europa fijadas en la Resolución (75) 11 de 21 de mayo, trata de asegurar la presencia del acusado en el acto del juicio oral no sólo exigiendo una especial minuciosidad en su citación, para así garantizar la posibilidad de defensa, sino también estableciendo numerosas reservas a la posibilidad de una condena en ausencia.</w:t>
      </w:r>
    </w:p>
    <w:p w:rsidR="006854DA" w:rsidRDefault="006854DA" w:rsidP="006854DA">
      <w:pPr>
        <w:pStyle w:val="TextoNormal"/>
      </w:pPr>
      <w:r>
        <w:t>En lo que se refiere a la legitimidad de la citación edictal para comparecer en juicio penal, y más concretamente en el juicio de faltas, el supuesto sometido a debate es en parte similar a otros ya analizados y resueltos por este Tribunal en sus SSTC 54/1985, 196/1989, 123/1991, 19/1993 ó 103/1994. En ellas hemos declarado que la citación y el emplazamiento edictal son válidos constitucionalmente, pero por ser "ficciones jurídicas con un significado más simbólico que real [...] cuya recepción por el destinatario no puede ser demostrada" han de entenderse necesariamente como "un último y supletorio remedio [...] subsidiario y excepcional [...] reservado para situaciones extremas, cuando la persona buscada no pueda ser habida" -STC 29/1997, fundamento jurídico 2º, y en el mismo sentido SSTC 97/1992 y 193/1993- habiendo de quedar sometida su práctica a condiciones rigurosas, entre las que se encuentran:</w:t>
      </w:r>
    </w:p>
    <w:p w:rsidR="006854DA" w:rsidRDefault="006854DA" w:rsidP="006854DA">
      <w:pPr>
        <w:pStyle w:val="TextoNormal"/>
      </w:pPr>
      <w:r>
        <w:t>a) haber agotado antes las otras modalidades de citación con más garantías -arts. 166 a 171 y 178 L.E.Crim. que prevén la citación personal con entrega de cédula, en su defecto a través de los parientes que habitaren en el domicilio o de los vecinos más próximos a éste, y en caso de domicilio desconocido orden de busca a la Policía judicial-;</w:t>
      </w:r>
    </w:p>
    <w:p w:rsidR="006854DA" w:rsidRDefault="006854DA" w:rsidP="006854DA">
      <w:pPr>
        <w:pStyle w:val="TextoNormal"/>
      </w:pPr>
      <w:r>
        <w:t>b) constancia formal de haberse intentado la práctica de los medios ordinarios de citación, y</w:t>
      </w:r>
    </w:p>
    <w:p w:rsidR="006854DA" w:rsidRDefault="006854DA" w:rsidP="006854DA">
      <w:pPr>
        <w:pStyle w:val="TextoNormal"/>
      </w:pPr>
      <w:r>
        <w:t>c) que la resolución judicial de considerar al denunciado como persona en ignorado paradero o con domicilio desconocido se funde en un criterio de razonabilidad que lleve a la convicción de la ineficacia de aquellos otros medios normales de comunicación (SSTC 234/1988, 16/1989, 196/1989, 9/1991 y 103/1994).</w:t>
      </w:r>
    </w:p>
    <w:p w:rsidR="006854DA" w:rsidRDefault="006854DA" w:rsidP="006854DA">
      <w:pPr>
        <w:pStyle w:val="TextoNormal"/>
      </w:pPr>
      <w:r>
        <w:t xml:space="preserve">Pues bien, en el caso analizado no se observó ninguno de los tres requisitos apuntados pues no se intentó la citación a juicio por los medios ordinarios previstos en la L.E.Crim. en los arts.  166 a 171, pese a que el denunciado tenía domicilio conocido, como lo demuestra el hecho de que la citación para ejecutar la Sentencia, hecha en el domicilio que </w:t>
      </w:r>
      <w:r>
        <w:lastRenderedPageBreak/>
        <w:t>constaba en la denuncia inicial, sí fue efectiva. Tampoco cuando se acordó la citación edictal existía en las actuaciones constancia formal de que la citación personal se hubiera intentado sin efecto conforme a Ley, ya que se dedujo erróneamente la falta de domicilio conocido y se pasó automáticamente a la citación edictal al constatar en el acto del juicio la incomparecencia del denunciado. En tal situación no cabe considerar que la decisión de citar por edictos se fundara en criterio razonable que permitiese valorar la ineficacia de los otros medios de comunicación.</w:t>
      </w:r>
    </w:p>
    <w:p w:rsidR="006854DA" w:rsidRDefault="006854DA" w:rsidP="006854DA">
      <w:pPr>
        <w:pStyle w:val="TextoNormal"/>
      </w:pPr>
      <w:r>
        <w:t>Al proceder así, el Juzgado de Instrucción incurrió en una infracción procesal con trascendencia constitucional que ha provocado indefensión al recurrente lesionando por ello el derecho que garantiza el art. 24.1 C.E.</w:t>
      </w:r>
    </w:p>
    <w:p w:rsidR="006854DA" w:rsidRDefault="006854DA" w:rsidP="006854DA">
      <w:pPr>
        <w:pStyle w:val="TextoNormal"/>
      </w:pPr>
    </w:p>
    <w:p w:rsidR="006854DA" w:rsidRDefault="006854DA" w:rsidP="006854DA">
      <w:pPr>
        <w:pStyle w:val="TextoNormal"/>
      </w:pPr>
      <w:r w:rsidRPr="006854DA">
        <w:rPr>
          <w:rStyle w:val="NumeroAFNegritaCaracter"/>
        </w:rPr>
        <w:t>5</w:t>
      </w:r>
      <w:r>
        <w:t>. Fundamentada ya, con lo anterior, la concesión del amparo es preciso, sin embargo, proseguir el análisis del resto de cuestiones planteadas en la demanda, relativas a las condiciones y efectos de la condena en ausencia del acusado en el juicio de faltas, no sólo porque han sido planteadas como fundamento de la demanda de amparo, sino porque la función de este Tribunal no se agota en el reconocimiento subjetivo de los derechos vulnerados, sino que consiste, ante todo, en fijar el entendimiento que ha de darse a las garantías constitucionales, con la autoridad que le confiere su condición de intérprete supremo de la Ley más alta.</w:t>
      </w:r>
    </w:p>
    <w:p w:rsidR="006854DA" w:rsidRDefault="006854DA" w:rsidP="006854DA">
      <w:pPr>
        <w:pStyle w:val="TextoNormal"/>
      </w:pPr>
      <w:r>
        <w:t>La primera de tales cuestiones se refiere a las consecuencias que del emplazamiento edictal pueden extraerse en el juicio de faltas cuando, pese al mismo, no comparece el denunciado.</w:t>
      </w:r>
    </w:p>
    <w:p w:rsidR="006854DA" w:rsidRDefault="006854DA" w:rsidP="006854DA">
      <w:pPr>
        <w:pStyle w:val="TextoNormal"/>
      </w:pPr>
      <w:r>
        <w:t>La decisión del Juez de Instrucción de no suspender el juicio de faltas al constatar la incomparecencia del denunciado edictalmente convocado al mismo es constitucionalmente incorrecta, no sólo por las razones antes expuestas, que derivan de la irregularidad de la citación, sino por otras que vienen exigidas por el derecho a conocer la acusación formulada, como ya se tuvo ocasión de poner de manifiesto en las SSTC 196/1989 fundamento jurídico 3º y 123/1991, fundamento jurídico 4º.</w:t>
      </w:r>
    </w:p>
    <w:p w:rsidR="006854DA" w:rsidRDefault="006854DA" w:rsidP="006854DA">
      <w:pPr>
        <w:pStyle w:val="TextoNormal"/>
      </w:pPr>
      <w:r>
        <w:t>En tales resoluciones se destacó que en el proceso penal por faltas la citación del denunciado para comparecer en juicio constituye el único medio que se le ofrece para conocer la existencia del proceso y, por ello, para preservar el mandato constitucional según el cual nadie puede ser condenado sin conocer previamente la acusación contra él formulada. Tal realidad procesal -se dijo- impone interpretar conforme a la Constitución la genérica habilitación concedida por el art. 971 de la L.E.Crim. según el cual "la ausencia del acusado no suspenderá la celebración ni la resolución del juicio de faltas siempre que conste habérsele citado con las formalidades prescritas en esta Ley a no ser que el Juez crea necesaria la declaración de aquel", a fin de respetar esta garantía constitucional del proceso penal de forma que siempre que no conste con certeza la citación del denunciado (como ocurre cuando la citación es edictal) y no haya datos que permitan concluir que el mismo conoció por otros medios la existencia del proceso, el Juez de Instrucción ha de considerar constitucionalmente obligada la suspensión del juicio por ser la declaración de aquél la única forma de garantizar el derecho a conocer la acusación contra él formulada.</w:t>
      </w:r>
    </w:p>
    <w:p w:rsidR="006854DA" w:rsidRDefault="006854DA" w:rsidP="006854DA">
      <w:pPr>
        <w:pStyle w:val="TextoNormal"/>
      </w:pPr>
      <w:r>
        <w:t xml:space="preserve">Esta conclusión es aplicable también cuando la citación edictal tiene lugar correctamente -STC 196/1989, fundamento jurídico 3º-, «pues es evidente que el Juez ha de considerar que tal declaración es indispensable cuando, habiéndose hecho la citación a través de edictos, la comparecencia personal (o al menos la certidumbre de que había sido posible) es el único medio que permite afirmar con certeza que fue informado, al menos de lo esencial, de la acusación». Lo cual -como se dijo en la STC 123/1991, fundamento jurídico 4º- </w:t>
      </w:r>
      <w:r>
        <w:lastRenderedPageBreak/>
        <w:t>«puede determinar la reserva de las acciones al perjudicado de análogo modo a como lo autoriza para el juicio por delitos el art. 843 L.E.Crim.».</w:t>
      </w:r>
    </w:p>
    <w:p w:rsidR="006854DA" w:rsidRDefault="006854DA" w:rsidP="006854DA">
      <w:pPr>
        <w:pStyle w:val="TextoNormal"/>
      </w:pPr>
    </w:p>
    <w:p w:rsidR="006854DA" w:rsidRDefault="006854DA" w:rsidP="006854DA">
      <w:pPr>
        <w:pStyle w:val="TextoNormal"/>
      </w:pPr>
      <w:r w:rsidRPr="006854DA">
        <w:rPr>
          <w:rStyle w:val="NumeroAFNegritaCaracter"/>
        </w:rPr>
        <w:t>6</w:t>
      </w:r>
      <w:r>
        <w:t>. Impugna también el recurrente la providencia de 28 de febrero de 1994 por la que el Juez de Instrucción inadmitió a trámite el recurso de apelación intentado contra la Sentencia condenatoria. La resolución de inadmisión apreció extemporaneidad al considerar como momento inicial del cómputo del plazo para recurrir en apelación el de publicación en el Boletín Oficial de la Provincia del edicto de notificación de la misma. Se plantea así la cuestión referente a las consecuencias que, en relación con la notificación de la Sentencia, se derivan del hecho de haber sido la misma dictada en ausencia.</w:t>
      </w:r>
    </w:p>
    <w:p w:rsidR="006854DA" w:rsidRDefault="006854DA" w:rsidP="006854DA">
      <w:pPr>
        <w:pStyle w:val="TextoNormal"/>
      </w:pPr>
      <w:r>
        <w:t>En este aspecto cabe también afirmar que, al entender que la notificación edictal de la Sentencia penal condenatoria dictada en ausencia cierra toda posibilidad de recurrir la misma, la resolución judicial impugnada no fue acorde con las exigencias constitucionales.</w:t>
      </w:r>
    </w:p>
    <w:p w:rsidR="006854DA" w:rsidRDefault="006854DA" w:rsidP="006854DA">
      <w:pPr>
        <w:pStyle w:val="TextoNormal"/>
      </w:pPr>
      <w:r>
        <w:t>Desde la perspectiva del derecho de defensa en juicio, notificar no puede consistir en dar noticia de una decisión con más o menos detalle, sino con el conocimiento formal del texto de la Sentencia. En el ámbito del propio recurso de amparo este Tribunal ha señalado que la notificación a que se refiere el art.  44.2 de la LOTC -la que señala el momento inicial del cómputo del plazo para interponerlo- ha de permitir el "conocimiento suficiente y fehaciente de la Sentencia dictada por el órgano judicial" (STC 72/1990, fundamento jurídico 2º), y debe tratarse de una "notificación en forma" (STC 130/1990, fundamento jurídico 3º) llegando a exigirse el conocimiento del "texto íntegro de la Sentencia" (STC 184/1995, fundamento jurídico 2º), únicamente producido mediante la entrega de testimonio de la misma (STC 8/1997, fundamento jurídico 2º). Tesis que se refuerza en supuestos como el presente en que la condena se ha dictado sin haber sido oído el acusado en el acto del juicio oral.</w:t>
      </w:r>
    </w:p>
    <w:p w:rsidR="006854DA" w:rsidRDefault="006854DA" w:rsidP="006854DA">
      <w:pPr>
        <w:pStyle w:val="TextoNormal"/>
      </w:pPr>
      <w:r>
        <w:t>Por ello, bien comenzando a computar el plazo para interponer el recurso de apelación a partir del conocimiento efectivo de la Sentencia, o bien aplicando analógicamente las normas que regulan el recurso de anulación en el procedimiento abreviado, debió abrirse la posibilidad de un juicio rescisorio respecto a la Sentencia pronunciada in absentia, pues un proceso penal sin posibilidad de contradicción no es, desde la perspectiva del art. 24 C.E. un juicio justo que garantice el debido ejercicio del derecho de defensa. Y, por consiguiente, la Sentencia condenatoria así dictada no puede cerrar el paso a toda impugnación ulterior.</w:t>
      </w:r>
    </w:p>
    <w:p w:rsidR="006854DA" w:rsidRDefault="006854DA" w:rsidP="006854DA">
      <w:pPr>
        <w:pStyle w:val="TextoNormal"/>
      </w:pPr>
      <w:r>
        <w:t>Desde sus primeros pronunciamientos este Tribunal ha destacado que el derecho fundamental recogido en el art. 24.1 C.E. comporta la exigencia de que en todo proceso judicial deba respetarse, a través de la contradicción, el derecho de defensa de las partes contendientes. Tal derecho fundamental alcanza su máxima intensidad en el ámbito penal por la trascendencia de los intereses en juego, y los principios constitucionales que lo informan (presunción de inocencia, derecho a conocer la acusación y ejercicio del derecho de autodefensa, entre otros), pues no en vano -como destacamos en la STC 41/1997, fundamento jurídico 5º- al proceso penal se acude postulando la actuación del poder del Estado en su forma más extrema -la pena criminal- y esta actuación puede implicar una profunda injerencia en la libertad del imputado y en el núcleo más "sagrado" de sus derechos fundamentales. Por ello su plena efectividad ha de ser singularmente exigente en la fase plenaria, en la que se ha de practicar contradictoriamente la prueba capaz de desvirtuar la presunción de inocencia, para garantizar el equilibrio entre las partes acusadoras y acusa</w:t>
      </w:r>
      <w:r>
        <w:lastRenderedPageBreak/>
        <w:t>das y brindar al Tribunal amplios elementos de juicio para pronunciarse sobre las pretensiones ejercitadas (STC 4/1982, fundamento jurídico 5º).</w:t>
      </w:r>
    </w:p>
    <w:p w:rsidR="006854DA" w:rsidRDefault="006854DA" w:rsidP="006854DA">
      <w:pPr>
        <w:pStyle w:val="TextoNormal"/>
      </w:pPr>
      <w:r>
        <w:t>De acuerdo con tales principios constitucionales, nuestras leyes, o prohíben la condena en rebeldía o, cuando limitadamente la admiten, exigen que se abra la posibilidad de un juicio rescisorio. Así, en el procedimiento ordinario, la condena en ausencia esta sencillamente vedada. En el procedimiento abreviado se admite limitadamente el juicio en ausencia más esta limitada posibilidad tiene siempre como reverso la previsión de un juicio rescisorio sobre la Sentencia condenatoria dictada in absentia. Y en la STC 11/1983 fundamento jurídico 4º, este Tribunal razonó acerca de la exigencia de juicio rescisorio respecto de las condenas en ausencia a efectos de extradición, sobre la base implícita del contenido constitucional de la misma.</w:t>
      </w:r>
    </w:p>
    <w:p w:rsidR="006854DA" w:rsidRDefault="006854DA" w:rsidP="006854DA">
      <w:pPr>
        <w:pStyle w:val="TextoNormal"/>
      </w:pPr>
      <w:r>
        <w:t>Pues bien, puesto que en el juicio de faltas, pese a su menor entidad, se ventilan cuestiones de la misma índole que en los demás juicios penales y que, por lo tanto, afectan a los mismos derechos fundamentales, no es posible, desde un punto de vista constitucional, otorgar en el validez a la condena in absentia sin posibilidad de juicio rescisorio, sin que competa a este Tribunal sino, en su caso, a la jurisdicción ordinaria o al legislador, precisar cual ha de ser, en concreto, la vía por la que ese juicio puede hacerse efectivo.</w:t>
      </w:r>
    </w:p>
    <w:p w:rsidR="006854DA" w:rsidRDefault="006854DA" w:rsidP="006854DA">
      <w:pPr>
        <w:pStyle w:val="TextoNormal"/>
      </w:pPr>
    </w:p>
    <w:p w:rsidR="006854DA" w:rsidRDefault="006854DA" w:rsidP="006854DA">
      <w:pPr>
        <w:pStyle w:val="TextoNormal"/>
      </w:pPr>
      <w:r w:rsidRPr="006854DA">
        <w:rPr>
          <w:rStyle w:val="NumeroAFNegritaCaracter"/>
        </w:rPr>
        <w:t>7</w:t>
      </w:r>
      <w:r>
        <w:t>. De todo lo dicho anteriormente cabe concluir que la condena in absentia en juicios penales sólo es constitucionalmente admisible si se garantiza suficientemente el derecho del acusado a defenderse en un juicio contradictorio, dándole, mediante la citación que produzca un conocimiento efectivo, oportunidad de comparecer en él con anterioridad para que pueda conocer los hechos que se le imputan y garantizándole, en cualquier caso, la posibilidad de instar un procedimiento rescisorio frente a la condena penal in absentia, sin que tal posibilidad haya de extenderse necesariamente a los pronunciamientos civiles de la Sentencia. Esta declaración es aplicable a los juicios de faltas y tiene plenos efectos frente a todos, tal y como prevé el art.  164 de la C.E.</w:t>
      </w:r>
    </w:p>
    <w:p w:rsidR="006854DA" w:rsidRDefault="006854DA" w:rsidP="006854DA">
      <w:pPr>
        <w:pStyle w:val="TextoNormal"/>
      </w:pPr>
      <w:r>
        <w:t>Aplicando esta doctrina al presente caso, al pronunciarse la Sentencia condenatoria en las condiciones descritas, se cometió una infracción procesal causante de indefensión que lesionó el derecho que reconoce el art. 24.1 CE, ya que la citación edictal para juicio no fue correcta por no venir precedida del agotamiento de otras posibilidades de citación personal, la decisión de no suspender el juicio no tuvo en cuenta que el denunciado no conocía la acusación, la notificación edictal de la Sentencia condenatoria en ausencia no permitió su conocimiento fehaciente al recurrente de forma que la pudiera recurrir en plazo ante un Tribunal superior y, por último, la inadmisión a trámite del recurso de apelación interpuesto por el condenado le impidió impugnarla y plantear en la vía judicial la indefensión padecida por lo que tampoco tuvo oportunidad de purgar el enjuiciamiento en ausencia.</w:t>
      </w:r>
    </w:p>
    <w:p w:rsidR="006854DA" w:rsidRDefault="006854DA" w:rsidP="006854DA">
      <w:pPr>
        <w:pStyle w:val="TextoNormal"/>
      </w:pPr>
      <w:r>
        <w:t>No se garantizó, pues, al recurrente su derecho a intervenir de forma contradictoria en el juicio penal a través de ninguno de los cauces que lo hubieran posibilitado, por lo que debe restablecérsele en su derecho a la tutela judicial efectiva sin padecer indefensión y, en tal medida, anular la Sentencia condenatoria impugnada.</w:t>
      </w:r>
    </w:p>
    <w:p w:rsidR="006854DA" w:rsidRDefault="006854DA" w:rsidP="006854DA">
      <w:pPr>
        <w:pStyle w:val="TextoNormal"/>
      </w:pPr>
      <w:r>
        <w:t>La estimación del recurso hace innecesario el análisis del resto de pretensiones de amparo formuladas.</w:t>
      </w:r>
    </w:p>
    <w:p w:rsidR="006854DA" w:rsidRDefault="006854DA" w:rsidP="006854DA">
      <w:pPr>
        <w:pStyle w:val="TextoNormal"/>
      </w:pPr>
    </w:p>
    <w:p w:rsidR="006854DA" w:rsidRDefault="006854DA" w:rsidP="006854DA">
      <w:pPr>
        <w:pStyle w:val="TextoNormalCentrado"/>
        <w:keepNext/>
      </w:pPr>
      <w:r>
        <w:lastRenderedPageBreak/>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parcialmente el amparo solicitado y en consecuencia:</w:t>
      </w:r>
    </w:p>
    <w:p w:rsidR="006854DA" w:rsidRDefault="006854DA" w:rsidP="006854DA">
      <w:pPr>
        <w:pStyle w:val="TextoNormal"/>
      </w:pPr>
      <w:r>
        <w:t>1º Declarar que se ha vulnerado el derecho del recurrente a la tutela judicial efectiva sin indefensión.</w:t>
      </w:r>
    </w:p>
    <w:p w:rsidR="006854DA" w:rsidRDefault="006854DA" w:rsidP="006854DA">
      <w:pPr>
        <w:pStyle w:val="TextoNormal"/>
      </w:pPr>
      <w:r>
        <w:t>2º Restablecerle en su derecho y, por lo tanto, anular la Sentencia de 30 de octubre de 1993, dictada en ausencia, por el Juzgado de Instrucción núm. 5 de Santa Cruz de Tenerife en el juicio de faltas 86/1993, y todas las actuaciones judiciales posteriores.</w:t>
      </w:r>
    </w:p>
    <w:p w:rsidR="006854DA" w:rsidRDefault="006854DA" w:rsidP="006854DA">
      <w:pPr>
        <w:pStyle w:val="TextoNormal"/>
      </w:pPr>
      <w:r>
        <w:t>3º Retrotraer las actuaciones al momento en que debió ser citado en forma para el juicio.</w:t>
      </w:r>
    </w:p>
    <w:p w:rsidR="006854DA" w:rsidRDefault="006854DA" w:rsidP="006854DA">
      <w:pPr>
        <w:pStyle w:val="TextoNormal"/>
      </w:pPr>
    </w:p>
    <w:p w:rsidR="006854DA" w:rsidRDefault="006854DA" w:rsidP="006854DA">
      <w:pPr>
        <w:pStyle w:val="TextoNormal"/>
      </w:pPr>
      <w:r>
        <w:t>Publíquese esta Sentencia en el "Boletín Oficial del Estado" y comuníquese al órgano judicial que esté conociendo de la causa.</w:t>
      </w:r>
    </w:p>
    <w:p w:rsidR="006854DA" w:rsidRDefault="006854DA" w:rsidP="006854DA">
      <w:pPr>
        <w:pStyle w:val="TextoNormal"/>
      </w:pPr>
      <w:r>
        <w:t>Dada en Madrid, a veintiuno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2" w:name="SENTENCIA_1997_136"/>
      <w:r>
        <w:lastRenderedPageBreak/>
        <w:t>SENTENCIA 136/1997, de 21 de julio de 1997</w:t>
      </w:r>
    </w:p>
    <w:bookmarkEnd w:id="52"/>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ECLI:ES:TC:1997:136</w:t>
      </w:r>
    </w:p>
    <w:p w:rsidR="006854DA" w:rsidRDefault="006854DA" w:rsidP="006854DA">
      <w:pPr>
        <w:pStyle w:val="SntesisDescriptiva"/>
      </w:pPr>
    </w:p>
    <w:p w:rsidR="006854DA" w:rsidRDefault="006854DA" w:rsidP="006854DA">
      <w:pPr>
        <w:pStyle w:val="SntesisDescriptiva"/>
      </w:pPr>
      <w:r>
        <w:t>Recurso de amparo 2.909/1994. Contra Auto de la Sala de lo Contencioso-Administrativo del T.,S.J.  de Aragón desestimatorio de recurso de súplica interpuesto contra otro anterior.</w:t>
      </w:r>
    </w:p>
    <w:p w:rsidR="006854DA" w:rsidRDefault="006854DA" w:rsidP="006854DA">
      <w:pPr>
        <w:pStyle w:val="SntesisDescriptiva"/>
      </w:pPr>
    </w:p>
    <w:p w:rsidR="006854DA" w:rsidRDefault="006854DA" w:rsidP="006854DA">
      <w:pPr>
        <w:pStyle w:val="SntesisAnaltica"/>
      </w:pPr>
      <w:r>
        <w:t>Vulneración del derecho a la tutela judicial efectiva: ejecución de las resoluciones judiciales en sus propios términos.</w:t>
      </w:r>
    </w:p>
    <w:p w:rsidR="006854DA" w:rsidRDefault="006854DA" w:rsidP="006854DA">
      <w:pPr>
        <w:pStyle w:val="SntesisAnaltica"/>
      </w:pPr>
    </w:p>
    <w:p w:rsidR="006854DA" w:rsidRDefault="006854DA" w:rsidP="006854DA">
      <w:pPr>
        <w:pStyle w:val="Extracto"/>
      </w:pPr>
      <w:r>
        <w:t>1.</w:t>
      </w:r>
      <w:r>
        <w:tab/>
        <w:t>Aunque es indudable, por regla general, que no cabe impetrar directamente el amparo de este Tribunal contra resoluciones judiciales sin haber acudido previamente a las vías de recurso previstas en el ordenamiento, para que los órganos jurisdiccionales superiores en grado puedan reparar de forma inmediata la lesión de un derecho fundamental que pudiera haberse producido en el proceso, salvaguardando así la subsidiariedad del amparo constitucional, no es menos cierto que esta regla general ha de ser excepcionada no sólo cuando la posibilidad de acceso a un recurso como el de casación es más que problemática ( STC 36/1997) sino también, en lo que aquí importa, en aquellos supuestos en los que el agotamiento por el particular de las vías de recurso existentes bien puede entrañar una injustificada perpetuación en el tiempo de la lesión del derecho fundamental o consumar su conculcación, bien suponer para aquél, en atención al «iter» procesal previo, un gravamen adicional y desproporcionado [F. J. 2].</w:t>
      </w:r>
    </w:p>
    <w:p w:rsidR="006854DA" w:rsidRDefault="006854DA" w:rsidP="006854DA">
      <w:pPr>
        <w:pStyle w:val="Extracto"/>
      </w:pPr>
    </w:p>
    <w:p w:rsidR="006854DA" w:rsidRDefault="006854DA" w:rsidP="006854DA">
      <w:pPr>
        <w:pStyle w:val="Extracto"/>
      </w:pPr>
      <w:r>
        <w:t>2.</w:t>
      </w:r>
      <w:r>
        <w:tab/>
        <w:t>Reiteradamente hemos declarado que la manera en que se apliquen los criterios de competencia entre los Tribunales de un mismo orden jurisdiccional no es materia que, por sí sola, sea objeto del derecho constitucional reconocido por el art. 24 C.E. (STC 43/1985, AATC 226/1983, 706/1985, 33/1989 y 262/1994, entre otros) y, por tanto, que en tal supuesto únicamente le compete a este Tribunal examinar si la aplicación e interpretación de las normas de competencia que ha llevado a cabo un órgano judicial es o no manifiestamente irrazonable y arbitraria (STC 148/1994 y ATC 262/1994) [F.J. 3].</w:t>
      </w:r>
    </w:p>
    <w:p w:rsidR="006854DA" w:rsidRDefault="006854DA" w:rsidP="006854DA">
      <w:pPr>
        <w:pStyle w:val="Extracto"/>
      </w:pPr>
    </w:p>
    <w:p w:rsidR="006854DA" w:rsidRDefault="006854DA" w:rsidP="006854DA">
      <w:pPr>
        <w:pStyle w:val="Extracto"/>
      </w:pPr>
      <w:r>
        <w:t>3.</w:t>
      </w:r>
      <w:r>
        <w:tab/>
        <w:t>El mandato impuesto por el art. 118 C.E. -en cuanto exigencia que se deriva del concepto mismo de poder jurisdiccional concebido como el que los Jueces y Tribunales ejercen en el marco establecido por las Leyes (STC 231/1990)- ha de ser cumplido, en primer lugar, por los propios órganos jurisdiccionales (STC 167/1987). Y ello implica, indudablemente, que el órgano judicial inferior ha de respetar y dar plena eficacia a una resolución judicial firme dictada por el superior. Pues en otro caso se estaría lesionando el cuadro de garantías para el particular que el art. 24.1 C.E. reconoce (STC 15/1986), en conexión con el principio de seguridad jurídica, consagrado en el art. 9.3 C.E. (STC 231/1990). Y al no haberlo hecho así, la conclusión es que la Sala del T.S.J. de Aragón ha lesionado el derecho del recurrente que el art. 24.1 C.E. garantiza y, en consecuencia, proce</w:t>
      </w:r>
      <w:r>
        <w:lastRenderedPageBreak/>
        <w:t>de otorgar, sin necesidad de ulteriores razonamientos, el amparo solicitado [F.J. 4].</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2.909/94, interpuesto por don José Manuel Nicuesa Iguaz, representado por el Procurador don Juan Carlos Estévez y Fernández-Novoa y defendido por el Abogado don Juan J. Ernesto Palacios, contra el Auto de la Sección Primera de la Sala de lo Contencioso-Administrativo del Tribunal Superior de Justicia de Aragón de 21 de julio de 1994, desestimatorio del recurso de súplica interpuesto contra el de 6 de junio de 1994, recaídos en el proceso núm. 1.707/90. Ha intervenido el Ministerio Fiscal y ha sido parte el Abogado del Estado, en la representación que legalmente ostenta. Ha sido Ponente el Magistrado don Julio Diego González Campos,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registrado ante este Tribunal el día 8 de agosto de 1994 el Procurador de los Tribunales don Juan Carlos Estévez y Fernández-Novoa, en nombre de don José Manuel Nicuesa Iguaz, formula demanda de amparo constitucional contra el Auto de la Sección Primera de la Sala de lo Contencioso-Administrativo del Tribunal Superior de Justicia (T.S.J.) de Aragón de 21 de julio de 1994, que desestimó el recurso de súplica deducido frente al de 6 de junio de 1994, en cuya virtud se declaró su falta de competencia para conocer del recurso núm. 1.707/90, que declinó en favor de la Sala de lo Contencioso-Administrativo del T.S.J. de Madrid.</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de que trae causa la presente demanda de amparo relevantes para la resolución del caso son, en síntesis, los siguientes: </w:t>
      </w:r>
    </w:p>
    <w:p w:rsidR="006854DA" w:rsidRDefault="006854DA" w:rsidP="006854DA">
      <w:pPr>
        <w:pStyle w:val="TextoNormal"/>
      </w:pPr>
      <w:r>
        <w:t>a) Entablado por el hoy actor recurso contencioso- administrativo contra la denegación presunta por silencio del Presidente del Instituto de Contabilidad y Auditorías de Cuenta, así como frente a la ulterior desestimación, igualmente presunta, de los recursos de alzada y reposición interpuestos ante el Ministro de Economía y Hacienda, de su inscripción en el oportuno Registro de contables y auditores de cuenta, el Auto de la Sala de lo Contencioso-Administrativo del T.S.J. de Aragón de 24 de enero de 1991 declaró su falta de compe</w:t>
      </w:r>
      <w:r>
        <w:lastRenderedPageBreak/>
        <w:t xml:space="preserve">tencia para seguir conociendo del meritado recurso, conocimiento que diferió a la Sala de lo Contencioso-Administrativo de la Audiencia Nacional. </w:t>
      </w:r>
    </w:p>
    <w:p w:rsidR="006854DA" w:rsidRDefault="006854DA" w:rsidP="006854DA">
      <w:pPr>
        <w:pStyle w:val="TextoNormal"/>
      </w:pPr>
      <w:r>
        <w:t xml:space="preserve">b) Suscitado frente al precedente recurso de apelación, el Auto de la Sección Tercera de la Sala Tercera del Tribunal Supremo de 2 de noviembre de 1993, con estimación de aquélla y subsiguiente revocación del impugnado, declaró que la Sala de lo Contencioso-Administrativo del T.S.J. de Aragón era competente para conocer del recurso núm. 1.707/90. </w:t>
      </w:r>
    </w:p>
    <w:p w:rsidR="006854DA" w:rsidRDefault="006854DA" w:rsidP="006854DA">
      <w:pPr>
        <w:pStyle w:val="TextoNormal"/>
      </w:pPr>
      <w:r>
        <w:t xml:space="preserve">c) Cumplimentado el Auto del Tribunal Supremo por providencia de 3 de marzo de 1994, la Sección Primera de la Sala de lo Contencioso-Administrativo del T.S.J. de Aragón, mediante Auto de 6 de junio de 1994, con estimación de las alegaciones previas formuladas por el Abogado del Estado ex art. 71 de la Ley de la Jurisdicción Contencioso-Administrativa (L.J.C.A.), declinó su competencia para conocer del asunto en favor de la Sala de lo Contencioso-Administrativo del T.S.J. de Madrid. </w:t>
      </w:r>
    </w:p>
    <w:p w:rsidR="006854DA" w:rsidRDefault="006854DA" w:rsidP="006854DA">
      <w:pPr>
        <w:pStyle w:val="TextoNormal"/>
      </w:pPr>
      <w:r>
        <w:t>El fundamento de la meritada resolución, así como el de la ulterior en cuya virtud se desestimó la súplica entablada, estribaba, de conformidad con el criterio sentado en la Sentencia de la Sección Sexta de la Sala de lo Contencioso-Administrativo del Tribunal Supremo de 23 de noviembre de 1993, en la superación de las reglas de competencia objetiva fijadas en el art. 10.1 L.J.C.A. por la Ley Orgánica del Poder Judicial (L.O.P.J.) de 1985 (art. 74, Disposición transitoria 34 y apartado 1 de su derogatoria) y la de Planta y Demarcación Judicial de 1988 (art. 57), mas, comoquiera que en el presente se dilucidaba el correspondiente fuero territorial, las vigentes a la sazón eran las contenidas en el art. 11 L.J.C.A. En esta tesitura, y dado que la contemplada no era susceptible de ser calificada como materia de personal, supuesto en que podía prosperar la pretensión de fuero alternativo a elección del demandante ex art. 11.2, en relación con el 10.1 b), L.J.C.A., la regla de competencia territorial de pertinente aplicación era la 1ª del citado art. 11, en cuya virtud debía ser estimada competente la Sala de lo Contencioso-Administrativo del T.S.J. de Madrid, en cuyo favor se declina la competencia, por tratarse de la circunscripción en que se realizó el acto originariamente impugnado; acto que, efectivamente, provenía de un órgano cuya competencia se extiende a todo el territorio nacional, aun cuando esta circunstancia no condujera, en la inteligencia del órgano a quo, a declinar la competencia en pro de la Audiencia Nacional por no permitirlo así el art. 66 L.O.P.J.</w:t>
      </w:r>
    </w:p>
    <w:p w:rsidR="006854DA" w:rsidRDefault="006854DA" w:rsidP="006854DA">
      <w:pPr>
        <w:pStyle w:val="TextoNormal"/>
      </w:pPr>
    </w:p>
    <w:p w:rsidR="006854DA" w:rsidRDefault="006854DA" w:rsidP="006854DA">
      <w:pPr>
        <w:pStyle w:val="TextoNormal"/>
      </w:pPr>
      <w:r w:rsidRPr="006854DA">
        <w:rPr>
          <w:rStyle w:val="NumeroAFNegritaCaracter"/>
        </w:rPr>
        <w:t>3</w:t>
      </w:r>
      <w:r>
        <w:t>. El demandante de amparo, que articula su queja en virtud del art. 44 LOTC, denuncia la conculcación por las resoluciones judiciales traídas a esta litis de los arts. 24.1 y 24.2 C.E. En concreto, y por lo que atañe al primero de los indicados, tras recordar que la Disposición transitoria 34 L.O.P.J. había cercenado, en favor de los correspondientes Tribunales Superiores de Justicia, el volumen de competencias de la Audiencia Nacional, luego de la entrada en vigor de la Ley de Planta y Demarcación Judicial, considera que la aplicación al presente de la regla 2ª del art. 11 L.J.C.A., que consagra, cuando la competencia objetiva recae en los Tribunales Superiores de Justicia, el fuero alternativo a elección del recurrente, es la solución que mejor se cohonesta con el principio, que deriva del art. 24.1 C.E., de acercamiento de la jurisdicción al justiciable. Precepto que, en todo caso, ha sido vulnerado por mor de la preterición del Auto de la Sección Tercera de la Sala Tercera del Tribunal Supremo de 2 de noviembre de 1993, que, al analizar los extremos referidos a la competencia objetiva y territorial implicados en el supuesto considerado, declaró inequívocamente la competencia para conocer del recurso núm. 1.707/90 de la Sección Primera de la Sala de lo Contencioso-Administrativo del T.S.J. de Aragón. En suma, esti</w:t>
      </w:r>
      <w:r>
        <w:lastRenderedPageBreak/>
        <w:t xml:space="preserve">ma infringido el principio de intangibilidad de las resoluciones judiciales firmes como dimensión inherente al art. 24.1 C.E. </w:t>
      </w:r>
    </w:p>
    <w:p w:rsidR="006854DA" w:rsidRDefault="006854DA" w:rsidP="006854DA">
      <w:pPr>
        <w:pStyle w:val="TextoNormal"/>
      </w:pPr>
      <w:r>
        <w:t xml:space="preserve">Asimismo, solicita que se declare la lesión del derecho a un proceso sin dilaciones indebidas ex art. 24.2 C.E., como consecuencia del lapso transcurrido desde la interposición del recurso contencioso-administrativo sin que por el órgano judicial a que se imputan dichas dilaciones haya sido dictado un pronunciamiento sobre el contenido de las pretensiones articuladas en la demanda, lo que resulta, a su entender, de la indebida inaplicación por los Autos aquí recurridos del Auto del Tribunal Supremo de que traen causa. </w:t>
      </w:r>
    </w:p>
    <w:p w:rsidR="006854DA" w:rsidRDefault="006854DA" w:rsidP="006854DA">
      <w:pPr>
        <w:pStyle w:val="TextoNormal"/>
      </w:pPr>
      <w:r>
        <w:t>En consecuencia, y amén de solicitar la suspensión de las resoluciones combatidas, interesa, como atinente al otorgamiento del amparo, la anulación de aquéllas y la retroacción de las actuaciones al momento oportuno, así como la indemnización que en su caso se considere procedente.</w:t>
      </w:r>
    </w:p>
    <w:p w:rsidR="006854DA" w:rsidRDefault="006854DA" w:rsidP="006854DA">
      <w:pPr>
        <w:pStyle w:val="TextoNormal"/>
      </w:pPr>
    </w:p>
    <w:p w:rsidR="006854DA" w:rsidRDefault="006854DA" w:rsidP="006854DA">
      <w:pPr>
        <w:pStyle w:val="TextoNormal"/>
      </w:pPr>
      <w:r w:rsidRPr="006854DA">
        <w:rPr>
          <w:rStyle w:val="NumeroAFNegritaCaracter"/>
        </w:rPr>
        <w:t>4</w:t>
      </w:r>
      <w:r>
        <w:t>. Mediante providencia de 16 de enero de 1995 la Sección Tercera acordó conceder un plazo común de diez días al demandante de amparo y al Ministerio Fiscal a fin de que procedieran a formular las alegaciones que estimasen pertinentes acerca de la eventual concurrencia del motivo de inadmisión prevenido en el art. 50.1 c) LOTC.</w:t>
      </w:r>
    </w:p>
    <w:p w:rsidR="006854DA" w:rsidRDefault="006854DA" w:rsidP="006854DA">
      <w:pPr>
        <w:pStyle w:val="TextoNormal"/>
      </w:pPr>
    </w:p>
    <w:p w:rsidR="006854DA" w:rsidRDefault="006854DA" w:rsidP="006854DA">
      <w:pPr>
        <w:pStyle w:val="TextoNormal"/>
      </w:pPr>
      <w:r w:rsidRPr="006854DA">
        <w:rPr>
          <w:rStyle w:val="NumeroAFNegritaCaracter"/>
        </w:rPr>
        <w:t>5</w:t>
      </w:r>
      <w:r>
        <w:t>. El Fiscal, mediante escrito de 7 de febrero de 1995, interesa la inadmisión del presente recurso por entender, de un lado, que las alegadas dilaciones indebidas no deben ser objeto de análisis en esta sede de amparo en tanto no fueron puestas de manifiesto, mediante la oportuna invocación, ante el órgano a quo, y, de otro, en lo atinente a la infracción de la debida tutela judicial, por no revestir trascendencia constitucional la controversia suscitada acerca del fuero territorial del proceso de que este amparo trae causa, controversia circunscrita a la elucidación de si en aquél se ventilaba una cuestión de personal, polémica de mera legalidad ordinaria, que, por ende, no guarda relación con la denunciada preterición del Auto del Tribunal Supremo, que, en la inteligencia del representante del Ministerio Público, no abordó el examen de la determinación del órgano judicial competente territorialmente.</w:t>
      </w:r>
    </w:p>
    <w:p w:rsidR="006854DA" w:rsidRDefault="006854DA" w:rsidP="006854DA">
      <w:pPr>
        <w:pStyle w:val="TextoNormal"/>
      </w:pPr>
    </w:p>
    <w:p w:rsidR="006854DA" w:rsidRDefault="006854DA" w:rsidP="006854DA">
      <w:pPr>
        <w:pStyle w:val="TextoNormal"/>
      </w:pPr>
      <w:r w:rsidRPr="006854DA">
        <w:rPr>
          <w:rStyle w:val="NumeroAFNegritaCaracter"/>
        </w:rPr>
        <w:t>6</w:t>
      </w:r>
      <w:r>
        <w:t>. La Sección Cuarta acordó, mediante providencia de 1 de junio de 1995, requerir al solicitante de amparo para que, en el término de diez días, acreditara si, como disponía el Auto de la Sección Primera de la Sala de lo Contencioso-Administrativo del T.S.J. de Aragón de 6 de junio de 1994, procedió a personarse ante la Sala de lo Contencioso-Administrativo del T.S.J. de Madrid y si, en el momento, ésta conocía de su recurso contencioso-administrativo. Requerimiento cumplimentado en virtud de escrito registrado en 19 de junio de 1995, al que se adjuntaba testimonio de la diligencia de ordenación de la Sección Novena de la Sala de lo Contencioso-Administrativo del T.S.J. de Madrid de 24 de noviembre de 1994, comprensiva del extremo a que se contraía el meritado requerimiento.</w:t>
      </w:r>
    </w:p>
    <w:p w:rsidR="006854DA" w:rsidRDefault="006854DA" w:rsidP="006854DA">
      <w:pPr>
        <w:pStyle w:val="TextoNormal"/>
      </w:pPr>
    </w:p>
    <w:p w:rsidR="006854DA" w:rsidRDefault="006854DA" w:rsidP="006854DA">
      <w:pPr>
        <w:pStyle w:val="TextoNormal"/>
      </w:pPr>
      <w:r w:rsidRPr="006854DA">
        <w:rPr>
          <w:rStyle w:val="NumeroAFNegritaCaracter"/>
        </w:rPr>
        <w:t>7</w:t>
      </w:r>
      <w:r>
        <w:t xml:space="preserve">. Mediante providencia de 24 de julio de 1995 la Sección Cuarta acordó admitir a trámite el presente recurso de amparo, y, de conformidad con lo prevenido en el art. 51 LOTC, dirigir comunicación a la Sección Primera de la Sala de lo Contencioso- Administrativo del T.S.J. de Aragón a fin de que, en el término de diez días, remitiera certificación o fotocopia adverada de las actuaciones correspondientes al recurso núm. 1.707/90, en el que recayeron los Autos de 6 de junio y 21 de julio de 1994, previo emplazamiento de </w:t>
      </w:r>
      <w:r>
        <w:lastRenderedPageBreak/>
        <w:t>quienes, con exclusión del recurrente en amparo y de quienes pretendieran coadyuvar con éste y no hubieren formulado en tiempo hábil el pertinente recurso de amparo, fueron parte en el proceso, para que, en el plazo de diez días, pudieran comparecer en el proceso constitucional y defender sus derechos.</w:t>
      </w:r>
    </w:p>
    <w:p w:rsidR="006854DA" w:rsidRDefault="006854DA" w:rsidP="006854DA">
      <w:pPr>
        <w:pStyle w:val="TextoNormal"/>
      </w:pPr>
    </w:p>
    <w:p w:rsidR="006854DA" w:rsidRDefault="006854DA" w:rsidP="006854DA">
      <w:pPr>
        <w:pStyle w:val="TextoNormal"/>
      </w:pPr>
      <w:r w:rsidRPr="006854DA">
        <w:rPr>
          <w:rStyle w:val="NumeroAFNegritaCaracter"/>
        </w:rPr>
        <w:t>8</w:t>
      </w:r>
      <w:r>
        <w:t>. En virtud de escrito registrado el día 23 de agosto de 1995 el solicitante de amparo interesó, a la vista de la providencia de 24 de julio de 1995, que fueran reclamadas de la Sección Novena de la Sala de lo Contencioso-Administrativo del T.S.J. de Madrid las actuaciones que con el núm. 1.896/94-03 correspondían a las en su momento tramitadas ante la Sección Primera de la Sala de lo Contencioso-Administrativo del T.S.J. de Aragón. Extremo atendido mediante providencia de la Sección Tercera de 2 de octubre de 1995, que, asimismo, acordaba se procediera al emplazamiento de las partes en los términos dispuestos por la anterior de 24 de julio de 1995.</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Por providencia de la Sección Cuarta de 24 de julio de 1995 se acordó formar la oportuna pieza de suspensión, a cuyo efecto se confirió un plazo común de tres días al recurrente, al Abogado del Estado y al Ministerio Fiscal a fin de que alegaran lo que estimasen pertinente. Reiterada aquélla por el solicitante de amparo, para quien el alcance de la suspensión debía proyectarse sobre las actuaciones tramitadas ante el T.S.J. de Madrid, aun a riesgo de prolongar la demora en la resolución de la controversia judicial, so pena de provocar, de otorgarse el amparo pedido, la anulación de la Sentencia que aquél ha de pronunciar previsiblemente con anterioridad a la conclusión del proceso de amparo; apreciación que, igualmente, abunda en la idea de que el interés público se alinea en el sentido de la suspensión. A lo que muestran su disconformidad tanto el Abogado del Estado como el Ministerio Fiscal. </w:t>
      </w:r>
    </w:p>
    <w:p w:rsidR="006854DA" w:rsidRDefault="006854DA" w:rsidP="006854DA">
      <w:pPr>
        <w:pStyle w:val="TextoNormal"/>
      </w:pPr>
      <w:r>
        <w:t xml:space="preserve">En concreto, las razones aducidas por aquél apelan a la inconveniencia de acceder a la solicitud interesada, pues, de un lado, el sentido inmediato de la suspensión estribaría en declarar con carácter provisional la competencia de la Sala de lo Contencioso-Administrativo del T.S.J. de Madrid, medida que parece exceder del tenor estrictamente cautelar del art. 56 LOTC, y, de otro, y con un alcance más moderado del efecto suspensivo, aquélla implicaría la paralización de la tramitación de las actuaciones judiciales, cualquiera que fuere el órgano que viniere conociendo, precisión que abocaría indefectiblemente a la generación de un retraso contradictorio con la exigencia constitucional de un proceso sin dilaciones indebidas. </w:t>
      </w:r>
    </w:p>
    <w:p w:rsidR="006854DA" w:rsidRDefault="006854DA" w:rsidP="006854DA">
      <w:pPr>
        <w:pStyle w:val="TextoNormal"/>
      </w:pPr>
      <w:r>
        <w:t>Asimismo, el Fiscal manifiesta su oposición a la suspensión solicitada, sobre la base de que ésta implica una anticipación del otorgamiento del amparo, de ser éste, efectivamente, el contenido de la Sentencia que en su día se dicte, amén de suponer la interrupción de las correspondientes actuaciones judiciales y de encubrir la argumentación del solicitante de amparo la resolución de una cuestión de estricta legalidad ordinaria, cual la atinente a la determinación del órgano judicial territorialmente competente.</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El Auto de la Sala Segunda de 25 de septiembre de 1995 acordó la suspensión de la eficacia de los Autos de la Sección Primera de la Sala de lo Contencioso-Administrativo del T.S.J. de Aragón de 6 de junio y 21 de julio de 1994, recaídos en el proceso núm. 1.707/90-A, así como la de la tramitación del que se seguía en la Sala de lo Contencioso-Administrativo del T.S.J. de Madrid sobre el mismo. El fundamento de la citada resolución estriba, dada la invocación del art. 24.1 C.E., en la necesidad de preservar un eventual </w:t>
      </w:r>
      <w:r>
        <w:lastRenderedPageBreak/>
        <w:t>pronunciamiento estimatorio, que resultaría enervado de recaer con anterioridad Sentencia del T.S.J. de Madrid. Precisamente, a fin de prevenir los efectos que de tal situación podrían derivarse, esto es, la necesidad de que por el recurrente fuera instada la pertinente anulación de la Sentencia que recayera en el proceso tramitado ante este último, con la consiguiente demora añadida, el acuerdo de suspensión se prolonga asimismo a las actuaciones que vinieren tramitándose ante el T.S.J. de Madrid.</w:t>
      </w:r>
    </w:p>
    <w:p w:rsidR="006854DA" w:rsidRDefault="006854DA" w:rsidP="006854DA">
      <w:pPr>
        <w:pStyle w:val="TextoNormal"/>
      </w:pPr>
    </w:p>
    <w:p w:rsidR="006854DA" w:rsidRDefault="006854DA" w:rsidP="006854DA">
      <w:pPr>
        <w:pStyle w:val="TextoNormal"/>
      </w:pPr>
      <w:r w:rsidRPr="006854DA">
        <w:rPr>
          <w:rStyle w:val="NumeroAFNegritaCaracter"/>
        </w:rPr>
        <w:t>11</w:t>
      </w:r>
      <w:r>
        <w:t>. La providencia de la Sección Tercera de 8 de julio de 1996 acordó dar vista de las actuaciones recibidas, por plazo común de veinte días, al solicitante de amparo, al Abogado del Estado y al Ministerio Fiscal a fin de que pudieran formular las alegaciones que estimasen pertinentes, de acuerdo con lo prescrito en el art. 52.1 LOTC.</w:t>
      </w:r>
    </w:p>
    <w:p w:rsidR="006854DA" w:rsidRDefault="006854DA" w:rsidP="006854DA">
      <w:pPr>
        <w:pStyle w:val="TextoNormal"/>
      </w:pPr>
    </w:p>
    <w:p w:rsidR="006854DA" w:rsidRDefault="006854DA" w:rsidP="006854DA">
      <w:pPr>
        <w:pStyle w:val="TextoNormal"/>
      </w:pPr>
      <w:r w:rsidRPr="006854DA">
        <w:rPr>
          <w:rStyle w:val="NumeroAFNegritaCaracter"/>
        </w:rPr>
        <w:t>12</w:t>
      </w:r>
      <w:r>
        <w:t>. En cumplimiento del citado trámite, el demandante alega, con referencia a la denunciada conculcación del art. 24.1 C.E., que con posterioridad al dictado de las resoluciones judiciales traídas a esta litis, la Sección Primera de la Sala de lo Contencioso-Administrativo del T.S.J. de Aragón, de conformidad con el criterio sentado por el Tribunal Supremo en Auto resolutorio de cuestión de competencia negativa, ha admitido a trámite algún recurso en supuesto idéntico al que se erigía en objeto de la controversia de que este amparo trae causa.</w:t>
      </w:r>
    </w:p>
    <w:p w:rsidR="006854DA" w:rsidRDefault="006854DA" w:rsidP="006854DA">
      <w:pPr>
        <w:pStyle w:val="TextoNormal"/>
      </w:pPr>
    </w:p>
    <w:p w:rsidR="006854DA" w:rsidRDefault="006854DA" w:rsidP="006854DA">
      <w:pPr>
        <w:pStyle w:val="TextoNormal"/>
      </w:pPr>
      <w:r w:rsidRPr="006854DA">
        <w:rPr>
          <w:rStyle w:val="NumeroAFNegritaCaracter"/>
        </w:rPr>
        <w:t>13</w:t>
      </w:r>
      <w:r>
        <w:t xml:space="preserve">. El Abogado del Estado presenta sus alegaciones en 6 de septiembre de 1996. El alegato aparece estructurado en dos niveles: uno, que condensa los óbices procesales que, en la inteligencia de aquél, enervan el examen de la pretensión aducida en amparo; otro, atinente a las razones que, a su entender, conducen a no estimar conculcados los derechos esgrimidos, en particular, el de tutela judicial efectiva ex art. 24.1 C.E. </w:t>
      </w:r>
    </w:p>
    <w:p w:rsidR="006854DA" w:rsidRDefault="006854DA" w:rsidP="006854DA">
      <w:pPr>
        <w:pStyle w:val="TextoNormal"/>
      </w:pPr>
      <w:r>
        <w:t xml:space="preserve">Así, en primer lugar, considera infringida la prescripción del art. 44.1 a) LOTC, esto es, el debido agotamiento de todos los recursos utilizables dentro de la vía judicial, en la medida en que los Autos aquí impugnados, y en cuya virtud declinó su competencia el órgano a quo, no fueron recurridos en casación ex art. 94.1 a) L.J.C.A., remedio que la jurisprudencia del Tribunal Supremo (Sentencia de 17 de enero de 1994, Autos de 28 y 31 -sic: debe de ser 3- de abril de 1995) estima idóneo para recurrir las meritadas declaraciones, y que en el caso presente, referido a un supuesto a que no conviene la calificación de materia de personal ni resulta, por lo demás, englobado en ninguno de los que el art. 93.2 L.J.C.A. excluye de la casación, deviene significativamente procedente, en cuanto arbitrio tendente a asegurar la intangibilidad del pronunciamiento del Supremo, preterido, en la argumentación del recurrente, por el órgano a quo. Asimismo el Abogado del Estado expone la improcedencia de entrar a analizar la transgresión del derecho a un proceso sin dilaciones indebidas, dada la omisión de la preceptiva invocación en sede judicial ex art. 44.1 c) LOTC. </w:t>
      </w:r>
    </w:p>
    <w:p w:rsidR="006854DA" w:rsidRDefault="006854DA" w:rsidP="006854DA">
      <w:pPr>
        <w:pStyle w:val="TextoNormal"/>
      </w:pPr>
      <w:r>
        <w:t xml:space="preserve">En segundo término, y con carácter subsidiario, argumenta acerca de la no vulneración del derecho de tutela judicial efectiva, en su dimensión de respeto a la intangibilidad de las resoluciones judiciales firmes, así como del atinente a un proceso sin dilaciones indebidas. </w:t>
      </w:r>
    </w:p>
    <w:p w:rsidR="006854DA" w:rsidRDefault="006854DA" w:rsidP="006854DA">
      <w:pPr>
        <w:pStyle w:val="TextoNormal"/>
      </w:pPr>
      <w:r>
        <w:t xml:space="preserve">En relación con el primero, y luego de hacerse constar que un eventual pronunciamiento favorable al otorgamiento del amparo debiera preservar las actuaciones seguidas ante el T.S.J. de Madrid, respecto de las que en su momento no fue instada la oportuna suspensión, el razonamiento expuesto parte de la base de que el Auto del Tribunal Supremo, a cuyo no acogimiento estricto por los aquí cuestionados se anuda la vulneración que nos </w:t>
      </w:r>
      <w:r>
        <w:lastRenderedPageBreak/>
        <w:t xml:space="preserve">ocupa, se limitó en puridad a resolver un problema de competencia objetiva, el deslinde de atribuciones entre la Audiencia Nacional y los Tribunales Superiores de Justicia, antes que uno de índole territorial, la delimitación de competencias entre los diferentes Tribunales Superiores de Justicia, objeto, precisamente, de los Autos aquí recurridos, de suerte que, en esta lógica, no cabría entender quebrantada la intangibilidad de cosa juzgada. </w:t>
      </w:r>
    </w:p>
    <w:p w:rsidR="006854DA" w:rsidRDefault="006854DA" w:rsidP="006854DA">
      <w:pPr>
        <w:pStyle w:val="TextoNormal"/>
      </w:pPr>
      <w:r>
        <w:t xml:space="preserve">En todo caso, y admitido que el meritado Auto incorporó a su contenido un expreso pronunciamiento sobre el fuero territorial, de conformidad con una interpretación del art. 11.2 L.J.C.A. juzgada poco respetuosa con el tenor literal de éste, que meramente ciñe el fuero electivo a los supuestos del art. 10.1 b) L.J.C.A., dentro de los que (personal, propiedades especiales y expropiación forzosa) no queda englobado el aquí considerado, frente a la terminante declaración del art. 11.1 L.J.C.A., el aludido pronunciamiento, insiste el Abogado del Estado, reviste un cariz de mero obiter dictum, insusceptible de integrar la proscripción de alteración de las decisiones dotadas de fuerza de cosa juzgada. </w:t>
      </w:r>
    </w:p>
    <w:p w:rsidR="006854DA" w:rsidRDefault="006854DA" w:rsidP="006854DA">
      <w:pPr>
        <w:pStyle w:val="TextoNormal"/>
      </w:pPr>
      <w:r>
        <w:t xml:space="preserve">Por otro lado, el Abogado del Estado pone de manifiesto el carácter de orden público de las normas atributivas de competencia jurisdiccional. Así, enfatiza el muy diferente calado que la intangibilidad de la cosa juzgada despliega cuando nos hallamos ante titularidades jurídicas de índole material a diferencia del que ofrece de tratarse de situaciones emanadas de la interpretación y aplicación de normas rectoras de la atribución de competencias judiciales. De suerte que, y habida cuenta que la jurisdicción es improrrogable ex art. 8.2 L.J.C.A., el órgano a quo se ha limitado a precisar el alcance del art. 11.1 L.J.C.A., en el cumplimiento de una labor que atiende al tenor del precepto antes que a consideraciones de mero reparto de trabajo entre los distintos Tribunales Superiores de Justicia. </w:t>
      </w:r>
    </w:p>
    <w:p w:rsidR="006854DA" w:rsidRDefault="006854DA" w:rsidP="006854DA">
      <w:pPr>
        <w:pStyle w:val="TextoNormal"/>
      </w:pPr>
      <w:r>
        <w:t>Finalmente, estima el Abogado del Estado, la denuncia de dilaciones indebidas no traspasa el umbral de la mera invocación retórica desde el momento en que ningún esfuerzo argumentativo ha llevado a cabo el solicitante de amparo a fin de mostrar que el lapso del proceso judicial integra, de conformidad con los cánones valorativos vertidos por este Tribunal, el concepto arriba consignado.</w:t>
      </w:r>
    </w:p>
    <w:p w:rsidR="006854DA" w:rsidRDefault="006854DA" w:rsidP="006854DA">
      <w:pPr>
        <w:pStyle w:val="TextoNormal"/>
      </w:pPr>
    </w:p>
    <w:p w:rsidR="006854DA" w:rsidRDefault="006854DA" w:rsidP="006854DA">
      <w:pPr>
        <w:pStyle w:val="TextoNormal"/>
      </w:pPr>
      <w:r w:rsidRPr="006854DA">
        <w:rPr>
          <w:rStyle w:val="NumeroAFNegritaCaracter"/>
        </w:rPr>
        <w:t>14</w:t>
      </w:r>
      <w:r>
        <w:t>. El Fiscal en su escrito de alegaciones fechado el 6 de septiembre de 1996 reproduce el contenido del emanado con ocasión del trámite prevenido en el art. 50.3 LOTC, apreciación que excusa en este momento la reiteración de lo expuesto en el precedente apartado 5.</w:t>
      </w:r>
    </w:p>
    <w:p w:rsidR="006854DA" w:rsidRDefault="006854DA" w:rsidP="006854DA">
      <w:pPr>
        <w:pStyle w:val="TextoNormal"/>
      </w:pPr>
    </w:p>
    <w:p w:rsidR="006854DA" w:rsidRDefault="006854DA" w:rsidP="006854DA">
      <w:pPr>
        <w:pStyle w:val="TextoNormal"/>
      </w:pPr>
      <w:r w:rsidRPr="006854DA">
        <w:rPr>
          <w:rStyle w:val="NumeroAFNegritaCaracter"/>
        </w:rPr>
        <w:t>15</w:t>
      </w:r>
      <w:r>
        <w:t>. Por providencia de 17 de julio de 1997, se acordó señalar para deliberación y votación de la presente Sentencia el día 21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La primera de las quejas en que se articula el presente recurso de amparo está basada en una presunta vulneración del art. 24.1 C.E. dado que los Autos de 6 de junio de 1994 y 21 de julio del mismo año, dictados por la Sección Primera de la Sala de lo Contencioso-Administrativo del T.S.J. de Aragón, han declinado la competencia para conocer del recurso contencioso administrativo interpuesto por el recurrente ante dicho Tribunal en favor de la Sala del T.S.J. de Madrid, pese a lo resuelto por el Auto de la Sala Tercera del Tribunal Supremo de 2 de noviembre de 1993; resolución judicial en la que se había acordado que la competencia para conocer del proceso a quo correspondía, justamente, a la mencionada Sala del T.S.J. de Aragón. Por lo que ha producido, a juicio del recurrente, </w:t>
      </w:r>
      <w:r>
        <w:lastRenderedPageBreak/>
        <w:t>una lesión de derecho a la inalterabilidad de las resoluciones judiciales firmes, al desconocer las aquí impugnadas lo resuelto por el Tribunal Supremo.</w:t>
      </w:r>
    </w:p>
    <w:p w:rsidR="006854DA" w:rsidRDefault="006854DA" w:rsidP="006854DA">
      <w:pPr>
        <w:pStyle w:val="TextoNormal"/>
      </w:pPr>
      <w:r>
        <w:t>Así expuesta, a esta queja ha de ceñirse nuestro examen, excluyendo, en cambio, la segunda, por una presunta lesión del derecho a un proceso sin dilaciones indebidas (art. 24.2 C.E.)  en atención al tiempo transcurrido sin haber obtenido respuesta de los órganos judiciales a sus pretensiones. Pues el recurrente no ha acreditado que tal dilación hubiera sido denunciada ante el órgano judicial en el proceso a quo, invocación previa que la jurisprudencia de este Tribunal ha considerado que es esencial para respetar el principio de subsidiariedad que informa el proceso constitucional de amparo (SSTC 100/1996, 180/1996, 181/1996, 31/1997 y 53/1997, entre las más recientes).</w:t>
      </w:r>
    </w:p>
    <w:p w:rsidR="006854DA" w:rsidRDefault="006854DA" w:rsidP="006854DA">
      <w:pPr>
        <w:pStyle w:val="TextoNormal"/>
      </w:pPr>
    </w:p>
    <w:p w:rsidR="006854DA" w:rsidRDefault="006854DA" w:rsidP="006854DA">
      <w:pPr>
        <w:pStyle w:val="TextoNormal"/>
      </w:pPr>
      <w:r w:rsidRPr="006854DA">
        <w:rPr>
          <w:rStyle w:val="NumeroAFNegritaCaracter"/>
        </w:rPr>
        <w:t>2</w:t>
      </w:r>
      <w:r>
        <w:t>. Ahora bien, una vez delimitado el objeto del presente recurso es preciso considerar seguidamente, con carácter previo, si se ha dado cumplimiento a otro de los requisitos a los que nuestra Ley Orgánica subordina el proceso constitucional de amparo, el atinente al agotamiento de todos los recursos utilizables dentro de la vía judicial [art. 44.1 a) LOTC].  Infracción que ha sido alegada por el Abogado del Estado, quien entiende que tras el Auto de la Sala del T.S.J. de Aragón, resolutorio del recurso de súplica interpuesto contra el que declinaba la competencia en favor de la Sala del T.S.J. de Madrid, era procedente que el hoy recurrente de amparo hubiera interpuesto recurso de casación ante el Tribunal Supremo, que estaba abierto a tenor de lo prevenido en el art. 94.1 a) L.J.C.A. y la jurisprudencia del Alto Tribunal en la que ha subsumido en dicha regla aquellos casos en los que, como aquí ocurre, el órgano judicial declina su competencia territorial para conocer de un asunto, siempre y cuando la casación no venga excluida por lo dispuesto en el art. 93.2 L.J.C.A.</w:t>
      </w:r>
    </w:p>
    <w:p w:rsidR="006854DA" w:rsidRDefault="006854DA" w:rsidP="006854DA">
      <w:pPr>
        <w:pStyle w:val="TextoNormal"/>
      </w:pPr>
      <w:r>
        <w:t>Esta objeción, sin embargo, no puede ser compartida. No sólo por estar estrechamente vinculada con la pretensión que hace valer el recurrente de amparo sino también desde lo que razonablemente cabe exigir a un particular para que la tutela judicial de sus derechos e intereses legítimos que el art.  24.1 C.E. reconoce y garantiza sea, como la Constitución quiere, "efectiva" (SSTC 178/1996, y 27/1997). En efecto, aunque es indudable, por regla general, que no cabe impetrar directamente el amparo de este Tribunal contra resoluciones judiciales sin haber acudido previamente a las vías de recurso previstas en el ordenamiento, para que los órganos jurisdiccionales superiores en grado puedan reparar de forma inmediata la lesión de un derecho fundamental que pudiera haberse producido en el proceso, salvaguardando así la subsidiariedad del amparo constitucional, no es menos cierto que esta regla general ha de ser excepcionada no sólo cuando la posibilidad de acceso a un recurso como el de casación es más que problemática (STC 36/1997, fundamento jurídico 2º) sino también, en lo que aquí importa, en aquellos supuestos en los que el agotamiento por el particular de las vías de recurso existentes bien puede entrañar una injustificada perpetuación en el tiempo de la lesión del derecho fundamental o consumar su conculcación, bien suponer para aquél, en atención al iter procesal previo, un gravamen adicional y desproporcionado.</w:t>
      </w:r>
    </w:p>
    <w:p w:rsidR="006854DA" w:rsidRDefault="006854DA" w:rsidP="006854DA">
      <w:pPr>
        <w:pStyle w:val="TextoNormal"/>
      </w:pPr>
      <w:r>
        <w:t xml:space="preserve">Pues bien, es este último supuesto el que aquí ciertamente concurre, pues de lo expuesto en los antecedentes basta recordar que, en un primer momento procesal, el ahora recurrente de amparo ya acudió en apelación ante el Tribunal Supremo frente a la declinatoria de competencia territorial acordada por la Sala del T.S.J. de Aragón mediante el Auto de 24 de enero de 1991; y la Sala Tercera del Alto Tribunal, con fundamento en lo dispuesto tanto en la Disposición transitoria 34 de la Ley Orgánica del Poder Judicial como en una interpretación razonable y no arbitraria del art. 11.2 en relación con el 10.1 a) L.J.C.A., </w:t>
      </w:r>
      <w:r>
        <w:lastRenderedPageBreak/>
        <w:t>por Auto de 3 de noviembre de 1993 estimó dicha impugnación y revocó el mencionado Auto de la Sala del T.S.J. de Aragón, declarando su fallo "la competencia de la expresada Sala para conocer del recurso contencioso administrativo interpuesto" por la representación del Sr. Nicuesa Iguaz. Al igual que ha de tenerse presente que, en un segundo momento procesal, el órgano jurisdiccional inferior en grado, tras acatar inicialmente la resolución del superior y dar curso a la demanda, sin embargo vuelve a declinar la competencia en favor de la Sala del T.S.J.  de Madrid, acogiendo la excepción formulada por el Abogado del Estado.</w:t>
      </w:r>
    </w:p>
    <w:p w:rsidR="006854DA" w:rsidRDefault="006854DA" w:rsidP="006854DA">
      <w:pPr>
        <w:pStyle w:val="TextoNormal"/>
      </w:pPr>
      <w:r>
        <w:t>De lo que ha resultado, en definitiva, una situación procesal a todas luces anómala a la luz tanto del mandato impuesto por el art. 118 C.E. como del art.  51 L.O.P.J. Y ante tal situación no resulta en verdad razonable exigir al recurrente en el proceso a quo que, tras la segunda declinación de la competencia acordada por la Sala del T.S.J. de Aragón, haya de acudir nuevamente ante el Tribunal Supremo con la sola finalidad de obtener una confirmación de lo previamente resuelto en el anterior recurso de apelación por éste, superior en el orden contencioso-administrativo de aquél, Pues ello supondría evidentemente un gravamen desproporcionado, máxime si el presente supuesto ha de encuadrarse en un contexto temporal de interpretaciones divergentes sobre la competencia territorial de los Tribunales Superiores de Justicia en el orden contencioso- administrativo que ya hemos tenido ocasión de considerar, desde otra perspectiva, en nuestra STC 114/1994.</w:t>
      </w:r>
    </w:p>
    <w:p w:rsidR="006854DA" w:rsidRDefault="006854DA" w:rsidP="006854DA">
      <w:pPr>
        <w:pStyle w:val="TextoNormal"/>
      </w:pPr>
    </w:p>
    <w:p w:rsidR="006854DA" w:rsidRDefault="006854DA" w:rsidP="006854DA">
      <w:pPr>
        <w:pStyle w:val="TextoNormal"/>
      </w:pPr>
      <w:r w:rsidRPr="006854DA">
        <w:rPr>
          <w:rStyle w:val="NumeroAFNegritaCaracter"/>
        </w:rPr>
        <w:t>3</w:t>
      </w:r>
      <w:r>
        <w:t>. Entrando en el fondo de la queja, ha de tenerse en cuenta que frente a los Autos de la Sala del T.S.J. de Aragón declinando su competencia en favor de la del T.S.J. de Madrid el recurrente de amparo ha invocado el art. 24.1 C.E. no en su vertiente del acceso a la jurisdicción sino en su vertiente del derecho a la ejecución de las resoluciones judiciales firmes, que indudablemente forma parte del derecho a la tutela judicial efectiva como hemos declarado desde la STC 32/1982 y reiterado en muchas otras posteriores (entre ellas, SSTC 15/1986, 167/1987, 125/1987, 231/1991, 142/1992, 380/1993 y 314/1994). Y al fundamentar su queja, más concretamente, en el "principio de inalterabilidad de las resoluciones judiciales firmes", que estima lesionado por desconocer las aquí impugnadas "lo ejecutoriado por el Tribunal Supremo en su Auto de 2 de noviembre de 1993", es claro que el recurrente invoca el aspecto de ese derecho constitucional relativo al respeto y la plena eficacia de esta resolución judicial en sus propios términos (SSTC 15/1986, 167/1987 y 171/1991, entre otras).</w:t>
      </w:r>
    </w:p>
    <w:p w:rsidR="006854DA" w:rsidRDefault="006854DA" w:rsidP="006854DA">
      <w:pPr>
        <w:pStyle w:val="TextoNormal"/>
      </w:pPr>
      <w:r>
        <w:t>En el presente caso, es cierto que la resolución judicial dictada por la Sala Tercera del Tribunal Supremo se ha limitado a resolver, de conformidad con el art. 51 L.O.P.J., una cuestión relativa a la competencia entre dos Tribunales de un mismo orden jurisdiccional, por haber declinado el T.S.J. de Aragón el conocimiento del recurso contencioso administrativo interpuesto en favor del T.S.J. de Madrid. Y reiteradamente hemos declarado que la manera en que se apliquen los criterios de competencia entre dichos órganos jurisdiccionales no es materia que, por sí sola, sea objeto del derecho constitucional reconocido por el art. 24 C.E. (STC 43/1985, AATC 226/1983, 706/1985, 33/1989 y 262/1994, entre otros) y, por tanto, que en tal supuesto únicamente le compete a este Tribunal examinar si la aplicación e interpretación de las normas de competencia que ha llevado a cabo un órgano judicial es o no manifiestamente irrazonable y arbitraria (STC 148/1994 y ATC 262/1994).</w:t>
      </w:r>
    </w:p>
    <w:p w:rsidR="006854DA" w:rsidRDefault="006854DA" w:rsidP="006854DA">
      <w:pPr>
        <w:pStyle w:val="TextoNormal"/>
      </w:pPr>
      <w:r>
        <w:t>Sin embargo, en el presente caso el recurrente de amparo no pretende en modo alguno que entremos a conocer de la cuestión relativa a la competencia territorial suscitada por el T.S.J. de Aragón, lo que ciertamente nos estaría vedado por ser ésta una materia que per</w:t>
      </w:r>
      <w:r>
        <w:lastRenderedPageBreak/>
        <w:t>tenece al ámbito de la legalidad ordinaria, como hemos declarado reiteradamente. Lo que solicita, dado que dicha cuestión ya ha sido resuelta definitivamente por la Sala Tercera del Tribunal Supremo en una resolución judicial indudablemente firme, es el respeto y plena eficacia de la resolución del Alto Tribunal por parte del T.S.J. de Aragón.</w:t>
      </w:r>
    </w:p>
    <w:p w:rsidR="006854DA" w:rsidRDefault="006854DA" w:rsidP="006854DA">
      <w:pPr>
        <w:pStyle w:val="TextoNormal"/>
      </w:pPr>
    </w:p>
    <w:p w:rsidR="006854DA" w:rsidRDefault="006854DA" w:rsidP="006854DA">
      <w:pPr>
        <w:pStyle w:val="TextoNormal"/>
      </w:pPr>
      <w:r w:rsidRPr="006854DA">
        <w:rPr>
          <w:rStyle w:val="NumeroAFNegritaCaracter"/>
        </w:rPr>
        <w:t>4</w:t>
      </w:r>
      <w:r>
        <w:t>. Desde este planteamiento, es claro que ha de ser acogida la solicitud de amparo. En cuanto a las circunstancias esenciales del presente caso cabe reiterar que en los Autos aquí impugnados la Sala del T.S.J. de Aragón, tras aceptar la doctrina sentada por el Tribunal Supremo sobre la incompetencia de la Audiencia Nacional, ha declarado respecto a la competencia territorial que el precepto aplicable era el art. 11 L.J.C.A., declinando la competencia para conocer del recurso contencioso administrativo interpuesto por el hoy recurrente de amparo por cuanto su objeto no se encuadra en una materia que permita optar al demandante entre dos foros alternativos. Conclusión que ciertamente no se compadece con la establecida por la Sala Tercera del Tribunal Supremo en el mencionado Auto de 2 de noviembre de 1993, en el que tras interpretar los arts. 11.2 y 10.1 a) L.J.C.A. se ha declarado, como ya se indicó, la competencia de la Sala del T.S.J. de Aragón para conocer del recurso contencioso administrativo interpuesto por la representación del Sr.  Nicuesa Iguaz.</w:t>
      </w:r>
    </w:p>
    <w:p w:rsidR="006854DA" w:rsidRDefault="006854DA" w:rsidP="006854DA">
      <w:pPr>
        <w:pStyle w:val="TextoNormal"/>
      </w:pPr>
      <w:r>
        <w:t>Sin entrar en modo alguno a valorar el acierto de una u otra de las resoluciones judiciales a las que se acaba de hacer referencia, pues ello es cuestión que pertenece al ámbito de la legalidad ordinaria, si ha de recordarse, en atención a las circunstancias expuestas, que el mandato impuesto por el art. 118 C.E. -en cuanto exigencia que se deriva del concepto mismo de poder jurisdiccional concebido como el que los Jueces y Tribunales ejercen en el marco establecido por las Leyes (STC 231/1990)- ha de ser cumplido, en primer lugar, por los propios órganos jurisdiccionales (STC 167/1987). Y ello implica, indudablemente, que el órgano judicial inferior ha de respetar y dar plena eficacia a una resolución judicial firme dictada por el superior. Pues en otro caso se estaría lesionando el cuadro de garantías para el particular que el art. 24.1 C.E. reconoce (STC 15/1986), en conexión con el principio de seguridad jurídica, consagrado en el art. 9.3 C.E. (STC 231/1990). Y al no haberlo hecho así, la conclusión es que la Sala del T.S.J.  de Aragón ha lesionado el derecho del recurrente que el art. 24.1 C.E.  garantiza y, en consecuencia, procede otorgar, sin necesidad de ulteriores razonamientos, el amparo solicitado por el Sr.  Nicuesa Iguaz.</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solicitado y, en su virtud:</w:t>
      </w:r>
    </w:p>
    <w:p w:rsidR="006854DA" w:rsidRDefault="006854DA" w:rsidP="006854DA">
      <w:pPr>
        <w:pStyle w:val="TextoNormal"/>
      </w:pPr>
      <w:r>
        <w:t>1º. Reconocer que se ha vulnerado al recurrente el derecho a la tutela judicial efectiva sin indefensión.</w:t>
      </w:r>
    </w:p>
    <w:p w:rsidR="006854DA" w:rsidRDefault="006854DA" w:rsidP="006854DA">
      <w:pPr>
        <w:pStyle w:val="TextoNormal"/>
      </w:pPr>
      <w:r>
        <w:t>2º. Restablecerle en su derecho y, a este fin, declarar la nulidad de los Autos dictados el 6 de junio de 1994, en el recurso 1.707/90 y el rollo 1.707/90-A, respectivamente, por la Sala de lo Contencioso-Administrativo del Tribunal Superior de Justicia de Aragón.</w:t>
      </w:r>
    </w:p>
    <w:p w:rsidR="006854DA" w:rsidRDefault="006854DA" w:rsidP="006854DA">
      <w:pPr>
        <w:pStyle w:val="TextoNormal"/>
      </w:pPr>
      <w:r>
        <w:lastRenderedPageBreak/>
        <w:t>3º. Retrotraer las actuaciones en el referido recurso contencioso administrativo al momento procesal anterior a la primera de dichas resoluciones judiciales.</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veintiuno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3" w:name="SENTENCIA_1997_137"/>
      <w:r>
        <w:lastRenderedPageBreak/>
        <w:t>SENTENCIA 137/1997, de 21 de julio de 1997</w:t>
      </w:r>
    </w:p>
    <w:bookmarkEnd w:id="53"/>
    <w:p w:rsidR="006854DA" w:rsidRDefault="006854DA" w:rsidP="006854DA">
      <w:pPr>
        <w:pStyle w:val="TtuloResolucin"/>
      </w:pPr>
      <w:r>
        <w:t>Sala Segunda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ECLI:ES:TC:1997:137</w:t>
      </w:r>
    </w:p>
    <w:p w:rsidR="006854DA" w:rsidRDefault="006854DA" w:rsidP="006854DA">
      <w:pPr>
        <w:pStyle w:val="SntesisDescriptiva"/>
      </w:pPr>
    </w:p>
    <w:p w:rsidR="006854DA" w:rsidRDefault="006854DA" w:rsidP="006854DA">
      <w:pPr>
        <w:pStyle w:val="SntesisDescriptiva"/>
      </w:pPr>
      <w:r>
        <w:t>Recurso de amparo 4.136/1994. Contra Sentencias dictadas en autos de juicio de faltas por el Juzgado de Primera Instancia e Instrucción núm. 1 de Guadalajara y la Audiencia Provincial de la misma ciudad.</w:t>
      </w:r>
    </w:p>
    <w:p w:rsidR="006854DA" w:rsidRDefault="006854DA" w:rsidP="006854DA">
      <w:pPr>
        <w:pStyle w:val="SntesisDescriptiva"/>
      </w:pPr>
    </w:p>
    <w:p w:rsidR="006854DA" w:rsidRDefault="006854DA" w:rsidP="006854DA">
      <w:pPr>
        <w:pStyle w:val="SntesisAnaltica"/>
      </w:pPr>
      <w:r>
        <w:t>Supuesta vulneración del principio de legalidad penal y del derecho de huelga : interpretación judicial del tipo relativo a la falta de coacciones no lesiva de los derechos invocados.</w:t>
      </w:r>
    </w:p>
    <w:p w:rsidR="006854DA" w:rsidRDefault="006854DA" w:rsidP="006854DA">
      <w:pPr>
        <w:pStyle w:val="SntesisAnaltica"/>
      </w:pPr>
    </w:p>
    <w:p w:rsidR="006854DA" w:rsidRDefault="006854DA" w:rsidP="006854DA">
      <w:pPr>
        <w:pStyle w:val="Extracto"/>
      </w:pPr>
      <w:r>
        <w:t>1.</w:t>
      </w:r>
      <w:r>
        <w:tab/>
        <w:t>De conformidad con lo establecido en el art. 6.6 del Real Decreto-ley 17/1977, de 4 de marzo, ya la STC 11/1981 destacó que una de las facultades del derecho de huelga es la publicidad o proyección exterior de la misma. Tal facultad abarca no sólo la publicidad del hecho mismo de la huelga, sino también de sus circunstancias o de los obstáculos que se oponen a su desarrollo, a los efectos de exponer la propia postura, recabar la solidaridad de terceros o superar su oposición (STC 120/1983 y AATC 570/1987, 36/1989, 193/1993 y 158/1994). El derecho de huelga implica el de requerir de otros la adhesión a la misma y a participar, dentro del marco legal, en acciones conjuntas dirigidas a tal fin (STC 254/1988 y AATC 71/1992 y 17/1995). La actividad del llamado piquete de huelguistas con sus funciones de información, propaganda, persuasión a los demás trabajadores para que se sumen a la huelga o disuasión a los que han optado por continuar el trabajo, integra pues el contenido del derecho reconocido en el art. 28.2 C.E. [F.J. 3].</w:t>
      </w:r>
    </w:p>
    <w:p w:rsidR="006854DA" w:rsidRDefault="006854DA" w:rsidP="006854DA">
      <w:pPr>
        <w:pStyle w:val="Extracto"/>
      </w:pPr>
    </w:p>
    <w:p w:rsidR="006854DA" w:rsidRDefault="006854DA" w:rsidP="006854DA">
      <w:pPr>
        <w:pStyle w:val="Extracto"/>
      </w:pPr>
      <w:r>
        <w:t>2.</w:t>
      </w:r>
      <w:r>
        <w:tab/>
        <w:t>Este Tribunal también ha reiterado que, en la que aquí interesa, el derecho de «huelga no incluye la posibilidad de ejercer coacciones sobre terceros porque ello afecta a otros bienes o derechos constitucionalmente protegidos, como la libertad de trabajar o la dignidad de la persona y su derecho a la integridad moral que plasman los arts. 10.1 y 15 C.E. Analizando el ajuste constitucional de la imposición de determinadas sanciones disciplinarias laborales, el Tribunal ha tenido ocasión de precisar que son conductas totalmente ajenas al ejercicio del derecho de huelga impedir la entrada en la fábrica a los directivos, trabajadores de empresas contratistas o a los designados para atender los servicios mínimos y amenazar a los que estaban en su puesto de trabajo para que lo abandonaran (ATC 570/1987); golpear y amenazar a un trabajador para eliminar de hecho su libertad de trabajo (ATC 193/1993); agredir e insultar al personal de seguridad y causar incendios y daños en las instalaciones de la empresa (ATC 158/1994); interceptar y golpear el vehículo que trasladaba a los trabajadores, insultando a sus ocupantes (STC 332/1994); insultar a los trabajadores que accedían al centro de trabajo (STC 333/1994); u obstaculizar e impedir a clientes y trabajadores el libre acceso a la empresa, profiriendo palabras injuriosas e insultantes contra quienes no secundaban la huelga (STC 40/1995) [F. J. 3].</w:t>
      </w:r>
    </w:p>
    <w:p w:rsidR="006854DA" w:rsidRDefault="006854DA" w:rsidP="006854DA">
      <w:pPr>
        <w:pStyle w:val="Extracto"/>
      </w:pPr>
    </w:p>
    <w:p w:rsidR="006854DA" w:rsidRDefault="006854DA" w:rsidP="006854DA">
      <w:pPr>
        <w:pStyle w:val="Extracto"/>
      </w:pPr>
      <w:r>
        <w:t>3.</w:t>
      </w:r>
      <w:r>
        <w:tab/>
        <w:t>La garantía de tipicidad, que impide que los órganos judiciales puedan sancionar fuera de los supuestos y de los límites que determinan las normas, no es más que el reverso, el complemento y el presupuesto de la garantía de determinación que ha de preservar el legislador y, en su caso, la Administración, con normas «concretas, precisas, claras e inteligibles» (STC 34/1986). El principio de legalidad en el ámbito sancionador es un principio inherente al Estado de Derecho que la Constitución enuncia en su Título Preliminar (art. 9.3), lo configura como contenido de un derecho fundamental de las personas (art. 25. 1) y lo recuerda como límite en la definición del Estatuto y de la competencia esenciales de los Jueces y Magistrados integrantes del Poder Judicial (art. 117. 1).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Como afirmaba la STC 75/1984, en referencia al Derecho Penal, «el derecho (...) de no ser condenado por acciones u omisiones que en el momento de cometerse no constituyan delito o falta según la legislación vigente (...), que es garantía de la libertad de los ciudadanos, no tolera (...) la aplicación analógica «in peius» de las normas penales o, dicho en otros términos, exige su aplicación rigurosa, de manera que sólo se pueda anudar la sanción prevista a conductas que reúnen todos los elementos del tipo descrito y son objetivamente perseguibles». O, en palabras de la STC 133/1987, «el principio de legalidad (...) significa un rechazo de la analogía como fuente creadora de delitos y penas, e impide, como límite a la actividad judicial, que el Juez se convierta en legislador» [F.J. 6].</w:t>
      </w:r>
    </w:p>
    <w:p w:rsidR="006854DA" w:rsidRDefault="006854DA" w:rsidP="006854DA">
      <w:pPr>
        <w:pStyle w:val="Extracto"/>
      </w:pPr>
    </w:p>
    <w:p w:rsidR="006854DA" w:rsidRDefault="006854DA" w:rsidP="006854DA">
      <w:pPr>
        <w:pStyle w:val="Extracto"/>
      </w:pPr>
      <w:r>
        <w:t>4.</w:t>
      </w:r>
      <w:r>
        <w:tab/>
        <w:t>Conviene concretar cuál es el alcance del control que el Tribunal Constitucional puede ejercer en su aplicación respecto de la interpretación y aplicación de los preceptos sancionadores efectuados por los órganos judiciales y cuáles son las pautas o criterios que deben regir este control. A tal efecto lo primero que se debe advertir 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principio de legalidad ni la del derecho fundamental que «ex» art. 25.1 C.E. lo tiene por contenido. 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pautas interpretativas y valorativas extravagantes en relación al ordenamiento constitucional vigente. Nuestro control queda, pues, delimitado en cuanto a su finalidad por el objetivo de evitar que las re</w:t>
      </w:r>
      <w:r>
        <w:lastRenderedPageBreak/>
        <w:t>soluciones judiciales impiden a los ciudadanos «programar sus comportamientos sin temor a posibles condenas por actos no tipificados previamente» (STC 133/1987),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 [F.J. 7].</w:t>
      </w:r>
    </w:p>
    <w:p w:rsidR="006854DA" w:rsidRDefault="006854DA" w:rsidP="006854DA">
      <w:pPr>
        <w:pStyle w:val="Extracto"/>
      </w:pPr>
    </w:p>
    <w:p w:rsidR="006854DA" w:rsidRDefault="006854DA" w:rsidP="006854DA">
      <w:pPr>
        <w:pStyle w:val="Extracto"/>
      </w:pPr>
      <w:r>
        <w:t>5.</w:t>
      </w:r>
      <w:r>
        <w:tab/>
        <w:t>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 [F.J. 7].</w:t>
      </w:r>
    </w:p>
    <w:p w:rsidR="006854DA" w:rsidRDefault="006854DA" w:rsidP="006854DA">
      <w:pPr>
        <w:pStyle w:val="Extracto"/>
      </w:pPr>
    </w:p>
    <w:p w:rsidR="006854DA" w:rsidRDefault="006854DA" w:rsidP="006854DA">
      <w:pPr>
        <w:pStyle w:val="Extracto"/>
      </w:pPr>
      <w:r>
        <w:t>6.</w:t>
      </w:r>
      <w:r>
        <w:tab/>
        <w:t>Que el carácter coactivo de una actitud y de unas afirmaciones venga apoyado por ciertos factores ambientales a cuya generación han contribuido otros, no tiene por qué eliminar o restar la responsabilidad de quien se vale, se prevale o se aprovecha de los mismos para realizar la conducta típica. Y finalmente: Que la conducta análoga de otros trabajadores que formaban parte del piquete de huelga no haya sido objeto de persecución y sanción penales no empece a la razonabilidad de la concreta atribución de responsabilidad penal al recurrente [ F.J. 9].</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4.136/94 promovido por don Jesús de la Cruz Basanta, representado por la Procuradora de los Tribunales doña Africa Martín Rico y asistido de Letrado, contra las Sentencias dictadas en autos de juicio de faltas por el Juzgado de Primera Instancia e Instrucción núm. 1 de Guadalajara, en 29 de octubre de 1993, y la Audiencia Provincial de Guadalajara, en 23 de noviembre de 1994. Ha comparecido el Ministerio Fiscal. Ha sido Ponente el Magistrado don Carles Viver Pi-Sunyer, quien expresa el parecer de la Sala.</w:t>
      </w:r>
    </w:p>
    <w:p w:rsidR="006854DA" w:rsidRDefault="006854DA" w:rsidP="006854DA">
      <w:pPr>
        <w:pStyle w:val="TextoNormal"/>
      </w:pPr>
    </w:p>
    <w:p w:rsidR="006854DA" w:rsidRDefault="006854DA" w:rsidP="006854DA">
      <w:pPr>
        <w:pStyle w:val="TextoNormalNegritaCentrado"/>
        <w:keepNext/>
      </w:pPr>
      <w:r>
        <w:lastRenderedPageBreak/>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xml:space="preserve">. Mediante escrito presentado en el Registro General de este Tribunal el día 23 de diciembre de 1994, la Procuradora de los Tribunales doña Africa Martín Rico, en nombre y representación de don Jesús de la Cruz Basanta, interpuso el recurso de amparo del que se hace mérito en el encabezamiento. </w:t>
      </w:r>
    </w:p>
    <w:p w:rsidR="006854DA" w:rsidRDefault="006854DA" w:rsidP="006854DA">
      <w:pPr>
        <w:pStyle w:val="TextoNormal"/>
      </w:pPr>
      <w:r>
        <w:t xml:space="preserve">La demanda se basa, sintéticamente expuestos, en los siguientes hechos: </w:t>
      </w:r>
    </w:p>
    <w:p w:rsidR="006854DA" w:rsidRDefault="006854DA" w:rsidP="006854DA">
      <w:pPr>
        <w:pStyle w:val="TextoNormal"/>
      </w:pPr>
      <w:r>
        <w:t xml:space="preserve">a) El Juzgado de Primera Instancia e Instrucción núm. 1 de Guadalajara, en Sentencia de 29 de octubre de 1993, condenó al ahora recurrente como autor de una falta de coacciones prevista y penada en el art. 585.4 del Código Penal de 1973, a la pena de cinco días de arresto menor domiciliario y al pago de las costas del juicio. </w:t>
      </w:r>
    </w:p>
    <w:p w:rsidR="006854DA" w:rsidRDefault="006854DA" w:rsidP="006854DA">
      <w:pPr>
        <w:pStyle w:val="TextoNormal"/>
      </w:pPr>
      <w:r>
        <w:t xml:space="preserve">Declaró como hechos probados que sobre las 7 horas del día 11 de junio de 1993 el Director de Fábrica de cierta sociedad se dirigió en su vehículo como todos los días al centro de trabajo y al llegar a la puerta principal de acceso se encontró con un grupo de unas doscientas personas, empleados de otra mercantil del mismo grupo empresarial que estaban en huelga, "entre ellos, el representante de los huelguistas, Jesús de la Cruz Basanta, que además es Secretario del Comité de Empresa y miembro del Comité de Huelga, por lo que no pudo pasar a la fábrica, y al apearse del vehículo y preguntar a Jesús si podía pasar, le dijo que no, dado el panorama que había, sin que hiciera ninguna indicación u orden a los huelguistas, los cuales impedían la entrada y salida de vehículos y por tanto de mercancías, con varios camiones aparcados esperando, por lo que (...) decidió retirarse para evitar situaciones violentas (...) recibiendo abucheos de los trabajadores". </w:t>
      </w:r>
    </w:p>
    <w:p w:rsidR="006854DA" w:rsidRDefault="006854DA" w:rsidP="006854DA">
      <w:pPr>
        <w:pStyle w:val="TextoNormal"/>
      </w:pPr>
      <w:r>
        <w:t xml:space="preserve">Razonaba que los hechos declarados probados constituyen el referido ilícito penal por la presión moral o intimidación ejercida para torcer la voluntad ajena e impedir efectuar un acto lícito -entrar a la fábrica con su vehículo-, que no obstaculizaba el derecho de huelga de los empleados. De la falta es responsable el condenado, miembro del Comité de Empresa y representante de los huelguistas, a los que dirigía y ordenaba. </w:t>
      </w:r>
    </w:p>
    <w:p w:rsidR="006854DA" w:rsidRDefault="006854DA" w:rsidP="006854DA">
      <w:pPr>
        <w:pStyle w:val="TextoNormal"/>
      </w:pPr>
      <w:r>
        <w:t>b) Recurrida en apelación, la Audiencia Provincial de Guadalajara en Sentencia de 23 de noviembre de 1994 desestimó el recurso. El "día de los hechos -razonaba el Magistrado- el director de la factoría (...) al intentar acceder como de ordinario al centro de trabajo se vio impedido de poder hacerlo, por la actitud singular del enjuiciado que tenía como respaldo inmediato la masa de 200 operarios que le abucheaban; de todo ello se deduce (...) que fue objeto de la coacción, calificada de leve [por existir cuando menos una vis intimidativa], dirigida por el encausado condenado (...), [pues no se puede] impedir el acceso al puesto de trabajo por vía coactiva a quien desee verificarlo, en uso de su libertad de trabajo que es también un derecho reconocido en el art. 35.1 del Texto constitucional ..." (fundamentos de Derecho primero y segundo).</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 demanda de amparo imputa a las resoluciones judiciales impugnadas haber infringido los arts. 25.1, 28.1 y 28.2 C.E. Se sanciona al recurrente por su exclusiva consideración de miembro del Comité de Empresa y del Comité de Huelga, lo que revela un comportamiento discriminatorio respecto de los demás trabajadores huelguistas, contra los que no se ha seguido procedimiento legal alguno y ni siquiera se formuló denuncia. Que no se invocara el art. 14 C.E. en el recurso de apelación no es óbice para que el Tribunal examine la discriminación denunciada, pues al tratarse de una sanción impuesta por el mero ejercicio de la libertad sindical, la lesión del derecho a la igualdad debe reconducirse a la de los derechos de libertad sindical y huelga. </w:t>
      </w:r>
    </w:p>
    <w:p w:rsidR="006854DA" w:rsidRDefault="006854DA" w:rsidP="006854DA">
      <w:pPr>
        <w:pStyle w:val="TextoNormal"/>
      </w:pPr>
      <w:r>
        <w:lastRenderedPageBreak/>
        <w:t xml:space="preserve">Respecto del art. 28.2 C.E. argumenta, con cita de las SSTC 120/1983 y 254/1988 y ATC 570/1987, que no puede entenderse como coacción una intimidación moral, porque este criterio conduciría de hecho a una incriminación de toda coacción y, por consiguiente, a la criminalización de toda huelga en tanto medida de fuerza. Según los hechos probados e incluso los razonamientos de las Sentencias, en ningún momento hubo amenazas por parte del recurrente, sino que se limitó a manifestar, a pregunta del propio denunciante, la conveniencia de no acceder por la puerta en la que se encontraban los trabajadores, dado el panorama que había. Su conducta, lejos de distinguirse de la de los otros doscientos trabajadores por una especial relevancia, únicamente se singulariza por el dato de haber sido elegido como interlocutor por el directivo empresarial. La respuesta no encubre un proceder coactivo o amenazante, evidencia una actitud prudente y constata una realidad compartida por el propio denunciante, quien decidió retirarse para evitar situaciones violentas. Ciertamente, se considera probado que se profirieron contra el denunciante abucheos, pero ni siquiera se insinúa que provinieran del recurrente. </w:t>
      </w:r>
    </w:p>
    <w:p w:rsidR="006854DA" w:rsidRDefault="006854DA" w:rsidP="006854DA">
      <w:pPr>
        <w:pStyle w:val="TextoNormal"/>
      </w:pPr>
      <w:r>
        <w:t xml:space="preserve">Los órganos judiciales tienen en cuenta para imputarle el ilícito penal que ostenta la cualidad de Secretario del Comité de Empresa, de miembro del Comité de Huelga y, por ende, la de representante de los huelguistas. El recurrente es responsable de la vis intimidatoria que el panorama determinó en el ánimo del denunciante y que sería la causa de que no accediera a las instalaciones empresariales, al no hacer ninguna indicación u orden a los huelguistas. Pero para que un trabajador pueda ser sancionado por formar parte de un piquete, lo ha de ser por su conducta individual y no puede ser responsabilizado por los hechos cometidos por otros miembros del piquete. Esta identificación entre conducta individual y colectiva a efectos de derivar responsabilidades no se puede dar, ni aun cuando el trabajador sea representante de los trabajadores o de los huelguistas, ya que es preciso deslindar la actividad de representación y la de participación en la huelga, valorando las circunstancias de participación de cada trabajador, tenga o no la condición de representante del personal (Sentencias del Tribunal Supremo de 6 de febrero y 26 de noviembre de 1990, y del Tribunal Superior de Justicia de Cataluña de 7 de septiembre de 1992). </w:t>
      </w:r>
    </w:p>
    <w:p w:rsidR="006854DA" w:rsidRDefault="006854DA" w:rsidP="006854DA">
      <w:pPr>
        <w:pStyle w:val="TextoNormal"/>
      </w:pPr>
      <w:r>
        <w:t xml:space="preserve">El conflicto que pueda surgir entre un trabajador huelguista y otro no huelguista es un conflicto entre el derecho fundamental reconocido en el art. 28.2 C.E. y un derecho o libertad no cualificado, consagrado en el art. 35.1 C.E., y a la hora de ponderar los intereses en conflicto no puede otorgarse una protección más vigorosa al trabajador no huelguista. Por tanto, no cabe sancionar al trabajador que ejercita el derecho de huelga por haber formado parte de un grupo de otros doscientos trabajadores, a la vista del cual el directivo empresarial decidió no acceder a las instalaciones fabriles. </w:t>
      </w:r>
    </w:p>
    <w:p w:rsidR="006854DA" w:rsidRDefault="006854DA" w:rsidP="006854DA">
      <w:pPr>
        <w:pStyle w:val="TextoNormal"/>
      </w:pPr>
      <w:r>
        <w:t>Interesó, por ello, la nulidad de las Sentencias impugnadas y, al amparo del art. 56 LOTC, solicitó asimismo la suspensión de su ejecución.</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La Sección Cuarta por providencia, de 9 de marzo de 1995, acordó admitir a trámite la demanda y, en aplicación de lo dispuesto en el art. 51 de la LOTC, dirigir atenta comunicación a los órganos judiciales para que remitiesen certificación o fotocopia adverada de las actuaciones y practicasen los correspondientes emplazamientos. A instancia del recurrente dispuso formar la correspondiente pieza separada para tramitar el incidente de suspensión, que concluyó con Auto de 8 de mayo de 1995, por el que la Sala acordó suspender la ejecución de la Sentencia de la Audiencia Provincial de Guadalajara en cuanto a la pena privativa de libertad. </w:t>
      </w:r>
    </w:p>
    <w:p w:rsidR="006854DA" w:rsidRDefault="006854DA" w:rsidP="006854DA">
      <w:pPr>
        <w:pStyle w:val="TextoNormal"/>
      </w:pPr>
      <w:r>
        <w:t xml:space="preserve">La Sección por providencia, de 19 de junio de 1995, acordó dar vista de las actuaciones remitidas a la parte recurrente y al Ministerio Fiscal, por plazo común de veinte días para </w:t>
      </w:r>
      <w:r>
        <w:lastRenderedPageBreak/>
        <w:t>presentar las alegaciones que estimaran pertinentes, conforme determina el art. 52.1 de la LOTC.</w:t>
      </w:r>
    </w:p>
    <w:p w:rsidR="006854DA" w:rsidRDefault="006854DA" w:rsidP="006854DA">
      <w:pPr>
        <w:pStyle w:val="TextoNormal"/>
      </w:pPr>
    </w:p>
    <w:p w:rsidR="006854DA" w:rsidRDefault="006854DA" w:rsidP="006854DA">
      <w:pPr>
        <w:pStyle w:val="TextoNormal"/>
      </w:pPr>
      <w:r w:rsidRPr="006854DA">
        <w:rPr>
          <w:rStyle w:val="NumeroAFNegritaCaracter"/>
        </w:rPr>
        <w:t>4</w:t>
      </w:r>
      <w:r>
        <w:t>. La representación del recurrente reprodujo el contenido de la demanda inicial.</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El Fiscal ante el Tribunal Constitucional interesó la desestimación del amparo. Ante todo, precisó el objeto del recurso destacando que la demanda se refiere a tres derechos fundamentales, si bien termina concretándose en uno solo: el derecho de huelga. En efecto, la invocación del art. 25.1 C.E. es meramente retórica, no explica los motivos de tal vulneración. Tampoco se especifica la lesión del derecho a la libertad sindical, ni se establece una separación clara con el de huelga, y en éste se centra el núcleo de la demanda. </w:t>
      </w:r>
    </w:p>
    <w:p w:rsidR="006854DA" w:rsidRDefault="006854DA" w:rsidP="006854DA">
      <w:pPr>
        <w:pStyle w:val="TextoNormal"/>
      </w:pPr>
      <w:r>
        <w:t xml:space="preserve">Al respecto recuerda que, según la doctrina de este Tribunal (SSTC 11/1981, 120/1983, 254/1988, 332/1994, 333/1994 y 40/1995, y AATC 71/1992 y 193/1993), el derecho de huelga es limitado, de configuración legal; no puede tutelar el coaccionar, amenazar o ejercer actos de violencia para perseguir sus fines; no incluye la posibilidad de ejercer sobre terceros una violencia moral de alcance intimidatorio, ni comprende la limitación de la capacidad de decisión de otros mediante la coacción psicológica o moral. No obstante, los actos violentos de los huelguistas no son sancionables penalmente mediante una imputación colectiva, sino tras una individualización adecuada de los actos ilícitos. </w:t>
      </w:r>
    </w:p>
    <w:p w:rsidR="006854DA" w:rsidRDefault="006854DA" w:rsidP="006854DA">
      <w:pPr>
        <w:pStyle w:val="TextoNormal"/>
      </w:pPr>
      <w:r>
        <w:t xml:space="preserve">En el caso que nos ocupa la pretensión del director denunciante de entrar en el recinto de la empresa para dirigirse a su trabajo se frustró por una decisión suya de no seguir, si bien la tomó ante la existencia de unos camiones cruzados que impedían el paso, la presencia de doscientos trabajadores que le abuchearon y la manifestación del condenado y, en aquel momento, representante de los huelguistas. Es evidente que semejante conducta, en el contexto de los hechos probados, no es una violencia física ni quizá una violencia moral directa o intimidación, pero la actitud de los huelguistas, no sólo física mediante la colocación de los camiones, sino psíquica mediante el agrupamiento en la puerta y el abucheo, permite estimar sin duda que era aprovechada por el condenado, que representaba a los trabajadores presentes, para ejercer presión psicológica a los que llegaban al trabajo para impedirles entrar, lo que se concretó en el denunciante a quien le contestó con una frase que fácilmente puede considerarse amenazadora, no directamente por el condenado pero sí que éste se introduce en la amenaza latente para hacerla suya. </w:t>
      </w:r>
    </w:p>
    <w:p w:rsidR="006854DA" w:rsidRDefault="006854DA" w:rsidP="006854DA">
      <w:pPr>
        <w:pStyle w:val="TextoNormal"/>
      </w:pPr>
      <w:r>
        <w:t>En su mano estaba el haber tomado las medidas pertinentes para hacer posible la entrada del Director en la fábrica. Se le impidió así su derecho al trabajo y el ejercicio de un derecho inherente a la dignidad de la persona. Por otra parte, tal actitud no era necesaria para el ejercicio del derecho de huelga, puesto que basta la presencia en el lugar de los trabajadores, sin aditamento violento alguno, para demostrar que existía la huelga y que se quería cesar en el trabajo, núcleo esencial del derecho. Es cierto que la captación de esta interpretación es límite en el supuesto sometido a examen, por no concretarse en actos directamente apreciables como violentos. Pero la existencia de presión psicológica permite considerar no vulnerado el derecho fundamental de huelga al haber ido más allá de sus límites la conducta del actor.</w:t>
      </w:r>
    </w:p>
    <w:p w:rsidR="006854DA" w:rsidRDefault="006854DA" w:rsidP="006854DA">
      <w:pPr>
        <w:pStyle w:val="TextoNormal"/>
      </w:pPr>
    </w:p>
    <w:p w:rsidR="006854DA" w:rsidRDefault="006854DA" w:rsidP="006854DA">
      <w:pPr>
        <w:pStyle w:val="TextoNormal"/>
      </w:pPr>
      <w:r w:rsidRPr="006854DA">
        <w:rPr>
          <w:rStyle w:val="NumeroAFNegritaCaracter"/>
        </w:rPr>
        <w:t>6</w:t>
      </w:r>
      <w:r>
        <w:t>. Por providencia de 17 de julio de 1997, se señaló para deliberación y votación de la presente Sentencia el día 21 del mismo mes y año.</w:t>
      </w:r>
    </w:p>
    <w:p w:rsidR="006854DA" w:rsidRDefault="006854DA" w:rsidP="006854DA">
      <w:pPr>
        <w:pStyle w:val="TextoNormal"/>
      </w:pPr>
    </w:p>
    <w:p w:rsidR="006854DA" w:rsidRDefault="006854DA" w:rsidP="006854DA">
      <w:pPr>
        <w:pStyle w:val="TextoNormalNegritaCentrado"/>
        <w:keepNext/>
      </w:pPr>
      <w:r>
        <w:lastRenderedPageBreak/>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La demanda de amparo se dirige contra las Sentencias del Juzgado de Primera Instancia e Instrucción núm. 1 de Guadalajara y de la Audiencia Provincial de Guadalajara, que condenaron al recurrente como autor de una falta de coacciones prevista en el art. 585.4 del Código Penal de 1973. Estima, en síntesis, que los órganos judiciales han vulnerado los arts. 25.1 y 28 C.E.  por "entender como coacción una intimidación moral", por sancionarle a él exclusivamente en su "cualidad de Secretario del Comité de Empresa", siendo así que su actuación en ningún momento fue amenazadora, y, por último, con cita de la STC 254/1988, por sancionar los hechos descritos como constitutivos de una falta de coacciones yendo "más allá de los límites que permite la consideración conjunta de la norma penal y el derecho constitucional afectado, pues los supuestos de la norma no pueden interpretarse de tal forma que vacíe de contenido el derecho fundamental". Alude también al art. 14 de la C.E. y a un supuesto tratamiento discriminatorio, pero la argumentación aducida al respecto carece de valor autónomo y, como se reconoce en el mismo escrito de alegaciones, dicha vulneración no había sido invocada previamente de modo que no puede convertirse en objeto de este proceso.</w:t>
      </w:r>
    </w:p>
    <w:p w:rsidR="006854DA" w:rsidRDefault="006854DA" w:rsidP="006854DA">
      <w:pPr>
        <w:pStyle w:val="TextoNormal"/>
      </w:pPr>
    </w:p>
    <w:p w:rsidR="006854DA" w:rsidRDefault="006854DA" w:rsidP="006854DA">
      <w:pPr>
        <w:pStyle w:val="TextoNormal"/>
      </w:pPr>
      <w:r w:rsidRPr="006854DA">
        <w:rPr>
          <w:rStyle w:val="NumeroAFNegritaCaracter"/>
        </w:rPr>
        <w:t>2</w:t>
      </w:r>
      <w:r>
        <w:t>. Planteada la cuestión en estos términos, conviene que precisemos la perspectiva constitucional del enjuiciamiento y, muy especialmente, la relación existente entre el análisis de la vulneración relativa al derecho a la huelga y el referido a la legalidad penal. En efecto, para enjuiciar la doble queja formulada por el recurrente debemos determinar, en primer lugar, si la actuación del actor que resultó sancionada como falta de coacciones está integrada en el ámbito del derecho de huelga. De ser así, ninguna sanción penal puede derivarse de la misma. Por el contrario, si dicha actuación no pudiera considerarse fruto de un ejercicio legítimo de ese derecho, nuestro enjuiciamiento debería limitarse a analizar si, por otras razones, la aplicación de esa sanción ha conculcado el principio de legalidad penal ex art. 25.1 C.E. Es cierto que, como se declaró en la STC 111/1993, los tipos penales no pueden interpretarse y aplicarse de forma contraria a los derechos fundamentales. Sin embargo, para poder determinar si esa aplicación vulnera los referidos derechos, es necesario precisar previamente si la conducta objeto de sanción pertenece al ámbito propio del derecho fundamental invocado y, en consecuencia, está amparado por el mismo. No estamos en el ámbito de los límites al ejercicio del derecho sino en el previo de la delimitación de su contenido.</w:t>
      </w:r>
    </w:p>
    <w:p w:rsidR="006854DA" w:rsidRDefault="006854DA" w:rsidP="006854DA">
      <w:pPr>
        <w:pStyle w:val="TextoNormal"/>
      </w:pPr>
    </w:p>
    <w:p w:rsidR="006854DA" w:rsidRDefault="006854DA" w:rsidP="006854DA">
      <w:pPr>
        <w:pStyle w:val="TextoNormal"/>
      </w:pPr>
      <w:r w:rsidRPr="006854DA">
        <w:rPr>
          <w:rStyle w:val="NumeroAFNegritaCaracter"/>
        </w:rPr>
        <w:t>3</w:t>
      </w:r>
      <w:r>
        <w:t>. De conformidad con lo establecido en el art. 6.6 del Real Decreto ley 17/1977, de 4 de marzo, ya la STC 11/1981 destacó en su fundamento jurídico 11 que una de las facultades del derecho de huelga es la publicidad o proyección exterior de la misma.  Tal facultad abarca no sólo la publicidad del hecho mismo de la huelga, sino también de sus circunstancias o de los obstáculos que se oponen a su desarrollo, a los efectos de exponer la propia postura, recabar la solidaridad de terceros o superar su oposición (STC 120/1983, fundamento jurídico 4º; y AATC 570/1987, fundamento jurídico 2º; 36/1989, fundamento jurídico 2º; 193/1993, fundamento jurídico 3º y 158/1994, fundamento jurídico 3º). El derecho de huelga implica el de requerir de otros la adhesión a la misma y a participar, dentro del marco legal, en acciones conjuntas dirigidas a tal fin (STC 254/1988, fundamento jurídico 5º; y AATC 71/1992, fundamento jurídico 3º y 17/1995, fundamento jurídico 2º). La actividad del llamado piquete de huelguistas con sus funciones de informa</w:t>
      </w:r>
      <w:r>
        <w:lastRenderedPageBreak/>
        <w:t>ción, propaganda, persuasión a los demás trabajadores para que se sumen a la huelga o disuasión a los que han optado por continuar el trabajo, integra pues el contenido del derecho reconocido en el art. 28.2 C.E.</w:t>
      </w:r>
    </w:p>
    <w:p w:rsidR="006854DA" w:rsidRDefault="006854DA" w:rsidP="006854DA">
      <w:pPr>
        <w:pStyle w:val="TextoNormal"/>
      </w:pPr>
      <w:r>
        <w:t>Pero este Tribunal también ha reiterado que, en lo que aquí interesa, el derecho de huelga no incluye la posibilidad de ejercer coacciones sobre terceros porque ello afecta a otros bienes o derechos constitucionalmente protegidos, como la libertad de trabajar o la dignidad de la persona y su derecho a la integridad moral que plasman los arts. 10.1 y 15 C.E. Así, el ATC 36/1989, a propósito de la queja interpuesta por quienes fueron condenados como autores de un delito de coacciones del art. 496 del C.P., por impedir materialmente el acceso de la clientela y otras personas al establecimiento mediante actitudes violentas y de fuerza que coaccionaron la actuación de los clientes del bar, del empresario y de sus familiares, subrayó que el derecho de huelga no comprende la posibilidad de ejercer sobre terceros una violencia moral de alcance intimidatorio o coactivo.  El ATC 71/1992, examinando la condena impuesta por la comisión de una falta del art. 585.4 del C.P. a los que anunciaron graves consecuencias para los trabajadores que persistían en su intención de acudir a prestar servicios, reiteró que una actividad tendente a la intimidación ilícita del resto de los trabajadores y que persigue limitar su capacidad de decisión mediante la coacción psicológica o presión moral, no queda comprendida en el derecho fundamental.</w:t>
      </w:r>
    </w:p>
    <w:p w:rsidR="006854DA" w:rsidRDefault="006854DA" w:rsidP="006854DA">
      <w:pPr>
        <w:pStyle w:val="TextoNormal"/>
      </w:pPr>
      <w:r>
        <w:t>Esta idea ya había sido destacada por la STC 2/1982, fundamento jurídico 5º, ante la invocación de la libertad de pensamiento y los derechos de reunión y manifestación por los condenados como autores de una falta de coacciones leves, a raíz de haberse concentrado en las proximidades del establecimiento empresarial abucheando a la clientela y conminándola a no comprar productos, lo que determinó que algunos clientes devolvieran el género adquirido y otros desistieran de hacerlo por el temor a ser agredidos. En fin, analizando el ajuste constitucional de la imposición de determinadas sanciones disciplinarias laborales, el Tribunal, además de abundar en esta doctrina, ha tenido ocasión de precisar que son conductas totalmente ajenas al ejercicio del derecho de huelga impedir la entrada en la fábrica a los directivos, trabajadores de empresas contratistas o a los designados para atender los servicios mínimos y amenazar a los que estaban en su puesto de trabajo para que lo abandonaran (ATC 570/1987); golpear y amenazar a un trabajador para eliminar de hecho su libertad de trabajo (ATC 193/1993); agredir e insultar al personal de seguridad y causar incendios y daños en las instalaciones de la empresa (ATC 158/1994); interceptar y golpear el vehículo que trasladaba a los trabajadores, insultando a sus ocupantes (STC 332/1994); insultar a los trabajadores que accedían al centro de trabajo (STC 333/1994); u obstaculizar e impedir a clientes y trabajadores el libre acceso a la empresa, profiriendo palabras injuriosas e insultantes contra quienes no secundaban la huelga (STC 40/1995, fundamentos jurídicos 3º, 4º y 6º).</w:t>
      </w:r>
    </w:p>
    <w:p w:rsidR="006854DA" w:rsidRDefault="006854DA" w:rsidP="006854DA">
      <w:pPr>
        <w:pStyle w:val="TextoNormal"/>
      </w:pPr>
    </w:p>
    <w:p w:rsidR="006854DA" w:rsidRDefault="006854DA" w:rsidP="006854DA">
      <w:pPr>
        <w:pStyle w:val="TextoNormal"/>
      </w:pPr>
      <w:r w:rsidRPr="006854DA">
        <w:rPr>
          <w:rStyle w:val="NumeroAFNegritaCaracter"/>
        </w:rPr>
        <w:t>4</w:t>
      </w:r>
      <w:r>
        <w:t>. En el caso aquí enjuiciado, según se desprende de los hechos probados a los que debemos atenernos, el recurrente formaba parte de un piquete de huelga, compuesto por unas doscientas personas, que impedía, aunque de forma intermitente, la entrada y salida de vehículos de la fábrica. Entre esos vehículos se hallaban varios camiones y el del Director del establecimiento quien, ante la actitud de los miembros del piquete, "decidió retirarse para evitar situaciones violentas (...)  recibiendo abucheos de los trabajadores".</w:t>
      </w:r>
    </w:p>
    <w:p w:rsidR="006854DA" w:rsidRDefault="006854DA" w:rsidP="006854DA">
      <w:pPr>
        <w:pStyle w:val="TextoNormal"/>
      </w:pPr>
      <w:r>
        <w:t xml:space="preserve">Ciertamente, las situaciones de conflicto que dan lugar a las huelgas suelen afectar a aspectos especialmente relevantes y sensibles de la vida de los trabajadores y de sus familias, y en estas circunstancias no puede exigírseles que en el legítimo desarrollo de sus </w:t>
      </w:r>
      <w:r>
        <w:lastRenderedPageBreak/>
        <w:t>facultades de información, proselitismo y presión, guarden unas pautas de comportamiento corteses, propias de momentos de normalidad. Con todo, no cabe duda de que la conducta aquí analizada del recurrente, y en general del resto de quienes formaban parte del piquete, sobrepasa los límites constitucionalmente protegidos en orden a asegurar el libre desarrollo de las tareas de información, persuasión y presión.  Como este Tribunal ha reiterado en las resoluciones citadas en el fundamento precedente, impedir el acceso al lugar de trabajo, aunque sea intermitentemente y tan sólo de vehículos, supone imponer a terceras personas mediante intimidación la realización de conductas contrarias a su voluntad.  Por ello debe concluirse que los hechos que se imputan al recurrente no están integrados en el ámbito del derecho de huelga, con lo que ninguna vulneración del mismo pueden haber producido las Sentencias traídas al presente proceso constitucional de amparo.</w:t>
      </w:r>
    </w:p>
    <w:p w:rsidR="006854DA" w:rsidRDefault="006854DA" w:rsidP="006854DA">
      <w:pPr>
        <w:pStyle w:val="TextoNormal"/>
      </w:pPr>
    </w:p>
    <w:p w:rsidR="006854DA" w:rsidRDefault="006854DA" w:rsidP="006854DA">
      <w:pPr>
        <w:pStyle w:val="TextoNormal"/>
      </w:pPr>
      <w:r w:rsidRPr="006854DA">
        <w:rPr>
          <w:rStyle w:val="NumeroAFNegritaCaracter"/>
        </w:rPr>
        <w:t>5</w:t>
      </w:r>
      <w:r>
        <w:t>. Situados ya fuera del ámbito del derecho de huelga, la queja relativa al derecho a la legalidad penal consagrado en el art. 25.1 C.E. tiene, como hemos reiterado, una doble vertiente: de un lado se denuncia la aplicación del tipo penal de la falta de coacciones a un supuesto no previsto legalmente -las coacciones morales y, más concretamente, la actividad no amenazadora del recurrente-, es decir, se alegó la infracción del principio de tipicidad penal, y, en segundo lugar, una vulneración del principio de personalidad de la pena o sanción, ya que la única actuación específica del actor habría consistido en informar al Director de la fábrica, a instancias del mismo, de la imposibilidad de entrar con el vehículo "dado el panorama que había".</w:t>
      </w:r>
    </w:p>
    <w:p w:rsidR="006854DA" w:rsidRDefault="006854DA" w:rsidP="006854DA">
      <w:pPr>
        <w:pStyle w:val="TextoNormal"/>
      </w:pPr>
    </w:p>
    <w:p w:rsidR="006854DA" w:rsidRDefault="006854DA" w:rsidP="006854DA">
      <w:pPr>
        <w:pStyle w:val="TextoNormal"/>
      </w:pPr>
      <w:r w:rsidRPr="006854DA">
        <w:rPr>
          <w:rStyle w:val="NumeroAFNegritaCaracter"/>
        </w:rPr>
        <w:t>6</w:t>
      </w:r>
      <w:r>
        <w:t>. Respecto a la denuncia del principio de tipicidad penal, este Tribunal ha establecido en reiteradas ocasiones que la interdicción de interpretaciones analógicas y extensivas in malam partem integra, junto a la exigencia de la tipificación de los ilícitos y las sanciones mediante lex praevia, scripta, certa et stricta, el contenido del principio de legalidad penal y el del correspondiente derecho fundamental del art. 25.1 C.E.</w:t>
      </w:r>
    </w:p>
    <w:p w:rsidR="006854DA" w:rsidRDefault="006854DA" w:rsidP="006854DA">
      <w:pPr>
        <w:pStyle w:val="TextoNormal"/>
      </w:pPr>
      <w:r>
        <w:t xml:space="preserve">En rigor, la garantía de tipicidad, que impide que los órganos judiciales puedan sancionar fuera de los supuestos y de los límites que determinan las normas, no es más que el reverso, el complemento y el presupuesto de la garantía de determinación que ha de preservar el legislador y, en su caso, la Administración, con normas "concretas, precisas, claras e inteligibles" (STC 34/1996, fundamento jurídico 5º). Estas garantías concretan así "diversos aspectos del Estado de Derecho en el ámbito del Derecho estatal sancionador.  En este sentido se vincula ante todo con el imperio de la ley como presupuesto de la actuación del Estado sobre bienes jurídicos de los ciudadanos, pero también con el derecho de los ciudadanos a la seguridad (STC 62/1982, fundamento jurídico 7º), previsto en la Constitución como derecho fundamental de mayor alcance, así como la prohibición de la arbitrariedad y el derecho a la objetividad e imparcialidad del juicio de los Tribunales, que garantizan el art. 24.2 y el art. 117.1 C.E., especialmente cuando éste declara que los Jueces y Magistrados están «sometidos únicamente al imperio de la Ley»" (SSTC 133/1987, fundamento jurídico 4º; 150/1989, fundamento jurídico 5º; 111/1993, fundamento jurídico 6º). Así, el principio de legalidad en el ámbito sancionador es un principio inherente al Estado de Derecho que la Constitución enuncia en su Título Preliminar (art. 9.3), lo configura como contenido de un derecho fundamental de las personas (art. 25.1) y lo recuerda como límite en la definición del Estatuto y de la competencia esenciales de los Jueces y Magistrados integrantes del Poder Judicial (art. 117.1). Este principio impone, por razones de seguridad jurídica y de legitimidad democrática de la intervención punitiva, no sólo la </w:t>
      </w:r>
      <w:r>
        <w:lastRenderedPageBreak/>
        <w:t>sujeción de la jurisdicción sancionadora a los dictados de las leyes que describen ilícitos e imponen sanciones, sino la sujeción estricta, impidiendo la sanción de comportamientos no previstos en la norma correspondiente pero similares a los que sí contempla. Como afirmaba la STC 75/1984, en referencia al Derecho Penal, "el derecho (...)  de no ser condenado por acciones u omisiones que en el momento de cometerse no constituyan delito o falta según la legislación vigente (...), que es garantía de la libertad de los ciudadanos, no tolera (...)  la aplicación analógica in peius de las normas penales o, dicho en otros términos, exige su aplicación rigurosa, de manera que sólo se pueda anudar la sanción prevista a conductas que reúnen todos los elementos del tipo descrito y son objetivamente perseguibles" (fundamento jurídico 5º). O, en palabras de la STC 133/1987, "el principio de legalidad (...)  significa un rechazo de la analogía como fuente creadora de delitos y penas, e impide, como límite a la actividad judicial, que el Juez se convierta en legislador" (fundamento jurídico 4º).</w:t>
      </w:r>
    </w:p>
    <w:p w:rsidR="006854DA" w:rsidRDefault="006854DA" w:rsidP="006854DA">
      <w:pPr>
        <w:pStyle w:val="TextoNormal"/>
      </w:pPr>
    </w:p>
    <w:p w:rsidR="006854DA" w:rsidRDefault="006854DA" w:rsidP="006854DA">
      <w:pPr>
        <w:pStyle w:val="TextoNormal"/>
      </w:pPr>
      <w:r w:rsidRPr="006854DA">
        <w:rPr>
          <w:rStyle w:val="NumeroAFNegritaCaracter"/>
        </w:rPr>
        <w:t>7</w:t>
      </w:r>
      <w:r>
        <w:t>. Establecido el contenido de este aspecto del principio de legalidad penal y precisado su fundamento teórico conviene concretar cuál es el alcance del control que el Tribunal Constitucional puede ejercer en su aplicación respecto de la interpretación y aplicación de los preceptos sancionadores efectuados por los órganos judiciales y cuáles son las pautas o criterios que deben regir este control. A tal efecto lo primero que se debe advertir 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principio de legalidad ni la del derecho fundamental que ex art. 25.1 C.E. lo tiene por contenido.</w:t>
      </w:r>
    </w:p>
    <w:p w:rsidR="006854DA" w:rsidRDefault="006854DA" w:rsidP="006854DA">
      <w:pPr>
        <w:pStyle w:val="TextoNormal"/>
      </w:pPr>
      <w:r>
        <w:t>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 Nuestro control queda, pues, delimitado en cuanto a su finalidad por el objetivo de evitar que las resoluciones judiciales impiden a los ciudadanos "programar sus comportamientos sin temor a posibles condenas por actos no tipificados previamente" (STC 133/1987, fundamento jurídico 5º),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w:t>
      </w:r>
    </w:p>
    <w:p w:rsidR="006854DA" w:rsidRDefault="006854DA" w:rsidP="006854DA">
      <w:pPr>
        <w:pStyle w:val="TextoNormal"/>
      </w:pPr>
      <w:r>
        <w:t xml:space="preserve">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w:t>
      </w:r>
      <w:r>
        <w:lastRenderedPageBreak/>
        <w:t>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amén de desconocer que la contenida en el art. 25.1 C.E. es una manifestación de aquel derecho que por su trascendencia aparece constitucionalmente diferenciada, una resolución judicial condenatoria que no adolezca de esos defectos puede, no obstante, resultar imprevisible para el ciudadano -y, como se ha dicho, no permitirle "programar sus comportamientos sin temor a posibles condenas por actos no tipificados previamente" (STC 133/1987, fundamento jurídico 5º)- y constituir una manifestación de la ruptura del monopolio legislativo -y administrativo, con la subordinación y limitación que le es propia- de determinación de las conductas ilícitas.</w:t>
      </w:r>
    </w:p>
    <w:p w:rsidR="006854DA" w:rsidRDefault="006854DA" w:rsidP="006854DA">
      <w:pPr>
        <w:pStyle w:val="TextoNormal"/>
      </w:pPr>
      <w:r>
        <w:t>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Sólo así podrá verse la decisión sancionadora como un fruto previsible de una razonable administración judicial o administrativa de la soberanía popular. A ese contexto de criterios y valores es al que nos hemos referido en otras ocasiones como habilitador de la utilización de conceptos jurídicos indeterminados en las normas sancionadoras -determinables "en virtud de criterios lógicos, técnicos o de experiencia" (SSTC 69/1989, 214/1989, 116/1993, 26/1994, 306/1994, 184/1995)-.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w:t>
      </w:r>
    </w:p>
    <w:p w:rsidR="006854DA" w:rsidRDefault="006854DA" w:rsidP="006854DA">
      <w:pPr>
        <w:pStyle w:val="TextoNormal"/>
      </w:pPr>
    </w:p>
    <w:p w:rsidR="006854DA" w:rsidRDefault="006854DA" w:rsidP="006854DA">
      <w:pPr>
        <w:pStyle w:val="TextoNormal"/>
      </w:pPr>
      <w:r w:rsidRPr="006854DA">
        <w:rPr>
          <w:rStyle w:val="NumeroAFNegritaCaracter"/>
        </w:rPr>
        <w:t>8</w:t>
      </w:r>
      <w:r>
        <w:t xml:space="preserve">. Sentado cuanto antecede, no cabe considerar en modo alguno que la interpretación y aplicación llevada a cabo por los órganos judiciales del tipo penal relativo a la falta de coacciones se aparte del tenor literal del precepto o haya recurrido a pautas interpretativas y valorativas extravagantes en relación al ordenamiento constitucional vigente. Podrá discutirse la conveniencia o no de criminalizar, aunque sea como falta, las conductas aquí enjuiciadas o la aplicación e interpretación que en el plano de la legalidad han realizado los órganos judiciales.  Sin embargo, estas son cuestiones en las que este Tribunal no debe entrar en absoluto, ya que ni puede controlar los preceptos penales desde la perspectiva de su oportunidad o conveniencia , ni tiene encomendadas funciones de casación penal. No </w:t>
      </w:r>
      <w:r>
        <w:lastRenderedPageBreak/>
        <w:t>obstante, como queda dicho, desde el juicio de constitucionalidad, ningún reproche cabe formular ex art. 25.1 C.E. a la interpretación y aplicación de art. 585.4 del Código Penal de 1973 efectuada en las Sentencias traídas a este proceso de amparo constitucional.  Con independencia pues de cualquier otra consideración, sea político-criminal sea relativa a la corrección o al rigor de la actividad judicial, no cabe estimar, desde la perspectiva que nos es propia, que la subsunción judicial impugnada sea irrazonable o fuerce el tenor literal del tipo penal aplicado: no fundamenta una aplicación analógica del art. 585.4 del C.P. anterior la catalogación como "coacción (...)  de carácter leve" del comportamiento del recurrente, "representante de los huelguistas, (...)  Secretario del Comité de Empresa y miembro del Comité de Huelga", consiste en responder al Director de la fábrica, cuando éste pretendía acceder con su vehículo a su centro de trabajo, que "no podía pasar, dado el panorama que había", y en no hacer "ninguna indicación u orden a los huelguistas, los cuales impedían la entrada y salida de vehículos".</w:t>
      </w:r>
    </w:p>
    <w:p w:rsidR="006854DA" w:rsidRDefault="006854DA" w:rsidP="006854DA">
      <w:pPr>
        <w:pStyle w:val="TextoNormal"/>
      </w:pPr>
    </w:p>
    <w:p w:rsidR="006854DA" w:rsidRDefault="006854DA" w:rsidP="006854DA">
      <w:pPr>
        <w:pStyle w:val="TextoNormal"/>
      </w:pPr>
      <w:r w:rsidRPr="006854DA">
        <w:rPr>
          <w:rStyle w:val="NumeroAFNegritaCaracter"/>
        </w:rPr>
        <w:t>9</w:t>
      </w:r>
      <w:r>
        <w:t>. El motivo restante de la demanda se cobija en la invocación del principio de personalidad de las penas. Lo que se reprocha ahora a las decisiones judiciales no es su apreciación de que se había coaccionado levemente al denunciante, sino la atribución de dicha coacción al hoy recurrente, que, de existir, habría sido generada por otros miembros del piquete, pero no por él, cuya participación en los hechos se habría limitado a la de ser un interlocutor casual del directivo empresarial coaccionado.</w:t>
      </w:r>
    </w:p>
    <w:p w:rsidR="006854DA" w:rsidRDefault="006854DA" w:rsidP="006854DA">
      <w:pPr>
        <w:pStyle w:val="TextoNormal"/>
      </w:pPr>
      <w:r>
        <w:t>El enfoque para la resolución del motivo no debe ser en lo esencial distinto del anterior. Y tampoco puede ser otro su sentido desestimatorio. En efecto, no consta en la fundamentación de las Sentencias impugnadas que la condena se haya basado en hechos de otros y que, con ello, hayan realizado una subsunción de los hechos en la norma ajena a su tenor literal, que exige, obviamente, que se castigue al que "causare la coacción". El sustento de las resoluciones judiciales se encuentra singularmente, por contra, en la participación del condenado en el grupo que se encontraba junto a la puerta principal, en sus concretas condiciones personales y en lo que le dijo al directivo que pretendía acceder al centro. Que, con independencia de cualquier consideración de rigor o de calidad, esta concreta conducta puede subsumirse razonablemente como levemente coactiva es algo que ya hemos afirmado en el fundamento anterior. Que el carácter coactivo de una actitud y de unas afirmaciones venga apoyado por ciertos factores ambientales a cuya generación han contribuido otros, no tiene por qué eliminar o restar la responsabilidad de quien se vale, se prevale o se aprovecha de los mismos para realizar la conducta típica. Y finalmente: que la conducta análoga de otros trabajadores que formaban parte del piquete de huelga no haya sido objeto de persecución y sanción penales no empece a la razonabilidad de la concreta atribución de responsabilidad penal al recurrente.</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presente recurso de amparo.</w:t>
      </w:r>
    </w:p>
    <w:p w:rsidR="006854DA" w:rsidRDefault="006854DA" w:rsidP="006854DA">
      <w:pPr>
        <w:pStyle w:val="TextoNormal"/>
      </w:pPr>
    </w:p>
    <w:p w:rsidR="006854DA" w:rsidRDefault="006854DA" w:rsidP="006854DA">
      <w:pPr>
        <w:pStyle w:val="TextoNormal"/>
      </w:pPr>
      <w:r>
        <w:lastRenderedPageBreak/>
        <w:t>Publíquese esta Sentencia en el "Boletín Oficial del Estado".</w:t>
      </w:r>
    </w:p>
    <w:p w:rsidR="006854DA" w:rsidRDefault="006854DA" w:rsidP="006854DA">
      <w:pPr>
        <w:pStyle w:val="TextoNormal"/>
      </w:pPr>
      <w:r>
        <w:t>Dada en Madrid, a veintiuno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4" w:name="SENTENCIA_1997_138"/>
      <w:r>
        <w:lastRenderedPageBreak/>
        <w:t>SENTENCIA 138/1997, de 22 de julio de 1997</w:t>
      </w:r>
    </w:p>
    <w:bookmarkEnd w:id="54"/>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ECLI:ES:TC:1997:138</w:t>
      </w:r>
    </w:p>
    <w:p w:rsidR="006854DA" w:rsidRDefault="006854DA" w:rsidP="006854DA">
      <w:pPr>
        <w:pStyle w:val="SntesisDescriptiva"/>
      </w:pPr>
    </w:p>
    <w:p w:rsidR="006854DA" w:rsidRDefault="006854DA" w:rsidP="006854DA">
      <w:pPr>
        <w:pStyle w:val="SntesisDescriptiva"/>
      </w:pPr>
      <w:r>
        <w:t>Recurso de amparo 1.013/1995. Contra Auto dictado por el Juzgado de Instrucción núm. 4 de Vitoria que acuerda la incoación de diligencias previas y el archivo de las mismas, así como contra providencia por la que se acuerda estar a lo dispuesto en la anterior resolución.</w:t>
      </w:r>
    </w:p>
    <w:p w:rsidR="006854DA" w:rsidRDefault="006854DA" w:rsidP="006854DA">
      <w:pPr>
        <w:pStyle w:val="SntesisDescriptiva"/>
      </w:pPr>
    </w:p>
    <w:p w:rsidR="006854DA" w:rsidRDefault="006854DA" w:rsidP="006854DA">
      <w:pPr>
        <w:pStyle w:val="SntesisAnaltica"/>
      </w:pPr>
      <w:r>
        <w:t>Supuesta vulneración del derecho a la tutela judicial efectiva: denegación no arbitraria de la solicitud de Abogado y Procurador de oficio en proceso ya concluido.</w:t>
      </w:r>
    </w:p>
    <w:p w:rsidR="006854DA" w:rsidRDefault="006854DA" w:rsidP="006854DA">
      <w:pPr>
        <w:pStyle w:val="SntesisAnaltica"/>
      </w:pPr>
    </w:p>
    <w:p w:rsidR="006854DA" w:rsidRDefault="006854DA" w:rsidP="006854DA">
      <w:pPr>
        <w:pStyle w:val="Extracto"/>
      </w:pPr>
      <w:r>
        <w:t>1.</w:t>
      </w:r>
      <w:r>
        <w:tab/>
        <w:t>El derecho a la designación de Abogado y Procurador de oficio «únicamente despliega toda su eficacia en relación con el imputado en un proceso penal, siendo en todos los demás casos, un derecho relativo sometido a diversos condicionamientos procesales y materiales, entre ellos los previstos en el art. 119 de la L.E.Crim., en el que se requiere la existencia de un hecho punible» ( STC 217/1994). La existencia del derecho al nombramiento de Abogado y Procurador del turno de oficio tiene, pues, «ex» art. 119 L.E.Crim., como presupuesto la apreciación por el Juez de la existencia de un «hecho punible», con lo que su inexistencia hace que, «no sólo tales nombramientos apareciesen como innecesarios sino también como inconvenientes por razones de economía procesal» ( STC 217/1994). En la causa de la que procede este proceso no puede considerarse injustificado que el archivo de la misma, anteriormente decretado con toda regularidad, se pudiese llevar a efecto sin realizar previamente los nombramientos en cuestión, ante la evidencia para el Juez de la ausencia de relevancia penal de los actos denunciados, que no exigió, por otra parte, la realización de actuación instructora de ninguna clase [F.J. 4].</w:t>
      </w:r>
    </w:p>
    <w:p w:rsidR="006854DA" w:rsidRDefault="006854DA" w:rsidP="006854DA">
      <w:pPr>
        <w:pStyle w:val="Extracto"/>
      </w:pPr>
    </w:p>
    <w:p w:rsidR="006854DA" w:rsidRDefault="006854DA" w:rsidP="006854DA">
      <w:pPr>
        <w:pStyle w:val="Extracto"/>
      </w:pPr>
      <w:r>
        <w:t>2.</w:t>
      </w:r>
      <w:r>
        <w:tab/>
        <w:t xml:space="preserve">Debe recordarse la reiterada jurisprudencia de este Tribunal que declara que el querellante (lo que, sin mayor problema podemos trasladar al denunciante que, como ofendido, promueve la actividad jurisdiccional a través de su denuncia) no tiene derecho más que a una respuesta judicial razonada que bien puede ser el sobreseimiento o archivo de las actuaciones o, incluso, la inadmisión de la querella presentada (SSTC 11/1985, 148/1987, 33/1989, 191/1992, 37/1993, 217/1994 y 111/1995). A este respecto, debe distinguirse entre aquellos supuestos en los que la resolución judicial no excluya «ab initio» en los hechos denunciados las notas características de lo delictivo, de aquellos otros en que sí lo excluya. En el primer caso, existe un «ius ut procedatur», conforme al cual deben practicarse las actuaciones necesarias de investigación. No así, por el contrario, en aquellos casos en los que el órgano judicial entienda razonadamente que la conducta o los hechos imputados, suficientemente descritos en la querella, carecen de ilicitud penal, en cuyo caso el derecho a la jurisdicción que ejercen el denunciante y el querellante «no conlleva el de apertura de una instrucción» (STC 111/1995, en igual sentido, la STC 148/1987). Ello supone, como inmediata consecuencia, que el </w:t>
      </w:r>
      <w:r>
        <w:lastRenderedPageBreak/>
        <w:t>Juez, cuando se aprecie de forma evidente que los hechos denunciados carezcan de relevancia penal, deba realizar, con la mayor premura, las actuaciones necesarias para el inmediato archivo de la causa, como en el presente caso se ha hecho [F.J. 5].</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núm. 1.013/95, promovido por don Salvador Jesús Arrocha Arrocha, representado por la Procuradora de los Tribunales doña María de los Angeles Almansa Sanz y asistido por el Letrado don Matías Morante de la Calle, contra el Auto, de 7 de julio de 1994, dictado por el Juzgado de Instrucción núm. 4 de Vitoria (Alava), por el que se acuerda la incoación de diligencias previas núm. 1.267/94 y el archivo de las mismas, así como contra la providencia de 30 de diciembre de 1994, por la que se acuerda estar a lo dispuesto en la anterior resolución. Ha intervenido el Ministerio Fiscal. Ha sido Ponente el Magistrado don Pedro Cruz Villalón,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Con fecha 17 de marzo de 1995 tuvo entrada en el Registro General de este Tribunal un escrito de don Salvador Jesús Arrocha Arrocha, solicitando la designación de Abogado y Procurador del turno de oficio para interponer recurso de amparo contra el Auto, de 7 de julio de 1994, dictado por el Juzgado de Instrucción núm. 4 de Vitoria (Alava), por el que se acuerda la incoación de diligencias previas núm. 1.267/94 y el archivo de las mismas.</w:t>
      </w:r>
    </w:p>
    <w:p w:rsidR="006854DA" w:rsidRDefault="006854DA" w:rsidP="006854DA">
      <w:pPr>
        <w:pStyle w:val="TextoNormal"/>
      </w:pPr>
    </w:p>
    <w:p w:rsidR="006854DA" w:rsidRDefault="006854DA" w:rsidP="006854DA">
      <w:pPr>
        <w:pStyle w:val="TextoNormal"/>
      </w:pPr>
      <w:r w:rsidRPr="006854DA">
        <w:rPr>
          <w:rStyle w:val="NumeroAFNegritaCaracter"/>
        </w:rPr>
        <w:t>2</w:t>
      </w:r>
      <w:r>
        <w:t>. Por providencias de 2 y 23 de octubre de 1995 se tuvieron por designados Abogado y Procurador de los Tribunales del turno de oficio y se requirió a la representación del recurrente para que, en el plazo de veinte días, formalizara la demanda de amparo con los requisitos prevenidos en el art. 49 LOTC, sin perjuicio del derecho del Letrado a excusarse de la defensa en el plazo de diez días que previene el art. 9 del Acuerdo del Pleno del Tribunal Constitucional de 20 de diciembre de 1982. Por escrito de 6 de noviembre de 1995 se formuló la demanda de amparo.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Para la resolución del recurso deben tenerse en cuenta los siguientes antecedentes de hecho: </w:t>
      </w:r>
    </w:p>
    <w:p w:rsidR="006854DA" w:rsidRDefault="006854DA" w:rsidP="006854DA">
      <w:pPr>
        <w:pStyle w:val="TextoNormal"/>
      </w:pPr>
      <w:r>
        <w:lastRenderedPageBreak/>
        <w:t xml:space="preserve">a) El presente recurso trae su origen de la denuncia formulada por el recurrente, la cual motivó que se dictara el Auto de fecha 7 de julio de 1994 del Juzgado de Instrucción núm. 4 de Vitoria (Alava), por el que se acordó la incoación de las correspondientes diligencias previas y, simultáneamente, el archivo de las mismas, disponiéndose, a su vez, la notificación de dicha resolución al Ministerio Fiscal y al denunciante, librándose para ello exhorto al Juzgado de Paz de Aramaio, en el que se les previno que contra la misma podrían interponer, ante dicho Juzgado de Instrucción, recurso de reforma en el plazo de tres días. </w:t>
      </w:r>
    </w:p>
    <w:p w:rsidR="006854DA" w:rsidRDefault="006854DA" w:rsidP="006854DA">
      <w:pPr>
        <w:pStyle w:val="TextoNormal"/>
      </w:pPr>
      <w:r>
        <w:t xml:space="preserve">Las diligencias en cuestión se incoaron como consecuencia de la denuncia presentada por el demandante en las dependencias de la Ertzaintza por injurias o falsedad. En ella hizo constar que el denunciado, que era titular de la vivienda de la que el denunciante era arrendatario, acudió a la misma el día 13 de marzo de 1994, examinó su estado y quedó con el denunciante en que volvería el 26 de marzo para iniciar unas obras de rehabilitación, lo que no efectuó hasta el día 9 de abril, en que se presentó con un albañil. Tras exponer estos extremos, denunció lo siguiente: "Que el Sr. S. [el propietario] quedó en realizar [las referidas obras] el día 26 de marzo de 1994 y que no las realizó hasta el día 9 de abril de 1994, viéndole el 27 con el pie vendado al albañil. Que ese mismo día 9 de marzo de 1994 el albañil llevó a su domicilio una cocina de butano oxidada, y no la ha utilizado por lo que no sabe si funciona. Que asimismo quiere denunciar que el Sr. S. quiere desacreditar al denunciante, haciendo fotografías en su casa". </w:t>
      </w:r>
    </w:p>
    <w:p w:rsidR="006854DA" w:rsidRDefault="006854DA" w:rsidP="006854DA">
      <w:pPr>
        <w:pStyle w:val="TextoNormal"/>
      </w:pPr>
      <w:r>
        <w:t xml:space="preserve">Por el Ertzaina actuante se le informó del carácter semipúblico del delito denunciado, así como del derecho que le asiste a mostrarse parte en el procedimiento. </w:t>
      </w:r>
    </w:p>
    <w:p w:rsidR="006854DA" w:rsidRDefault="006854DA" w:rsidP="006854DA">
      <w:pPr>
        <w:pStyle w:val="TextoNormal"/>
      </w:pPr>
      <w:r>
        <w:t xml:space="preserve">La denuncia fue remitida al Juzgado, junto a la documentación aportada, a la vista de la cual, sin que el denunciante hubiese comparecido, el Juez dictó Auto de 7 de julio de 1994 en el que, a la vez que se incoaban diligencias previas, se decretaba su archivo, de conformidad con el art. 789.5, regla primera, L.E.Crim. al no ser los hechos constitutivos de infracción criminal. </w:t>
      </w:r>
    </w:p>
    <w:p w:rsidR="006854DA" w:rsidRDefault="006854DA" w:rsidP="006854DA">
      <w:pPr>
        <w:pStyle w:val="TextoNormal"/>
      </w:pPr>
      <w:r>
        <w:t xml:space="preserve">b) En virtud de las diligencias interesadas, mediante exhorto enviado por el Juzgado de Instrucción núm. 4 de Vitoria, se notifica en legal forma al recurrente, con entrega de la copia, el Auto de fecha 7 de julio de 1994, conforme se acredita con la diligencia practicada en el Juzgado de Paz de Aramaio el día 23 de noviembre de 1994. </w:t>
      </w:r>
    </w:p>
    <w:p w:rsidR="006854DA" w:rsidRDefault="006854DA" w:rsidP="006854DA">
      <w:pPr>
        <w:pStyle w:val="TextoNormal"/>
      </w:pPr>
      <w:r>
        <w:t xml:space="preserve">c) En este mismo día y ante el mismo Juzgado de Paz, se practica otra diligencia por la que dicho demandante manifiesta que el día 28 de julio de dicho año estuvo en el Juzgado Decano de Vitoria para que le fuese nombrado Abogado y Procurador de los Tribunales del turno de oficio, dejando la documentación del beneficio de justicia gratuita ese mismo día en el Colegio de Abogados. Puesto que solamente un Abogado y un Procurador, venía a añadir, pueden interponer los recursos oportunos, de no accederse a lo solicitado se le produciría indefensión, indicando que le correspondía a ese Juzgado del que procede el Auto dirigirse al Colegio de Abogados para que lleve a cabo los nombramientos interesados. Asimismo solicitó que se paralizara el plazo de tres días concedido a los efectos de la interposición de recurso, a fin de evitar su indefensión. </w:t>
      </w:r>
    </w:p>
    <w:p w:rsidR="006854DA" w:rsidRDefault="006854DA" w:rsidP="006854DA">
      <w:pPr>
        <w:pStyle w:val="TextoNormal"/>
      </w:pPr>
      <w:r>
        <w:t>d) Por último, el 30 de diciembre de 1994, sin que, previamente el demandante de amparo hubiese comparecido en las actuaciones, se dictó providencia en la que se ordenaba estar a lo dispuesto en el Auto de 7 de julio anterior, con lo que se presuponía su firmeza, y se archivaban las actuaciones.</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En cuanto a la fundamentación jurídica de la demanda, el recurrente denuncia la lesión de los derechos fundamentales reconocidos en los apartados primero y segundo del art. 24 C.E. Dicha vulneración se habría producido por las siguientes razones: </w:t>
      </w:r>
    </w:p>
    <w:p w:rsidR="006854DA" w:rsidRDefault="006854DA" w:rsidP="006854DA">
      <w:pPr>
        <w:pStyle w:val="TextoNormal"/>
      </w:pPr>
      <w:r>
        <w:lastRenderedPageBreak/>
        <w:t xml:space="preserve">a) El presente recurso se basa en una omisión de un órgano judicial que ha impedido agotar todos los recursos utilizables dentro de la vía jurisdiccional, ocasionando la indefensión del recurrente y, por tanto, impidiendo el derecho a la tutela judicial efectiva consagrado en el art. 24.1 C.E. </w:t>
      </w:r>
    </w:p>
    <w:p w:rsidR="006854DA" w:rsidRDefault="006854DA" w:rsidP="006854DA">
      <w:pPr>
        <w:pStyle w:val="TextoNormal"/>
      </w:pPr>
      <w:r>
        <w:t>b) En tal sentido, se hace constar que el recurrente solicitó, tan pronto como tuvo ocasión de ello, el nombramiento de Abogado y Procurador de los Tribunales del turno de oficio, así como la suspensión del plazo impugnatorio, hasta que tuvieran lugar dichos nombramientos, para interponer el pertinente recurso e invocó, al mismo tiempo, que la falta de dichas designaciones ocasionaría una vulneración del mencionado precepto constitucional.</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8 de enero de 1996, a tenor de lo dispuesto en el art. 50.3 LOTC, se acordó dar traslado al Ministerio Fiscal y al recurrente en amparo a los efectos de que en el plazo máximo e improrrogable de diez días, manifestaran lo que tuvieran por conveniente en relación con la posible concurrencia del siguiente motivo de inadmisión previsto en el art. 50.1 c) LOTC: "Carecer la demanda manifiestamente de contenido que justifique una decisión sobre el fondo de la misma por parte de este Tribunal Constitucional".</w:t>
      </w:r>
    </w:p>
    <w:p w:rsidR="006854DA" w:rsidRDefault="006854DA" w:rsidP="006854DA">
      <w:pPr>
        <w:pStyle w:val="TextoNormal"/>
      </w:pPr>
    </w:p>
    <w:p w:rsidR="006854DA" w:rsidRDefault="006854DA" w:rsidP="006854DA">
      <w:pPr>
        <w:pStyle w:val="TextoNormal"/>
      </w:pPr>
      <w:r w:rsidRPr="006854DA">
        <w:rPr>
          <w:rStyle w:val="NumeroAFNegritaCaracter"/>
        </w:rPr>
        <w:t>6</w:t>
      </w:r>
      <w:r>
        <w:t>. El demandante, mediante escrito registrado el día 17 de enero de 1996, reiteró los argumentos contenidos en su demanda de amparo.</w:t>
      </w:r>
    </w:p>
    <w:p w:rsidR="006854DA" w:rsidRDefault="006854DA" w:rsidP="006854DA">
      <w:pPr>
        <w:pStyle w:val="TextoNormal"/>
      </w:pPr>
    </w:p>
    <w:p w:rsidR="006854DA" w:rsidRDefault="006854DA" w:rsidP="006854DA">
      <w:pPr>
        <w:pStyle w:val="TextoNormal"/>
      </w:pPr>
      <w:r w:rsidRPr="006854DA">
        <w:rPr>
          <w:rStyle w:val="NumeroAFNegritaCaracter"/>
        </w:rPr>
        <w:t>7</w:t>
      </w:r>
      <w:r>
        <w:t>. El Ministerio Fiscal, por escrito registrado el día 22 de enero de 1996, manifestó la necesidad de proceder a la suspensión del trámite concedido, a fin de que se procediera a reclamar el testimonio de las actuaciones judiciales que motivan el presente recurso de amparo constitucional.</w:t>
      </w:r>
    </w:p>
    <w:p w:rsidR="006854DA" w:rsidRDefault="006854DA" w:rsidP="006854DA">
      <w:pPr>
        <w:pStyle w:val="TextoNormal"/>
      </w:pPr>
    </w:p>
    <w:p w:rsidR="006854DA" w:rsidRDefault="006854DA" w:rsidP="006854DA">
      <w:pPr>
        <w:pStyle w:val="TextoNormal"/>
      </w:pPr>
      <w:r w:rsidRPr="006854DA">
        <w:rPr>
          <w:rStyle w:val="NumeroAFNegritaCaracter"/>
        </w:rPr>
        <w:t>8</w:t>
      </w:r>
      <w:r>
        <w:t>. Por providencia de 29 de enero de 1996 se acordó, a tenor de lo dispuesto en el art.88 LOTC, librar atenta comunicación al Juzgado de Instrucción núm. 4 de Vitoria (Alava) para que, en el plazo de diez días, remitiera testimonio íntegro de las diligencias previas núm. 1.267/94.</w:t>
      </w:r>
    </w:p>
    <w:p w:rsidR="006854DA" w:rsidRDefault="006854DA" w:rsidP="006854DA">
      <w:pPr>
        <w:pStyle w:val="TextoNormal"/>
      </w:pPr>
    </w:p>
    <w:p w:rsidR="006854DA" w:rsidRDefault="006854DA" w:rsidP="006854DA">
      <w:pPr>
        <w:pStyle w:val="TextoNormal"/>
      </w:pPr>
      <w:r w:rsidRPr="006854DA">
        <w:rPr>
          <w:rStyle w:val="NumeroAFNegritaCaracter"/>
        </w:rPr>
        <w:t>9</w:t>
      </w:r>
      <w:r>
        <w:t>. Recibido el testimonio solicitado, por providencia de 4 de marzo de 1996, y a tenor de lo dispuesto en el art. 50.3 LOTC, se acordó, nuevamente, dar traslado al Ministerio Fiscal y al recurrente en amparo a los efectos de que, en el plazo máximo e improrrogable de diez días, manifestaran lo que tuvieran por conveniente en relación con la posible concurrencia del siguiente motivo de inadmisión previsto en el art. 50.1 c) LOTC: "Carecer la demanda manifiestamente de contenido que justifique una decisión sobre el fondo de la misma por parte de este Tribunal Constitucional".</w:t>
      </w:r>
    </w:p>
    <w:p w:rsidR="006854DA" w:rsidRDefault="006854DA" w:rsidP="006854DA">
      <w:pPr>
        <w:pStyle w:val="TextoNormal"/>
      </w:pPr>
    </w:p>
    <w:p w:rsidR="006854DA" w:rsidRDefault="006854DA" w:rsidP="006854DA">
      <w:pPr>
        <w:pStyle w:val="TextoNormal"/>
      </w:pPr>
      <w:r w:rsidRPr="006854DA">
        <w:rPr>
          <w:rStyle w:val="NumeroAFNegritaCaracter"/>
        </w:rPr>
        <w:t>10</w:t>
      </w:r>
      <w:r>
        <w:t>. Por escrito registrado el día 18 de marzo de 1996, la representación procesal del demandante se ratificó en los escritos de alegaciones efectuados en el presente recurso de amparo constitucional.</w:t>
      </w:r>
    </w:p>
    <w:p w:rsidR="006854DA" w:rsidRDefault="006854DA" w:rsidP="006854DA">
      <w:pPr>
        <w:pStyle w:val="TextoNormal"/>
      </w:pPr>
    </w:p>
    <w:p w:rsidR="006854DA" w:rsidRDefault="006854DA" w:rsidP="006854DA">
      <w:pPr>
        <w:pStyle w:val="TextoNormal"/>
      </w:pPr>
      <w:r w:rsidRPr="006854DA">
        <w:rPr>
          <w:rStyle w:val="NumeroAFNegritaCaracter"/>
        </w:rPr>
        <w:t>11</w:t>
      </w:r>
      <w:r>
        <w:t>. El Ministerio Fiscal registró su escrito el día 21 de marzo de 1996, manifestando que no carecían de contenido constitucional las vulneraciones constitucionales denunciadas por el demandante en su solicitud de amparo constitucional.</w:t>
      </w:r>
    </w:p>
    <w:p w:rsidR="006854DA" w:rsidRDefault="006854DA" w:rsidP="006854DA">
      <w:pPr>
        <w:pStyle w:val="TextoNormal"/>
      </w:pPr>
    </w:p>
    <w:p w:rsidR="006854DA" w:rsidRDefault="006854DA" w:rsidP="006854DA">
      <w:pPr>
        <w:pStyle w:val="TextoNormal"/>
      </w:pPr>
      <w:r w:rsidRPr="006854DA">
        <w:rPr>
          <w:rStyle w:val="NumeroAFNegritaCaracter"/>
        </w:rPr>
        <w:t>12</w:t>
      </w:r>
      <w:r>
        <w:t>. Por providencia de 12 de abril de 1995, se acordó la admisión a trámite de la demanda de amparo, así como, a tenor de lo dispuesto en el art.51 LOTC, el emplazamiento de los denunciados en las diligencias previas 1.267/94, para que en el plazo máximo e improrrogable de diez días comparecieran en el presente procedimiento constitucional.</w:t>
      </w:r>
    </w:p>
    <w:p w:rsidR="006854DA" w:rsidRDefault="006854DA" w:rsidP="006854DA">
      <w:pPr>
        <w:pStyle w:val="TextoNormal"/>
      </w:pPr>
    </w:p>
    <w:p w:rsidR="006854DA" w:rsidRDefault="006854DA" w:rsidP="006854DA">
      <w:pPr>
        <w:pStyle w:val="TextoNormal"/>
      </w:pPr>
      <w:r w:rsidRPr="006854DA">
        <w:rPr>
          <w:rStyle w:val="NumeroAFNegritaCaracter"/>
        </w:rPr>
        <w:t>13</w:t>
      </w:r>
      <w:r>
        <w:t>. Por providencia de 10 de junio de 1996, conforme a lo dispuesto en el art. 52 LOTC, se acordó dar vista de las actuaciones recibidas, y de todas las demás actuaciones del presente recurso de amparo en Secretaría, y por un plazo común de veinte días, al Ministerio Fiscal y a la representación procesal del recurrente en amparo para que, dentro de dicho plazo, pudieran presentar las alegaciones que a su derecho conviniera.</w:t>
      </w:r>
    </w:p>
    <w:p w:rsidR="006854DA" w:rsidRDefault="006854DA" w:rsidP="006854DA">
      <w:pPr>
        <w:pStyle w:val="TextoNormal"/>
      </w:pPr>
    </w:p>
    <w:p w:rsidR="006854DA" w:rsidRDefault="006854DA" w:rsidP="006854DA">
      <w:pPr>
        <w:pStyle w:val="TextoNormal"/>
      </w:pPr>
      <w:r w:rsidRPr="006854DA">
        <w:rPr>
          <w:rStyle w:val="NumeroAFNegritaCaracter"/>
        </w:rPr>
        <w:t>14</w:t>
      </w:r>
      <w:r>
        <w:t>. La representación procesal del recurrente en amparo, mediante escrito de 20 de junio de 1996, se ratificó en los ya presentados, conteniendo en síntesis idénticas alegaciones.</w:t>
      </w:r>
    </w:p>
    <w:p w:rsidR="006854DA" w:rsidRDefault="006854DA" w:rsidP="006854DA">
      <w:pPr>
        <w:pStyle w:val="TextoNormal"/>
      </w:pPr>
    </w:p>
    <w:p w:rsidR="006854DA" w:rsidRDefault="006854DA" w:rsidP="006854DA">
      <w:pPr>
        <w:pStyle w:val="TextoNormal"/>
      </w:pPr>
      <w:r w:rsidRPr="006854DA">
        <w:rPr>
          <w:rStyle w:val="NumeroAFNegritaCaracter"/>
        </w:rPr>
        <w:t>15</w:t>
      </w:r>
      <w:r>
        <w:t xml:space="preserve">. El Ministerio Fiscal, por escrito de 4 de julio de 1996, interesó el otorgamiento del amparo. Entiende que las dos vulneraciones denunciadas deben analizarse conjuntamente. La queja del presente recurso de amparo se centra, con cita del art. 24.1 y 2 C.E., en los derechos de acceso al recurso y derecho de asistencia letrada, en los que resalta que, tras habérsele notificado al Sr. Arrocha Arrocha el Auto de archivo de las diligencias previas incoadas en virtud de su denuncia, no se le designó Abogado y Procurador de oficio, tal como había instado, a fin de formular contra el Auto de archivo, los recursos de reforma y subsidiariamente, en su caso, el de apelación. </w:t>
      </w:r>
    </w:p>
    <w:p w:rsidR="006854DA" w:rsidRDefault="006854DA" w:rsidP="006854DA">
      <w:pPr>
        <w:pStyle w:val="TextoNormal"/>
      </w:pPr>
      <w:r>
        <w:t xml:space="preserve">Todo ello nos lleva, continua el Ministerio Fiscal, inevitablemente, a analizar en términos de proporcionalidad y razonabilidad la actuación procesal del órgano judicial cuya resolución se recurre en amparo. Se aprecia que se omite toda actuación ante la petición de suspensión de plazo para recurrir y nombramiento de Abogado y Procurador del turno de oficio, a pesar de que, al notificársele el Auto de 7 de julio de 1994, el Sr. Arrocha hizo constar que el día 28 de julio estuvo en el Juzgado Decano para que se nombrase Abogado y Procurador de oficio. </w:t>
      </w:r>
    </w:p>
    <w:p w:rsidR="006854DA" w:rsidRDefault="006854DA" w:rsidP="006854DA">
      <w:pPr>
        <w:pStyle w:val="TextoNormal"/>
      </w:pPr>
      <w:r>
        <w:t xml:space="preserve">Ante la noticia de esa petición y habiendo advertido el Auto de archivo que contra el mismo cabía recurso de reforma, parece prudente pensar que el Juzgado de Instrucción debió interesar del Juzgado Decano la documentación pertinente. En todo caso, y habiendo manifestado el denunciante su deseo de recurrir y de recibir la asistencia letrada que le era necesaria a tal efecto, el Juzgado nunca debió dar la callada por respuesta sino que debió proveer a tal petición, positiva o negativamente, ya que estaban en juego esenciales derechos fundamentales. Sin embargo, el Juzgado, en providencia de 30 de diciembre de 1994, tuvo por cumplimentado el exhorto y archivó la causa. </w:t>
      </w:r>
    </w:p>
    <w:p w:rsidR="006854DA" w:rsidRDefault="006854DA" w:rsidP="006854DA">
      <w:pPr>
        <w:pStyle w:val="TextoNormal"/>
      </w:pPr>
      <w:r>
        <w:t xml:space="preserve">El Ministerio Fiscal resalta que el Sr. Arrocha Arrocha tenía un legítimo derecho, pues era denunciante, a mostrarse parte en el proceso. A tal efecto no puede ignorarse el alcance antiformalista del art.783, párrafo segundo L.E.Crim., que no parece haberse cumplido en el caso de autos. De igual manera tenía derecho a acceder al sistema de recursos, para lo que era imprescindible la designación, al menos, de Letrado. Ello nos lleva al derecho de defensa y asistencia letrada (art. 24.2 C.E.), ya que el demandante de amparo interesó la designación de dichos profesionales ante el Juzgado Decano, que no era el procesalmente competente, pero resulta incuestionable que el Juzgado Instructor tuvo noticias de ello </w:t>
      </w:r>
      <w:r>
        <w:lastRenderedPageBreak/>
        <w:t xml:space="preserve">cuando recibió la diligencia de citación judicial del Sr. Arrocha. Es éste, a juicio del Ministerio Fiscal, el punto esencial, ya que el Juzgado nada hizo ni respondió, ni consta tampoco la reacción del Juzgado Decano a la petición del Sr. Arrocha. Al no hacerlo así, el Juzgado incurrió en vulneración del art. 24.1 y 2 C.E. </w:t>
      </w:r>
    </w:p>
    <w:p w:rsidR="006854DA" w:rsidRDefault="006854DA" w:rsidP="006854DA">
      <w:pPr>
        <w:pStyle w:val="TextoNormal"/>
      </w:pPr>
      <w:r>
        <w:t xml:space="preserve">Este planteamiento, alega, resulta congruente con una constante jurisprudencia del Tribunal Constitucional entre la que cabe destacar, entre otras, las SSTC 216/1988 (fundamento jurídico 2º), 37/1989 y 175/1994. </w:t>
      </w:r>
    </w:p>
    <w:p w:rsidR="006854DA" w:rsidRDefault="006854DA" w:rsidP="006854DA">
      <w:pPr>
        <w:pStyle w:val="TextoNormal"/>
      </w:pPr>
      <w:r>
        <w:t>El alcance del amparo debe suponer la anulación de la providencia de archivo, la reapertura de las diligencias previas de Autos y la provisión por el Juzgado de Instrucción a las peticiones de designación de Abogado y Procurador de oficio interesadas, si lo estimara pertinente, la documentación aportada por el Sr. Arrocha, en el Juzgado Decano de los de Vitoria.</w:t>
      </w:r>
    </w:p>
    <w:p w:rsidR="006854DA" w:rsidRDefault="006854DA" w:rsidP="006854DA">
      <w:pPr>
        <w:pStyle w:val="TextoNormal"/>
      </w:pPr>
    </w:p>
    <w:p w:rsidR="006854DA" w:rsidRDefault="006854DA" w:rsidP="006854DA">
      <w:pPr>
        <w:pStyle w:val="TextoNormal"/>
      </w:pPr>
      <w:r w:rsidRPr="006854DA">
        <w:rPr>
          <w:rStyle w:val="NumeroAFNegritaCaracter"/>
        </w:rPr>
        <w:t>16</w:t>
      </w:r>
      <w:r>
        <w:t>. Por providencia de fecha veintiuno de julio de 1997, se señaló para la deliberación y votación de la presente Sentencia el día 22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Alega el demandante de amparo la vulneración de su derecho a la tutela judicial efectiva sin indefensión al no haber podido recurrir el Auto de 7 de julio de 1994, del Juzgado de Instrucción núm. 4 de Vitoria-Gasteiz, que decretaba el archivo de una de las actuaciones incoadas a raíz de una denuncia en su día formulada por él. Dicha imposibilidad derivaría de la circunstancia de no haberse dado curso a su petición de designación de Abogado y Procurador del turno de oficio, con suspensión del plazo para recurrir, expresada en el momento en que se le notificó dicho Auto. Con ello se le habría impedido el acceso al sistema de recursos, conduciendo a que el Juzgado procediese a archivar las actuaciones en cumplimiento del referido Auto, lo que se acordó por providencia de 30 de diciembre de 1994, que, obviamente, presuponía la firmeza de aquél.</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Las diligencias en cuestión se incoaron, como extensamente se narra en el Antecedente tercero de esta Sentencia, a raíz de la denuncia presentada por el demandante en dependencias de la Ertzaintza por injurias o falsedad, relatando unos hechos cuya evidente nimiedad no debe quedar sin mención en el marco de un recurso de amparo ante este Tribunal Constitucional.  En ese momento se le informó del carácter semipúblico del delito denunciado, así como del derecho que al mismo le asistía a mostrarse parte en el procedimiento. La denuncia fue remitida al Juzgado junto a la documentación aportada, a la vista de la cual, sin que el denunciante hubiese comparecido, el Juez dictó Auto el 7 de julio de 1994 en el que, a la vez que se incoaban diligencias previas, se decretaba su archivo, de conformidad con el art.  789.5, regla primera L.E.Crim., al no ser los hechos constitutivos de infracción criminal. Se ordenaba que se notificase la resolución al denunciante, lo que no se llevó a efecto hasta el día 23 de noviembre de 1994, a través del Juzgado de Paz de Aramaio. Al recibir la notificación, solicitó que se suspendiese el plazo de tres días para interponer el recurso procedente hasta que se produjese la solicitada designación, que, según manifestó, había instado con anterioridad del Juzgado Decano. El Juzgado de Instrucción, una vez comprobado que se había realizado la notificación, dictó providencia el 30 de diciembre de 1994, transcurrido más de un mes desde la notificación y sin que el </w:t>
      </w:r>
      <w:r>
        <w:lastRenderedPageBreak/>
        <w:t>demandante hubiese realizado, entre tanto, ninguna actuación procesal, en la que ordenaba que se estuviese a lo acordado y se procediese al archivo de las actuaciones.</w:t>
      </w:r>
    </w:p>
    <w:p w:rsidR="006854DA" w:rsidRDefault="006854DA" w:rsidP="006854DA">
      <w:pPr>
        <w:pStyle w:val="TextoNormal"/>
      </w:pPr>
    </w:p>
    <w:p w:rsidR="006854DA" w:rsidRDefault="006854DA" w:rsidP="006854DA">
      <w:pPr>
        <w:pStyle w:val="TextoNormal"/>
      </w:pPr>
      <w:r w:rsidRPr="006854DA">
        <w:rPr>
          <w:rStyle w:val="NumeroAFNegritaCaracter"/>
        </w:rPr>
        <w:t>3</w:t>
      </w:r>
      <w:r>
        <w:t>. El Fiscal interesa que se otorgue el amparo. Entiende que se debe analizar en términos de proporcionalidad y razonabilidad la actuación procesal del órgano judicial cuya resolución se recurre en amparo. Llega a esta conclusión a partir de la circunstancia de que el Juzgado tuvo conocimiento de que, al notificarse el Auto, se formuló una petición de suspensión del plazo para recurrir y se alegó por el demandante que, con anterioridad, había solicitado Abogado y procurador de oficio. Aunque la vía en que formuló esta solicitud fuese inadecuada, el Juzgado de Instrucción debería haber dado una respuesta, al tener conocimiento de ello. Sin embargo, nada hizo ni respondió, con lo que vulneró el art. 24.1 y 2 C.E.</w:t>
      </w:r>
    </w:p>
    <w:p w:rsidR="006854DA" w:rsidRDefault="006854DA" w:rsidP="006854DA">
      <w:pPr>
        <w:pStyle w:val="TextoNormal"/>
      </w:pPr>
    </w:p>
    <w:p w:rsidR="006854DA" w:rsidRDefault="006854DA" w:rsidP="006854DA">
      <w:pPr>
        <w:pStyle w:val="TextoNormal"/>
      </w:pPr>
      <w:r w:rsidRPr="006854DA">
        <w:rPr>
          <w:rStyle w:val="NumeroAFNegritaCaracter"/>
        </w:rPr>
        <w:t>4</w:t>
      </w:r>
      <w:r>
        <w:t>. El demandante de amparo, tal como se ha señalado centra, en definitiva, su queja en la pérdida de un recurso, de la que es instrumental la falta de respuesta a la petición de designación de Abogado y Procurador de oficio. Es de tener en cuenta, sin embargo, que tal derecho a la designación de Abogado y Procurador de oficio "únicamente despliega toda su eficacia en relación con el imputado en un proceso penal, siendo en todos los demás casos, un derecho relativo sometido a diversos condicionamientos procesales y materiales, entre ellos los previstos en el art. 119 de la L.E.Crim., en el que se requiere la existencia de un hecho punible (ATC 356/1992, fundamento jurídico único)" (STC 217/1994, fundamento jurídico 2º). La existencia del derecho al nombramiento de Abogado y Procurador del turno de oficio tiene, pues, ex art. 119 L.E.Crim., como presupuesto la apreciación por el Juez de la existencia de un "hecho punible", con lo que su inexistencia hace que, "no sólo tales nombramientos apareciesen como innecesarios sino también como inconvenientes por razones de economía procesal" (STC 217/1994, fundamento jurídico 2º).</w:t>
      </w:r>
    </w:p>
    <w:p w:rsidR="006854DA" w:rsidRDefault="006854DA" w:rsidP="006854DA">
      <w:pPr>
        <w:pStyle w:val="TextoNormal"/>
      </w:pPr>
      <w:r>
        <w:t>Ello ha llevado a este Tribunal a constatar la existencia de supuestos en los que, en virtud de la circunstancias del caso, no es posible considerar que la decisión de sobreseer las diligencias sin responder a la solicitud del denunciante de que se le nombrase Abogado y Procurador del turno de oficio suponga una vulneración del derecho a la tutela judicial efectiva (STC 131/1991). En este sentido, la reciente STC 120/1997 ha declarado que debe tomarse en consideración, a estos efectos, diversos factores, tales como la existencia de otro derecho fundamental cuya tutela se intente a través del proceso penal iniciado con la denuncia en cuestión; la concreción, desde el inicio, del hecho denunciado; o el alcance de la actividad judicial exigible para resolver el asunto, especialmente si se limita a la mera constatación de la inexistencia de una actuación delictiva, que resultase evidente, o si, contrariamente, integra la prática de actividad instructora de cualquier clase.</w:t>
      </w:r>
    </w:p>
    <w:p w:rsidR="006854DA" w:rsidRDefault="006854DA" w:rsidP="006854DA">
      <w:pPr>
        <w:pStyle w:val="TextoNormal"/>
      </w:pPr>
      <w:r>
        <w:t>En la causa de la que procede este proceso no puede considerarse injustificado que el archivo de la misma, anteriormente decretado con toda regularidad, se pudiese llevar a efecto sin realizar previamente los nombramientos en cuestión, ante la evidencia para el Juez de la ausencia de relevancia penal de los actos denunciados, que no exigió, por otra parte, la realización de actuación instructora de ninguna clase.</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Por último, no cabe ignorar que, desde la perspectiva del denunciado, el órgano judicial está obligado a velar por el respeto de sus derechos y, en lo que aquí nos atañe especialmente, por su derecho a un proceso sin dilaciones indebidas, que se reconoce en la Constitución (art.  24.2) y se proyecta en el mandato contenido en diversos preceptos de la </w:t>
      </w:r>
      <w:r>
        <w:lastRenderedPageBreak/>
        <w:t>Ley de Enjuiciamiento Criminal.  Así, en los arts. 119, párrafo tercero de la L.E.Crim., al excluir "notificación alguna que prolongue o detenga el curso de la causa"; 269 L.E.Crim. que los Jueces "se abstendrán de todo procedimiento" cuando el hecho denunciado "no revistiere de delito o que la denuncia fuere manifiestamente falsa"; 313 L.E.Crim., que impone la desestimación de la querella cuando los hechos "no constituyan delito"; o el propio art. 789.5 L.E.Crim., que condiciona la práctica de las diligencias de toma de declaración al imputado e instrucción al perjudicado de sus derechos a que "sean necesarias".</w:t>
      </w:r>
    </w:p>
    <w:p w:rsidR="006854DA" w:rsidRDefault="006854DA" w:rsidP="006854DA">
      <w:pPr>
        <w:pStyle w:val="TextoNormal"/>
      </w:pPr>
      <w:r>
        <w:t>En este sentido, debe recordarse la reiterada jurisprudencia de este Tribunal que declara que el querellante (lo que, sin mayor problema podemos trasladar al denunciante que, como ofendido, promueve la actividad jurisdiccional a través de su denuncia) no tiene derecho más que a una respuesta judicial razonada que bien puede ser el sobreseimiento o archivo de las actuaciones o, incluso, la inadmisión de la querella presentada (SSTC 11/1985, 148/1987, 33/1989, 191/1992, 37/1993, 217/1994 y 111/1995). A este respecto, debe distinguirse entre aquellos supuestos en los que la resolución judicial no excluya ab initio en los hechos denunciados las notas características de lo delictivo, de aquellos otros en que sí lo excluya. En el primer caso, existe un ius ut procedatur, conforme al cual deben practicarse las actuaciones necesarias de investigación. No así, por el contrario, en aquellos casos en los que el órgano judicial entienda razonadamente que la conducta o los hechos imputados, suficientemente descritos en la querella, carecen de ilicitud penal, en cuyo caso el derecho a la jurisdicción que ejercen el denunciante y el querellante "no conlleva el de apertura de una instrucción" (STC 111/1995, fundamento jurídico 4º; en igual sentido, la STC 148/1987, fundamento jurídico 2º). Ello supone, como inmediata consecuencia, que el Juez, cuando se aprecie de forma evidente que los hechos denunciados carezcan de relevancia penal, deba realizar, con la mayor premura, las actuaciones necesarias para el inmediato archivo de la causa, como en el presente caso se ha hecho.</w:t>
      </w:r>
    </w:p>
    <w:p w:rsidR="006854DA" w:rsidRDefault="006854DA" w:rsidP="006854DA">
      <w:pPr>
        <w:pStyle w:val="TextoNormal"/>
      </w:pPr>
    </w:p>
    <w:p w:rsidR="006854DA" w:rsidRDefault="006854DA" w:rsidP="006854DA">
      <w:pPr>
        <w:pStyle w:val="TextoNormal"/>
      </w:pPr>
      <w:r w:rsidRPr="006854DA">
        <w:rPr>
          <w:rStyle w:val="NumeroAFNegritaCaracter"/>
        </w:rPr>
        <w:t>6</w:t>
      </w:r>
      <w:r>
        <w:t>. La consecuencia de las anteriores consideraciones no puede ser otra que la de considerar irrelevante desde la perspectiva de los derechos fundamentales la pérdida de recursos que la denegación tácita de la petición de designación de Abogado y Procurador del turno de oficio ha producido al demandante de amparo, toda vez que, para que el cierre de la vía de recurso suponga una vulneración del derecho a la tutela judicial efectiva, ha de haberse hecho "arbitrariamente o intuitu personae" (STC 37/95). En efecto, no puede reputarse arbitrario denegar un recurso que presuponía la previa designación de Abogado de oficio en un proceso ya concluido a quien, habiendo podido ser parte, no lo fue y que ni siquiera utilizó adecuadamente los cauces procesales al haber expresado su voluntad de interponerlo y formulado su solicitud ante un órgano incompetente.</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CONCEDE LA CONSTITUCIÓN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la presente demanda de amparo.</w:t>
      </w:r>
    </w:p>
    <w:p w:rsidR="006854DA" w:rsidRDefault="006854DA" w:rsidP="006854DA">
      <w:pPr>
        <w:pStyle w:val="TextoNormal"/>
      </w:pPr>
    </w:p>
    <w:p w:rsidR="006854DA" w:rsidRDefault="006854DA" w:rsidP="006854DA">
      <w:pPr>
        <w:pStyle w:val="TextoNormal"/>
      </w:pPr>
      <w:r>
        <w:t>Publiquese esta Sentencia en el "Boletín Oficial del Estado".</w:t>
      </w:r>
    </w:p>
    <w:p w:rsidR="006854DA" w:rsidRDefault="006854DA" w:rsidP="006854DA">
      <w:pPr>
        <w:pStyle w:val="TextoNormal"/>
      </w:pPr>
      <w:r>
        <w:lastRenderedPageBreak/>
        <w:t>Dada en Madrid, a veintidos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5" w:name="SENTENCIA_1997_139"/>
      <w:r>
        <w:lastRenderedPageBreak/>
        <w:t>SENTENCIA 139/1997, de 22 de julio de 1997</w:t>
      </w:r>
    </w:p>
    <w:bookmarkEnd w:id="55"/>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ECLI:ES:TC:1997:139</w:t>
      </w:r>
    </w:p>
    <w:p w:rsidR="006854DA" w:rsidRDefault="006854DA" w:rsidP="006854DA">
      <w:pPr>
        <w:pStyle w:val="SntesisDescriptiva"/>
      </w:pPr>
    </w:p>
    <w:p w:rsidR="006854DA" w:rsidRDefault="006854DA" w:rsidP="006854DA">
      <w:pPr>
        <w:pStyle w:val="SntesisDescriptiva"/>
      </w:pPr>
      <w:r>
        <w:t>Recurso de amparo 1.286/1995. Contra Sentencia de la Sala de lo Contencioso-Administrativo del T.S.J. de Andalucía, que desestimó recurso interpuesto contra Acuerdo del Tribunal Económico-Administrativo Regional de Andalucía desestimatorio de reclamación frente a las providencias de apremio de la Tesorería Territorial de la Seguridad Social de Sevilla y Resolución desestimatoria de la reposición formulada contra aquellas.</w:t>
      </w:r>
    </w:p>
    <w:p w:rsidR="006854DA" w:rsidRDefault="006854DA" w:rsidP="006854DA">
      <w:pPr>
        <w:pStyle w:val="SntesisDescriptiva"/>
      </w:pPr>
    </w:p>
    <w:p w:rsidR="006854DA" w:rsidRDefault="006854DA" w:rsidP="006854DA">
      <w:pPr>
        <w:pStyle w:val="SntesisAnaltica"/>
      </w:pPr>
      <w:r>
        <w:t>Vulneración del derecho a la tutela judicial efectiva: carencia en pronunciamiento expreso de la resolución recurrida.</w:t>
      </w:r>
    </w:p>
    <w:p w:rsidR="006854DA" w:rsidRDefault="006854DA" w:rsidP="006854DA">
      <w:pPr>
        <w:pStyle w:val="SntesisAnaltica"/>
      </w:pPr>
    </w:p>
    <w:p w:rsidR="006854DA" w:rsidRDefault="006854DA" w:rsidP="006854DA">
      <w:pPr>
        <w:pStyle w:val="Extracto"/>
      </w:pPr>
      <w:r>
        <w:t>1.</w:t>
      </w:r>
      <w:r>
        <w:tab/>
        <w:t>A la vista del razonamiento desplegado en los fundamentos jurídicos 2 y 3 de la Sentencia sometida a nuestro enjuiciamiento constitucional, se constata una patente incoherencia o quiebra del discurso lógico, contraída a la manifiesta discordancia entre lo reflejado en aquél, el segundo fundamento jurídico (la invocación por el interesado del oportuno pago) y la conclusión alcanzada en el tercero (la desestimación del recurso por falta de justificación y, aun, de mera alegación de la correspondiente causa, singularmente el pago, enervante de la pertinencia del apremio). Incoherencia que, en los términos de la STC 117/1996, es constitutiva de una insuficiencia de la motivación exigible ( SSTC, entre otras, 153/1995 y 32/1996), generadora de transgresión del art. 24.1 C.E. [F.J. 2].</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 xml:space="preserve">En el recurso de amparo núm. 1.286/95, interpuesto por don Antonio Merina Jiménez, representado por el Procurador don Francisco Álvarez del Valle García y defendido por el Abogado don Esteban Ceca Magán, contra la Sentencia de la Sala de lo Contencioso- Administrativo del Tribunal Superior de Justicia de Andalucía, sede de Sevilla, de 30 de enero de 1995, en cuya virtud fue desestimado el recurso tramitado con el núm. 5.407/92. Ha intervenido el Ministerio Fiscal y han sido parte el Abogado del Estado, en la representación que legalmente ostenta, y la Letrada doña Pilar Madrid Yagüe, en nombre de la </w:t>
      </w:r>
      <w:r>
        <w:lastRenderedPageBreak/>
        <w:t>Tesorería General de la Seguridad Social. Ha sido Ponente el Magistrado don Manuel Jiménez de Parga y Cabrera,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Mediante escrito presentado en el Juzgado de Guardia de Madrid el día 6 de abril de 1995, y registrado ante este Tribunal el siguiente 7, el Procurador de los Tribunales don Francisco Álvarez del Valle García, en nombre y representación de don Antonio Merina Jiménez, formula demanda de amparo constitucional contra la Sentencia, recaída en el proceso núm. 5.407/92, de la Sala de lo Contencioso-Administrativo del Tribunal Superior de Justicia de Andalucía, sede de Sevilla, de 30 de enero de 1995, en cuya virtud fue desestimado el recurso interpuesto contra el Acuerdo del Tribunal Económico Administrativo Regional de Andalucía de 17 de julio de 1992, resolutorio de la reclamación núm. 41/1.628/90, que desestimó la entablada frente a las providencias de apremio de la Tesorería Territorial de la Seguridad Social de Sevilla, núms. 802, 803 y 804 de 1990, y la Resolución de 20 de abril de 1990, desestimatoria de la reposición formulada contra aquéllas.</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de que trae causa la demanda de amparo relevantes para la resolución del caso son, en síntesis, los siguientes: </w:t>
      </w:r>
    </w:p>
    <w:p w:rsidR="006854DA" w:rsidRDefault="006854DA" w:rsidP="006854DA">
      <w:pPr>
        <w:pStyle w:val="TextoNormal"/>
      </w:pPr>
      <w:r>
        <w:t xml:space="preserve">a) De resultas de las actas de liquidación núms. 717, 718 y 719 de 14 de abril de 1983, levantadas por la Inspección Provincial de Trabajo de Sevilla, fueron giradas, por un importe de 1.136.499 pesetas, las certificaciones de descubierto núms. 661/43, 772/44 y 770/42 de 1988, correspondientes al período comprendido entre el 3 de julio de 1980 y el 31 de diciembre de 1982, por falta de cotización en el régimen general de la Seguridad Social de dos trabajadores. </w:t>
      </w:r>
    </w:p>
    <w:p w:rsidR="006854DA" w:rsidRDefault="006854DA" w:rsidP="006854DA">
      <w:pPr>
        <w:pStyle w:val="TextoNormal"/>
      </w:pPr>
      <w:r>
        <w:t xml:space="preserve">b) Declarada inadmisible la alzada interpuesta contra las meritadas certificaciones de descubierto, el interesado dedujo, luego de la desestimación del recurso de reposición entablado, reclamación económico-administrativa contra las providencias de apremio de que queda constancia, y en cuya fundamentación se aducía el error en que había incurrido la Administración al estimar la concurrencia de la oportuna relación de trabajo entre el interesado y los trabajadores afectados, siendo así, se argumentaba, que aquella relación vinculaba a éstos con la entidad Sociedad Europea de Clínicas, S.A., así como en la no toma en consideración, como enervante de las providencias de apremio, del pago por la últimamente citada del importe a que se contraían las certificaciones de descubierto en su momento giradas. </w:t>
      </w:r>
    </w:p>
    <w:p w:rsidR="006854DA" w:rsidRDefault="006854DA" w:rsidP="006854DA">
      <w:pPr>
        <w:pStyle w:val="TextoNormal"/>
      </w:pPr>
      <w:r>
        <w:t xml:space="preserve">c) La Resolución desestimatoria de la reclamación económico-administrativa, seguida con el núm. 41/1.628/90, cuyo basamento estribaba en la no acreditación del pertinente pago en cuanto causa determinante de la eventual anulación de las providencias de apremio, fue objeto de impugnación contencioso-administrativa, desestimada por la Sentencia a que se ciñe este amparo, y en cuyo fundamento de derecho tercero puede leerse, como soporte de aquella desestimación, lo siguiente: </w:t>
      </w:r>
    </w:p>
    <w:p w:rsidR="006854DA" w:rsidRDefault="006854DA" w:rsidP="006854DA">
      <w:pPr>
        <w:pStyle w:val="TextoNormal"/>
      </w:pPr>
      <w:r>
        <w:t>«El Real Decreto 716/1986, de 7 de marzo, Reglamento General de Recaudación de los recursos del Sistema de la Seguridad Social, establece en su artículo 103 las causas de impugnación de la providencia de apremio, y determina que "contra la providencia de apremio sólo serán admisibles los siguientes motivos de oposición, debidamente justificados: a) pago; b) prescripción; c) aplazamiento o fraccionamiento en el pago de la deuda concedido con anterioridad a la fecha de expedición del título ejecutivo; d) falta de notifi</w:t>
      </w:r>
      <w:r>
        <w:lastRenderedPageBreak/>
        <w:t>cación de la liquidación, y e) defecto formal en la certificación de descubierto o en la providencia de apremio que le afecte sustancialmente". Ninguna de estas causas es alegada por el recurrente y mucho menos debidamente justificada. Es más, el citado precepto añade que "solamente podrá procederse de oficio, sin alegación del deudor, a la anulación del título ejecutivo en los casos de error en la expedición -que aquí no ha existido-, o de pago previo de la deuda -que aquí no se ha acreditado-". Ello nos lleva, necesariamente y por imperativo legal, a la desestimación del recurso, al no haberse invocado ni debidamente justificado ninguna de las causas tasadas de oposición a providencias de apremio».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El recurrente, que articula su queja en virtud del art. 44 LOTC, imputa a la resolución judicial recurrida vulneración del art. 24.1 C.E., por entender que la desestimación, en los términos meritados, de la impugnación contencioso-administrativa deducida frente a las oportunas providencias de apremio, implica una transgresión de la tutela judicial efectiva, sin indefensión, que garantiza el citado precepto. En concreto, la apelación, como fundamento de aquella desestimación, a la ausencia de toda invocación y justificación, como causa enervante de la pertinencia del apremio, en relación con el pago del importe a que se contraían las correspondientes certificaciones de descubierto, deja a un lado la formulación de las alegaciones vertidas en el curso del proceso contencioso-administrativo, tanto en el escrito de demanda como en el ulterior de conclusiones, enderezadas a mostrar la realidad del pago y la entidad de la autora de aquél, la Sociedad Europea de Clínicas, S.A., precisamente, en su calidad de empresaria de la relación laboral subyacente. </w:t>
      </w:r>
    </w:p>
    <w:p w:rsidR="006854DA" w:rsidRDefault="006854DA" w:rsidP="006854DA">
      <w:pPr>
        <w:pStyle w:val="TextoNormal"/>
      </w:pPr>
      <w:r>
        <w:t>Asimismo, es postulada por el interesado la situación de indefensión a que se ha visto abocado durante la tramitación del proceso a quo, en la medida en que la concurrencia de los dos meritados extremos, el pago de los créditos reclamados y la entidad del pagador, no ha podido ser probada sino mediante la prueba documental por el mismo llevada a los autos, dado que ni la Tesorería Territorial de la Seguridad Social aportó en su momento el expediente que le fuera reclamado por el Tribunal Económico-Administrativo Regional de Andalucía (según este mismo consigna en el cuerpo del Acuerdo resolutorio de la correspondiente reclamación económico-administrativa), ni se han librado por las entidades financieras a cuyo través fueron efectuados los pagos debatidos las oportunas certificaciones instadas por el hoy quejoso en amparo, al proponer la prueba en el recurso contencioso-administrativo.</w:t>
      </w:r>
    </w:p>
    <w:p w:rsidR="006854DA" w:rsidRDefault="006854DA" w:rsidP="006854DA">
      <w:pPr>
        <w:pStyle w:val="TextoNormal"/>
      </w:pPr>
    </w:p>
    <w:p w:rsidR="006854DA" w:rsidRDefault="006854DA" w:rsidP="006854DA">
      <w:pPr>
        <w:pStyle w:val="TextoNormal"/>
      </w:pPr>
      <w:r w:rsidRPr="006854DA">
        <w:rPr>
          <w:rStyle w:val="NumeroAFNegritaCaracter"/>
        </w:rPr>
        <w:t>4</w:t>
      </w:r>
      <w:r>
        <w:t>. Por providencia de la Sección Segunda de 29 de mayo de 1995 se acordó, de conformidad con lo prevenido en el art. 88 LOTC, requerir al Tribunal Superior de Justicia de Andalucía y al Tribunal Económico-Administrativo de Sevilla a fin de que, con anterioridad al oportuno pronunciamiento acerca de la admisión a trámite, se procediera, en el término de diez días, a remitir testimonio, respectivamente, del recurso contencioso-administrativo núm. 5.407/92, y de la reclamación económico-administrativa núm. 41/1.628/90.</w:t>
      </w:r>
    </w:p>
    <w:p w:rsidR="006854DA" w:rsidRDefault="006854DA" w:rsidP="006854DA">
      <w:pPr>
        <w:pStyle w:val="TextoNormal"/>
      </w:pPr>
    </w:p>
    <w:p w:rsidR="006854DA" w:rsidRDefault="006854DA" w:rsidP="006854DA">
      <w:pPr>
        <w:pStyle w:val="TextoNormal"/>
      </w:pPr>
      <w:r w:rsidRPr="006854DA">
        <w:rPr>
          <w:rStyle w:val="NumeroAFNegritaCaracter"/>
        </w:rPr>
        <w:t>5</w:t>
      </w:r>
      <w:r>
        <w:t xml:space="preserve">. Cumplimentados los extremos meritados, la providencia de la Sección Segunda de 7 de octubre de 1996 acordó admitir a trámite el presente recurso de amparo y, a tenor de lo dispuesto en el art. 51 LOTC, requerir al Tribunal Superior de Justicia de Andalucía a fin de que procediera a emplazar, salvo al recurrente en amparo, a quienes fueron parte en el proceso a quo, para que en el plazo de diez días pudieran comparecer en el proceso de </w:t>
      </w:r>
      <w:r>
        <w:lastRenderedPageBreak/>
        <w:t>amparo. Asimismo, y de conformidad con lo instado por el actor en su escrito de 21 de junio de 1995, se disponía la apertura de la pertinente pieza de suspensión.</w:t>
      </w:r>
    </w:p>
    <w:p w:rsidR="006854DA" w:rsidRDefault="006854DA" w:rsidP="006854DA">
      <w:pPr>
        <w:pStyle w:val="TextoNormal"/>
      </w:pPr>
    </w:p>
    <w:p w:rsidR="006854DA" w:rsidRDefault="006854DA" w:rsidP="006854DA">
      <w:pPr>
        <w:pStyle w:val="TextoNormal"/>
      </w:pPr>
      <w:r w:rsidRPr="006854DA">
        <w:rPr>
          <w:rStyle w:val="NumeroAFNegritaCaracter"/>
        </w:rPr>
        <w:t>6</w:t>
      </w:r>
      <w:r>
        <w:t>. En virtud de escritos fechados, respectivamente, en 8 de octubre y 6 de noviembre de 1996, el Abogado del Estado y la Letrada de la Tesorería General de la Seguridad Social formalizan su personación en el presente proceso constitucional. Personación que se acuerda por providencia de la Sección Segunda de 15 de noviembre de 1995, en cuya virtud, asimismo, se procede a otorgar, de acuerdo con el art. 52 LOTC, con vista de las actuaciones, un plazo común de veinte días al Ministerio Fiscal, al Abogado del Estado, a la Letrada Sra. Madrid Yagüe y al solicitante de amparo a fin de que pudieran presentar las alegaciones que estimasen pertinentes.</w:t>
      </w:r>
    </w:p>
    <w:p w:rsidR="006854DA" w:rsidRDefault="006854DA" w:rsidP="006854DA">
      <w:pPr>
        <w:pStyle w:val="TextoNormal"/>
      </w:pPr>
    </w:p>
    <w:p w:rsidR="006854DA" w:rsidRDefault="006854DA" w:rsidP="006854DA">
      <w:pPr>
        <w:pStyle w:val="TextoNormal"/>
      </w:pPr>
      <w:r w:rsidRPr="006854DA">
        <w:rPr>
          <w:rStyle w:val="NumeroAFNegritaCaracter"/>
        </w:rPr>
        <w:t>7</w:t>
      </w:r>
      <w:r>
        <w:t>. Por providencia de 7 de octubre de 1996 se acuerda, a la vista del escrito formulado por el recurrente en 21 de junio de 1995, abrir la oportuna pieza de suspensión y, de conformidad con lo prevenido en el art. 56 LOTC, conceder un plazo común de tres días al Ministerio Fiscal y al solicitante del amparo, luego extendido al Abogado del Estado mediante providencia de 21 de octubre de 1996, a fin de que en dicho término pudieran alegar lo que estimasen pertinente sobre la petición de suspensión instada.</w:t>
      </w:r>
    </w:p>
    <w:p w:rsidR="006854DA" w:rsidRDefault="006854DA" w:rsidP="006854DA">
      <w:pPr>
        <w:pStyle w:val="TextoNormal"/>
      </w:pPr>
    </w:p>
    <w:p w:rsidR="006854DA" w:rsidRDefault="006854DA" w:rsidP="006854DA">
      <w:pPr>
        <w:pStyle w:val="TextoNormal"/>
      </w:pPr>
      <w:r w:rsidRPr="006854DA">
        <w:rPr>
          <w:rStyle w:val="NumeroAFNegritaCaracter"/>
        </w:rPr>
        <w:t>8</w:t>
      </w:r>
      <w:r>
        <w:t>. El quejoso formula sus alegaciones en el meritado incidente mediante escrito registrado ante este Tribunal el 16 de octubre de 1996, reiterando, con reproducción de los argumentos aducidos en su anterior de 21 de junio de 1995, su petición de suspensión de la eficacia de la resolución recurrida, pretensión que fundamenta, amén de en las razones que, en su inteligencia, abonan el otorgamiento del amparo solicitado, en el afianzamiento mediante el oportuno aval de la cantidad reclamada, cuya garantía deja a salvo el interés público anudado a la ejecución inmediata de la Sentencia combatida y, por ende, del crédito a cuyo conocimiento éste se contrae. Por su parte, tanto el Ministerio Fiscal, mediante escrito que tuvo entrada en el Registro General de este Tribunal el 17 de octubre de 1996, como el Abogado del Estado, en virtud del fechado en 22 de octubre de 1996, interesan la declaración de improcedencia de la suspensión instada, por entender, de conformidad con la jurisprudencia constitucional que citan, que de la ejecución de resoluciones de contenido económico no dimana per se la irreparabilidad de los daños y perjuicios que se erige en fundamento de la suspensión ex art. 56 LOTC.</w:t>
      </w:r>
    </w:p>
    <w:p w:rsidR="006854DA" w:rsidRDefault="006854DA" w:rsidP="006854DA">
      <w:pPr>
        <w:pStyle w:val="TextoNormal"/>
      </w:pPr>
    </w:p>
    <w:p w:rsidR="006854DA" w:rsidRDefault="006854DA" w:rsidP="006854DA">
      <w:pPr>
        <w:pStyle w:val="TextoNormal"/>
      </w:pPr>
      <w:r w:rsidRPr="006854DA">
        <w:rPr>
          <w:rStyle w:val="NumeroAFNegritaCaracter"/>
        </w:rPr>
        <w:t>9</w:t>
      </w:r>
      <w:r>
        <w:t>. Por medio de Auto de 11 de noviembre de 1996 se deniega la suspensión solicitada, "dado el carácter estrictamente económico de la Resolución administrativa impugnada en vía judicial, y de cuya ejecución no se desprende la irreparabilidad de los daños y perjuicios dimanantes de aquélla, canon de la suspensión ex art. 56 LOTC (AATC 573/1985, 574/1985, 275/1990, 302/1995), máxime a tenor de la carencia de toda argumentación en tal sentido en la solicitud del recurrente" (fundamento jurídico 2º).</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El Abogado del Estado cumplimenta sus alegaciones mediante escrito registrado el día 26 de noviembre de 1996, en cuya virtud insta la denegación del amparo pedido. Identificada la queja traída a esta litis en la improcedencia, según el sentir del recurrente, de erigir a éste en destinatario del apremio girado por la Administración, apremio, por otro lado, de impertinente realización habida cuenta el pago de las deudas tributarias liquidadas, el basamento de la pretensión articulada trae causa del diferente tenor que adorna las </w:t>
      </w:r>
      <w:r>
        <w:lastRenderedPageBreak/>
        <w:t xml:space="preserve">fases de liquidación y de apremio en un procedimiento tributario, de suerte que los motivos de impugnación de aquélla no son de automática traslación a los que articulan la oposición al apremio, motivos ceñidos a lo que previene el art. 103 del Real Decreto 716/1986. En esta tesitura, las razones alegadas por el solicitante de amparo, y, en particular, la atinente a su no consideración como sujeto obligado del oportuno pago, a fin de sostener la incorrección de las correspondientes providencias de apremio, no pueden encontrar adecuado cobijo con ocasión de la impugnación de estas últimas, razones que, antes bien, debieron hacerse valer frente a las liquidaciones en su momento giradas; liquidaciones, por lo demás, firmes, dado que no fueron recurridas tempestivamente, ante la omisión, según testimonio del propio recurrente, de su debida notificación, circunstancia que, en la inteligencia del Abogado del Estado, no es óbice a la improcedencia de extender al apremio los motivos de oposición a las liquidaciones que se erigen en presupuesto de aquél. </w:t>
      </w:r>
    </w:p>
    <w:p w:rsidR="006854DA" w:rsidRDefault="006854DA" w:rsidP="006854DA">
      <w:pPr>
        <w:pStyle w:val="TextoNormal"/>
      </w:pPr>
      <w:r>
        <w:t xml:space="preserve">De acuerdo con la lógica expresada, y de conformidad con los criterios rectores del cuestionamiento del apremio tributario, la resolución judicial impugnada no incurre en tacha de conculcación del art. 24.1 C.E., desde el momento en que la eventual satisfacción de determinadas cuotas por quien el recurrente en amparo estima obligado a su pago no implica que aquéllas ofrezcan una plena correspondencia con las apremiadas en el procedimiento de que este proceso de amparo trae causa, por devenir plenamente factible un supuesto de pluriempleo generador de una dualidad de liquidaciones tributarias, amén de que el "pago" que se configura como motivo de oposición al apremio, según la normativa que ordena éste, y que el solicitante de amparo esgrime como enervante de la obligación consignada en la correspondiente providencia, debe ofrecerse de manera meridiana a la luz de un simple cotejo de los documentos aportados en el proceso a quo, que refleje la efectiva duplicidad en su realización, mas no de un examen en profundidad de la liquidación a que, en puridad, se impute su realización, examen ajeno a los límites que enmarcan la oposición al apremio. </w:t>
      </w:r>
    </w:p>
    <w:p w:rsidR="006854DA" w:rsidRDefault="006854DA" w:rsidP="006854DA">
      <w:pPr>
        <w:pStyle w:val="TextoNormal"/>
      </w:pPr>
      <w:r>
        <w:t>De este modo, pues, y por entenderse que el hipotético ingreso indebido en favor de la Hacienda es susceptible de ser corregido mediante el oportuno procedimiento de devolución, y por estimarse que la decisión judicial recurrida satisface las exigencias de motivación inherentes al art. 24.1 C.E., el Abogado del Estado concluye interesando la denegación del amparo.</w:t>
      </w:r>
    </w:p>
    <w:p w:rsidR="006854DA" w:rsidRDefault="006854DA" w:rsidP="006854DA">
      <w:pPr>
        <w:pStyle w:val="TextoNormal"/>
      </w:pPr>
    </w:p>
    <w:p w:rsidR="006854DA" w:rsidRDefault="006854DA" w:rsidP="006854DA">
      <w:pPr>
        <w:pStyle w:val="TextoNormal"/>
      </w:pPr>
      <w:r w:rsidRPr="006854DA">
        <w:rPr>
          <w:rStyle w:val="NumeroAFNegritaCaracter"/>
        </w:rPr>
        <w:t>11</w:t>
      </w:r>
      <w:r>
        <w:t xml:space="preserve">. La Letrada de la Tesorería General de la Seguridad Social manifiesta su oposición al amparo en escrito fechado el 3 de diciembre de 1996. Su alegato aparece vertebrado sobre la constatación de la firmeza, ante su falta de impugnación, de las liquidaciones que sirven de soporte a las providencias de apremio impugnadas por el hoy quejoso en vía judicial. Firmeza que enerva la oposición por aquél articulada en el proceso a quo, insusceptible, dados los límites a que se constriñe el conocimiento judicial respecto del procedimiento de apremio, de provocar la reviviscencia de una pretensión no hecha valer en momento oportuno. Construcción que el escrito de la Tesorería General refuerza con la réplica de la idoneidad del pago aducido por el recurrente para fundar su oposición al apremio, pago que, sobre no ser imputable al interesado, no puede ser subsumido en el previsto en el art. 103 del Real Decreto 716/1986, que configura, precisamente, el efectuado por el destinatario de la providencia de apremio como el único que válidamente puede enervar éste. </w:t>
      </w:r>
    </w:p>
    <w:p w:rsidR="006854DA" w:rsidRDefault="006854DA" w:rsidP="006854DA">
      <w:pPr>
        <w:pStyle w:val="TextoNormal"/>
      </w:pPr>
      <w:r>
        <w:t xml:space="preserve">En consecuencia, y aun admitida la eventual infracción de derecho fundamental, que únicamente podría predicarse de las liquidaciones que se erigen en antecedente necesario </w:t>
      </w:r>
      <w:r>
        <w:lastRenderedPageBreak/>
        <w:t>del procedimiento de apremio, la Letrada de la Tesorería General de la Seguridad Social termina solicitando la desestimación del presente recurso de amparo.</w:t>
      </w:r>
    </w:p>
    <w:p w:rsidR="006854DA" w:rsidRDefault="006854DA" w:rsidP="006854DA">
      <w:pPr>
        <w:pStyle w:val="TextoNormal"/>
      </w:pPr>
    </w:p>
    <w:p w:rsidR="006854DA" w:rsidRDefault="006854DA" w:rsidP="006854DA">
      <w:pPr>
        <w:pStyle w:val="TextoNormal"/>
      </w:pPr>
      <w:r w:rsidRPr="006854DA">
        <w:rPr>
          <w:rStyle w:val="NumeroAFNegritaCaracter"/>
        </w:rPr>
        <w:t>12</w:t>
      </w:r>
      <w:r>
        <w:t>. El quejoso en amparo formula sus alegaciones por medio de escrito de 13 de diciembre de 1996. Luego de recordar los avatares que presidieron la articulación de la reclamación económico-administrativa y de la ulterior impugnación contencioso- administrativa, avatares ceñidos a la no remisión completa del expediente por la Administración tributaria, que forzó al interesado a aportar fotocopia del documento que avalaba el pago de la deuda apremiada por el efectivamente obligado a su pago, ciñe la conculcación del art. 24.1 C.E. a la no toma en consideración por el órgano a quo de su alegato acerca de la oportuna realización del pago requerido. El recurrente denuncia una incongruencia omisiva y vulneradora de la tutela judicial efectiva ex art. 24.1 C.E. En suma, y con solicitud de que por este Tribunal sea valorada la suficiencia de la prueba aportada como demostrativa de la realización de los correspondientes pagos, impetra el otorgamiento del amparo solicitado.</w:t>
      </w:r>
    </w:p>
    <w:p w:rsidR="006854DA" w:rsidRDefault="006854DA" w:rsidP="006854DA">
      <w:pPr>
        <w:pStyle w:val="TextoNormal"/>
      </w:pPr>
    </w:p>
    <w:p w:rsidR="006854DA" w:rsidRDefault="006854DA" w:rsidP="006854DA">
      <w:pPr>
        <w:pStyle w:val="TextoNormal"/>
      </w:pPr>
      <w:r w:rsidRPr="006854DA">
        <w:rPr>
          <w:rStyle w:val="NumeroAFNegritaCaracter"/>
        </w:rPr>
        <w:t>13</w:t>
      </w:r>
      <w:r>
        <w:t>. El Fiscal, mediante escrito de 11 de diciembre de 1996, interesa el otorgamiento del amparo solicitado por estimar que la resolución judicial impugnada adolece de falta de motivación en la respuesta dada al recurrente, en la medida en que, ante la alegación de aquél acerca del pago de las deudas apremiadas, se limita a la negación de tal extremo, amén de no razonar sobre si los pagos efectuados, y aducidos por el interesado, ofrecían una cabal correspondencia con los que eran objeto de apremio.</w:t>
      </w:r>
    </w:p>
    <w:p w:rsidR="006854DA" w:rsidRDefault="006854DA" w:rsidP="006854DA">
      <w:pPr>
        <w:pStyle w:val="TextoNormal"/>
      </w:pPr>
    </w:p>
    <w:p w:rsidR="006854DA" w:rsidRDefault="006854DA" w:rsidP="006854DA">
      <w:pPr>
        <w:pStyle w:val="TextoNormal"/>
      </w:pPr>
      <w:r w:rsidRPr="006854DA">
        <w:rPr>
          <w:rStyle w:val="NumeroAFNegritaCaracter"/>
        </w:rPr>
        <w:t>14</w:t>
      </w:r>
      <w:r>
        <w:t>. Por providencia de fecha 21 de julio de 1997, se fijó para deliberación y votación de la presente Sentencia el siguiente día 22 del mismo mes y año.</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En este proceso de amparo hemos de pronunciarnos sobre la supuesta violación del derecho a la tutela judicial efectiva (art. 24.1 C.E.)  que se habría cometido, según el recurrente, por la Sentencia de fecha 30 de enero de 1995 de la Sala de lo Contencioso- Administrativo del Tribunal Superior de Justicia de Andalucía, con sede en Sevilla.</w:t>
      </w:r>
    </w:p>
    <w:p w:rsidR="006854DA" w:rsidRDefault="006854DA" w:rsidP="006854DA">
      <w:pPr>
        <w:pStyle w:val="TextoNormal"/>
      </w:pPr>
      <w:r>
        <w:t>El fallo desestimatorio de la Sentencia impugnada tiene su ratio, a tenor de lo consignado en el fundamento de Derecho tercero, en la omisión de toda alegación y justificación acerca de la concurrencia de alguna de las causas que amparan la pertinencia de revocar las providencias de apremio recurridas, y, en concreto, la acreditación del pago del importe a que se contraían los descubiertos de que aquéllas traían causa. Es una constatación judicial de la que se infiere, como ineluctable consecuencia, "la desestimación del recurso al no haberse invocado ni debidamente justificado ninguna de las causas tasadas de oposición a providencias de apremio".</w:t>
      </w:r>
    </w:p>
    <w:p w:rsidR="006854DA" w:rsidRDefault="006854DA" w:rsidP="006854DA">
      <w:pPr>
        <w:pStyle w:val="TextoNormal"/>
      </w:pPr>
      <w:r>
        <w:t>A fin de enmarcar debidamente el objeto litigioso, tal conclusión de la Sentencia ha de ser puesta en conexión con lo señalado en el fundamento de derecho segundo de la propia Resolución judicial recurrida, que expresamente alude a la invocación por el interesado tanto de la improcedencia de que el procedimiento de ejecución fuera dirigido contra el mismo, cuanto, y la observación es de fundamental trascendencia, de la realización del pago sobre los créditos en su momento apremiados. He aquí lo sostenido en ese funda</w:t>
      </w:r>
      <w:r>
        <w:lastRenderedPageBreak/>
        <w:t>mento de Derecho segundo: "El recurrente invoca, en el presente recurso, el manifiesto error en que había incurrido la Tesorería Territorial de la Seguridad Social al dirigir el procedimiento frente al aquí recurrente cuando los dos doctores mantenían relación laboral con la compañía mercantil Sociedad Europea de Clínicas S.A., con sede social en Sevilla, calle Imagen num. 6, con núm. de inscripción en la Seguridad Social 41/091993 y, además, tampoco existe descubierto de cuotas relativo al período a que se contraen las actas al haber sido satisfechas por dicha entidad."</w:t>
      </w:r>
    </w:p>
    <w:p w:rsidR="006854DA" w:rsidRDefault="006854DA" w:rsidP="006854DA">
      <w:pPr>
        <w:pStyle w:val="TextoNormal"/>
      </w:pPr>
      <w:r>
        <w:t>Nos hallamos ante una explícita invocación de la que, no obstante, el órgano judicial no extrae sino la antes consignada consecuencia de desestimación de la pretensión del recurrente en virtud de la falta de alegación y justificación, precisamente, de una de aquellas causas, el pago, enervante de la procedencia del apremio.</w:t>
      </w:r>
    </w:p>
    <w:p w:rsidR="006854DA" w:rsidRDefault="006854DA" w:rsidP="006854DA">
      <w:pPr>
        <w:pStyle w:val="TextoNormal"/>
      </w:pPr>
    </w:p>
    <w:p w:rsidR="006854DA" w:rsidRDefault="006854DA" w:rsidP="006854DA">
      <w:pPr>
        <w:pStyle w:val="TextoNormal"/>
      </w:pPr>
      <w:r w:rsidRPr="006854DA">
        <w:rPr>
          <w:rStyle w:val="NumeroAFNegritaCaracter"/>
        </w:rPr>
        <w:t>2</w:t>
      </w:r>
      <w:r>
        <w:t>. Las precedentes consideraciones nos llevan a cuestionar si, en este caso, la tutela judicial efectiva no ha sido defraudada. El órgano a quo ha rehuído la consideración, a efectos de inducir el oportuno fallo, del extremo atinente al pago de las cantidades que están en la base de las correspondientes providencias de apremio, y a que aludía el ahora quejoso en su escrito de conclusiones, mediante remisión a la documentación aportada con ocasión de la reclamación económico-administrativa (documentos 1 a 53 del escrito de alegaciones formulado en la reclamación núm. 41/1.628/90), documentación que, obviamente, figuraba en el expediente administrativo remitido al órgano judicial con ocasión de la impugnación contencioso-administrativa.</w:t>
      </w:r>
    </w:p>
    <w:p w:rsidR="006854DA" w:rsidRDefault="006854DA" w:rsidP="006854DA">
      <w:pPr>
        <w:pStyle w:val="TextoNormal"/>
      </w:pPr>
      <w:r>
        <w:t>A la vista del razonamiento desplegado en los fundamentos jurídicos segundo y tercero de la Sentencia sometida a nuestro enjuiciamiento constitucional, se constata una patente incoherencia o quiebra del discurso lógico, contraída a la manifiesta discordancia entre lo reflejado en aquél, el segundo fundamento jurídico (la invocación por el interesado del oportuno pago) y la conclusión alcanzada en el tercero (la desestimación del recurso por falta de justificación y, aun, de mera alegación de la correspondiente causa, singularmente el pago, enervante de la pertinencia del apremio). Incoherencia que, en los términos de la STC 117/1996 (fundamento jurídico 4º), es constitutiva de una insuficiencia de la motivación exigible (SSTC, entre otras, 153/1995, 32/1996), generadora de transgresión del art. 24.1 C.E.</w:t>
      </w:r>
    </w:p>
    <w:p w:rsidR="006854DA" w:rsidRDefault="006854DA" w:rsidP="006854DA">
      <w:pPr>
        <w:pStyle w:val="TextoNormal"/>
      </w:pPr>
    </w:p>
    <w:p w:rsidR="006854DA" w:rsidRDefault="006854DA" w:rsidP="006854DA">
      <w:pPr>
        <w:pStyle w:val="TextoNormal"/>
      </w:pPr>
      <w:r w:rsidRPr="006854DA">
        <w:rPr>
          <w:rStyle w:val="NumeroAFNegritaCaracter"/>
        </w:rPr>
        <w:t>3</w:t>
      </w:r>
      <w:r>
        <w:t>. A idéntica conclusión se llega desde la consideración de la denunciada incongruencia omisiva, que, de consuno con el reproche antes expuesto, constituyen el haz y el envés de la controversia a que venimos dando respuesta.</w:t>
      </w:r>
    </w:p>
    <w:p w:rsidR="006854DA" w:rsidRDefault="006854DA" w:rsidP="006854DA">
      <w:pPr>
        <w:pStyle w:val="TextoNormal"/>
      </w:pPr>
      <w:r>
        <w:t>En efecto, pertinente resulta recordar que si bien la incidencia de la incongruencia omisiva en el derecho consagrado en el art. 24.1 C.E. se cifra en el incumplimiento del deber de resolver las pretensiones deducidas, es decir, en dejarlas incontestadas (SSTC 20/1982, 14/1984, 177/1985, 142/1987, 175/1990, 198/1990, 59/1992, 69/1992, 88/1992, 163/1992, 226/1992, 101/1993, 169/1994, 95/1995, 143/1995, 58/1996, 26/1997, 59/1997), trasunto de "la ineludible exigencia de la motivación de las resoluciones judiciales" (STC 59/1997, fundamento jurídico 4º, que cita las SSTC 61/1983, 138/1985, 13/1987, 55/1987, 152/1987, 199/1991, 307/1993), la resolución genérica de aquéllas, aun cuando el órgano judicial no se haya pronunciado sobre todas las alegaciones concretas suscitadas (SSTC 14/1985, 29/1987), máxime si es razonable inferir del silencio del órgano a quo una desestimación tácita de las pretensiones formuladas (SSTC 128/1992, 11/1995), no entraña una vulneración de la tutela judicial efectiva (por todas, últimamente, STC 94/1997).</w:t>
      </w:r>
    </w:p>
    <w:p w:rsidR="006854DA" w:rsidRDefault="006854DA" w:rsidP="006854DA">
      <w:pPr>
        <w:pStyle w:val="TextoNormal"/>
      </w:pPr>
      <w:r>
        <w:lastRenderedPageBreak/>
        <w:t>Pues bien, en el caso presente no cabe estimar que la alegación vertida acerca del pago de las deudas apremiadas haya encontrado una debida respuesta, siquiera tácita, por el órgano a quo.</w:t>
      </w:r>
    </w:p>
    <w:p w:rsidR="006854DA" w:rsidRDefault="006854DA" w:rsidP="006854DA">
      <w:pPr>
        <w:pStyle w:val="TextoNormal"/>
      </w:pPr>
      <w:r>
        <w:t>Incluso dentro de los estrictos términos a que se ciñe el proceso judicial que canaliza la impugnación del apremio ex art. 103 del Real Decreto 716/1986, por el que se aprueba el Reglamento General de Recaudación de los Recursos de la Seguridad Social, y que deja extramuros de aquél las objeciones que en su momento pudieron y debieron hacerse valer contra las correspondientes liquidaciones tributarias, como afirman el Abogado del Estado y la Letrada de la Tesorería General de la Seguridad Social, es incontrovertible que el recurrente manifestó su oposición al apremio en virtud del pago de las cantidades a que se contraía el procedimiento de ejecución de las deudas apremiadas. Motivo de oposición que, prima facie, queda imbricado en el apartado a) del art. 103 del Real Decreto 716/1986, sin que este Tribunal deba afirmar que tal alegación se refiere al pago efectuado por quien no es destinatario del apremio y, menos aun, que el realizado ofrezca una cabal correspondencia con el objeto de las cantidades apremiadas, cuestiones cuyo conocimiento compete con carácter exclusivo y excluyente a la jurisdicción ex art. 117.3 C.E.</w:t>
      </w:r>
    </w:p>
    <w:p w:rsidR="006854DA" w:rsidRDefault="006854DA" w:rsidP="006854DA">
      <w:pPr>
        <w:pStyle w:val="TextoNormal"/>
      </w:pPr>
      <w:r>
        <w:t>La respuesta que el art. 24.1 C.E. imponía al órgano a quo estribaba, precisamente, en un pronunciamiento expreso acerca de la idoneidad del pago aducido para enervar el apremio llevado a su conocimiento. Es un pronunciamiento que no encontramos en la Resolución aquí impugnada, dado que manifiestamente no puede atribuirse tal condición a la mera reproducción de un texto legal, cuya exégesis y aplicación al caso debatido deviene, pura y llanamente, inexistente, so pena de vaciar de contenido la exigencia de motivación requerida ex art. 24.1, en relación con el 120.3 C.E.</w:t>
      </w:r>
    </w:p>
    <w:p w:rsidR="006854DA" w:rsidRDefault="006854DA" w:rsidP="006854DA">
      <w:pPr>
        <w:pStyle w:val="TextoNormal"/>
      </w:pPr>
      <w:r>
        <w:t>En suma, debe concluirse que el órgano judicial ha lesionado, en el supuesto considerado, el derecho de tutela judicial efectiva que reconoce y protege el art. 24.1 C.E.</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CONSTITUCIÓN DE LA NACION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Otorgar el amparo a don Antonio Merina Jiménez y, en su virtud:</w:t>
      </w:r>
    </w:p>
    <w:p w:rsidR="006854DA" w:rsidRDefault="006854DA" w:rsidP="006854DA">
      <w:pPr>
        <w:pStyle w:val="TextoNormal"/>
      </w:pPr>
      <w:r>
        <w:t>1º. Reconocer su derecho a la tutela judicial efectiva.</w:t>
      </w:r>
    </w:p>
    <w:p w:rsidR="006854DA" w:rsidRDefault="006854DA" w:rsidP="006854DA">
      <w:pPr>
        <w:pStyle w:val="TextoNormal"/>
      </w:pPr>
      <w:r>
        <w:t>2º. Restablecer al recurrente en la integridad de su derecho, mediante la anulación de la Sentencia de la Sala de lo Contencioso-Administrativo del Tribunal Superior de Justicia de Andalucía, sede de Sevilla, de 30 de enero de 1995, recaída en el proceso núm. 5.407/92.</w:t>
      </w:r>
    </w:p>
    <w:p w:rsidR="006854DA" w:rsidRDefault="006854DA" w:rsidP="006854DA">
      <w:pPr>
        <w:pStyle w:val="TextoNormal"/>
      </w:pPr>
      <w:r>
        <w:t>3º. Ordenar la retroacción de actuaciones a fin de que por la Sala se dicte nueva Sentencia en la que, de manera motivada, se dé respuesta a las pretensiones articuladas por el interesado.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6854DA">
      <w:pPr>
        <w:pStyle w:val="TextoNormal"/>
      </w:pPr>
      <w:r>
        <w:t>Dada en Madrid, a veintidos de julio de mil novecientos noventa y siete.</w:t>
      </w:r>
    </w:p>
    <w:p w:rsidR="006854DA" w:rsidRDefault="006854DA">
      <w:pPr>
        <w:rPr>
          <w:rFonts w:ascii="Times New Roman" w:eastAsia="Times New Roman" w:hAnsi="Times New Roman" w:cs="Times New Roman"/>
          <w:sz w:val="24"/>
          <w:szCs w:val="24"/>
          <w:lang w:eastAsia="es-ES"/>
        </w:rPr>
      </w:pPr>
      <w:r>
        <w:br w:type="page"/>
      </w:r>
    </w:p>
    <w:p w:rsidR="006854DA" w:rsidRDefault="006854DA" w:rsidP="006854DA">
      <w:pPr>
        <w:pStyle w:val="TtuloResolucin"/>
      </w:pPr>
      <w:bookmarkStart w:id="56" w:name="SENTENCIA_1997_140"/>
      <w:r>
        <w:lastRenderedPageBreak/>
        <w:t>SENTENCIA 140/1997, de 22 de julio de 1997</w:t>
      </w:r>
    </w:p>
    <w:bookmarkEnd w:id="56"/>
    <w:p w:rsidR="006854DA" w:rsidRDefault="006854DA" w:rsidP="006854DA">
      <w:pPr>
        <w:pStyle w:val="TtuloResolucin"/>
      </w:pPr>
      <w:r>
        <w:t>Sala Primera</w:t>
      </w:r>
    </w:p>
    <w:p w:rsidR="006854DA" w:rsidRDefault="006854DA" w:rsidP="006854DA">
      <w:pPr>
        <w:pStyle w:val="TtuloResolucin"/>
      </w:pPr>
    </w:p>
    <w:p w:rsidR="006854DA" w:rsidRDefault="006854DA" w:rsidP="006854DA">
      <w:pPr>
        <w:pStyle w:val="TtuloBOE"/>
      </w:pPr>
      <w:r>
        <w:t>("BOE" núm. 187, de 6 de agosto de 1997)</w:t>
      </w:r>
    </w:p>
    <w:p w:rsidR="006854DA" w:rsidRDefault="006854DA" w:rsidP="006854DA">
      <w:pPr>
        <w:pStyle w:val="TtuloBOE"/>
      </w:pPr>
    </w:p>
    <w:p w:rsidR="006854DA" w:rsidRDefault="006854DA" w:rsidP="006854DA">
      <w:pPr>
        <w:pStyle w:val="SntesisDescriptiva"/>
      </w:pPr>
      <w:r>
        <w:t>ECLI:ES:TC:1997:140</w:t>
      </w:r>
    </w:p>
    <w:p w:rsidR="006854DA" w:rsidRDefault="006854DA" w:rsidP="006854DA">
      <w:pPr>
        <w:pStyle w:val="SntesisDescriptiva"/>
      </w:pPr>
    </w:p>
    <w:p w:rsidR="006854DA" w:rsidRDefault="006854DA" w:rsidP="006854DA">
      <w:pPr>
        <w:pStyle w:val="SntesisDescriptiva"/>
      </w:pPr>
      <w:r>
        <w:t>Recurso de amparo 1.831/1996. Contra Sentencia de la Sala Segunda del Tribunal Supremo recaída en recurso de casación en causa seguida por delito de malversación de caudales públicos.</w:t>
      </w:r>
    </w:p>
    <w:p w:rsidR="006854DA" w:rsidRDefault="006854DA" w:rsidP="006854DA">
      <w:pPr>
        <w:pStyle w:val="SntesisDescriptiva"/>
      </w:pPr>
    </w:p>
    <w:p w:rsidR="006854DA" w:rsidRDefault="006854DA" w:rsidP="006854DA">
      <w:pPr>
        <w:pStyle w:val="SntesisAnaltica"/>
      </w:pPr>
      <w:r>
        <w:t>Supuesta vulneración del derecho a la tutela judicial efectiva: indefensión imputable al recurrente.</w:t>
      </w:r>
    </w:p>
    <w:p w:rsidR="006854DA" w:rsidRDefault="006854DA" w:rsidP="006854DA">
      <w:pPr>
        <w:pStyle w:val="SntesisAnaltica"/>
      </w:pPr>
    </w:p>
    <w:p w:rsidR="006854DA" w:rsidRDefault="006854DA" w:rsidP="006854DA">
      <w:pPr>
        <w:pStyle w:val="Extracto"/>
      </w:pPr>
      <w:r>
        <w:t>1.</w:t>
      </w:r>
      <w:r>
        <w:tab/>
        <w:t>El art. 46.1 b) LOTC no viene a identificar la legitimación activa con la exigencia de «haber sido parte en el proceso judicial correspondiente», sino a incorporar, junto a la legitimación activa, un segundo presupuesto del ejercicio de los medios de impugnación devolutivos, cual es la aptitud o derecho de conducción procesal que, como regla general, impide el ejercicio de un recurso a quien no haya sido parte en la instancia precedente. La interpretación que de este presupuesto procesal ha efectuado este Tribunal presenta un marcado carácter flexible; y así, hemos eximido del estricto cumplimiento de este requisito cuando obstaculizara injustificadamente el acceso a este proceso constitucional (SSTC 46/1982, 83/1985 y 67/1986), tal y como acontece, por ejemplo, con los litisconsortes ausentes en el proceso que sufran el gravamen en la última Sentencia recaída en la vía judiciaI ordinaria (SSTC 42/1989, 43/1990, 61/1990 y 184/1995) [F.J. 1].</w:t>
      </w:r>
    </w:p>
    <w:p w:rsidR="006854DA" w:rsidRDefault="006854DA" w:rsidP="006854DA">
      <w:pPr>
        <w:pStyle w:val="Extracto"/>
      </w:pPr>
    </w:p>
    <w:p w:rsidR="006854DA" w:rsidRDefault="006854DA" w:rsidP="006854DA">
      <w:pPr>
        <w:pStyle w:val="Extracto"/>
      </w:pPr>
      <w:r>
        <w:t>2.</w:t>
      </w:r>
      <w:r>
        <w:tab/>
        <w:t>No cabe negar, pues, la posibilidad de que, en determinados supuestos, la falta de ofrecimiento de acciones al ofendido o al interesado que no conozca la existencia del proceso (SSTC 121/1994 y 278/1994) o la información judicial defectuosa (STC 66/1992), conviertan el incumplimiento del deber de información al que se refiere el art. 109 L.E.Crim. en auténtica denegación de tutela, con frustración del derecho del ofendido a erigirse en acusador particular en el proceso [F.J. 2].</w:t>
      </w:r>
    </w:p>
    <w:p w:rsidR="006854DA" w:rsidRDefault="006854DA" w:rsidP="006854DA">
      <w:pPr>
        <w:pStyle w:val="Extracto"/>
      </w:pPr>
    </w:p>
    <w:p w:rsidR="006854DA" w:rsidRDefault="006854DA" w:rsidP="006854DA">
      <w:pPr>
        <w:pStyle w:val="Extracto"/>
      </w:pPr>
      <w:r>
        <w:t>3.</w:t>
      </w:r>
      <w:r>
        <w:tab/>
        <w:t>La indefensión prohibida por el art. 24.1 C.E. no nace de la simple infracción por los órganos judiciales de las reglas procesales, sino que es necesario que tenga una significación material o que produzca un efectivo y real menoscabo o limitación del derecho de defensa como consecuencia directa de la acción u omisión de los órganos judiciales (SSTC 149/1987, 155/1988, 43/1989, 123/1989, 145/1990, 196/1990, 154/1991, 366/1993 y 18/1995, entre otras), toda vez que el recurso de amparo no es una vía orientada a corregir cualquier infracción procedimental, sino exclusivamente aquellas que produzcan, efectivamente, la lesión de un derecho fundamental (SSTC 149/1987, 101/1990, 188/1993, 111/1996 y 9/1997, por todas) [F.J. 2].</w:t>
      </w:r>
    </w:p>
    <w:p w:rsidR="006854DA" w:rsidRDefault="006854DA" w:rsidP="006854DA">
      <w:pPr>
        <w:pStyle w:val="Extracto"/>
      </w:pPr>
    </w:p>
    <w:p w:rsidR="006854DA" w:rsidRDefault="006854DA" w:rsidP="006854DA">
      <w:pPr>
        <w:pStyle w:val="Extracto"/>
      </w:pPr>
      <w:r>
        <w:t>4.</w:t>
      </w:r>
      <w:r>
        <w:tab/>
        <w:t xml:space="preserve">Es doctrina reiterada de este Tribunal que, si bien los errores de los órganos judiciales no deben producir efectos negativos en la esfera jurídica del ciudadano (SSTC 93/1983, 172/1985, 107/1987, 130/1987, 190/1990, 101/1992 y 22/1993), esos </w:t>
      </w:r>
      <w:r>
        <w:lastRenderedPageBreak/>
        <w:t>efectos carecerán de relevancia desde el punto de vista del amparo cuando el error sea también imputable a la pasividad, desinterés o negligencia de la parte (SSTC 107/1987, 130/1987, 180/1987, 101/1989, 334/1994 y 80/1995) [F.J. 3].</w:t>
      </w:r>
    </w:p>
    <w:p w:rsidR="006854DA" w:rsidRDefault="006854DA" w:rsidP="006854DA">
      <w:pPr>
        <w:pStyle w:val="Extracto"/>
      </w:pPr>
    </w:p>
    <w:p w:rsidR="006854DA" w:rsidRDefault="006854DA" w:rsidP="006854DA">
      <w:pPr>
        <w:pStyle w:val="Extracto"/>
      </w:pPr>
    </w:p>
    <w:p w:rsidR="006854DA" w:rsidRDefault="006854DA" w:rsidP="006854DA">
      <w:pPr>
        <w:pStyle w:val="TextoNormal"/>
      </w:pPr>
      <w:r>
        <w:t>La Sala Primera del Tribunal Constitucional compuesta por don Alvaro Rodríguez Bereijo, Presidente, don Vicente Gimeno Sendra, don Pedro Cruz Villalón, don Enrique Ruiz Vadillo y don Pablo García Manzano, Magistrados, ha pronunciado</w:t>
      </w:r>
    </w:p>
    <w:p w:rsidR="006854DA" w:rsidRDefault="006854DA" w:rsidP="006854DA">
      <w:pPr>
        <w:pStyle w:val="TextoNormal"/>
      </w:pPr>
    </w:p>
    <w:p w:rsidR="006854DA" w:rsidRDefault="006854DA" w:rsidP="006854DA">
      <w:pPr>
        <w:pStyle w:val="TextoNormalCentrado"/>
        <w:keepNext/>
      </w:pPr>
      <w:r>
        <w:t>EN NOMBRE DEL REY</w:t>
      </w:r>
    </w:p>
    <w:p w:rsidR="006854DA" w:rsidRDefault="006854DA" w:rsidP="006854DA">
      <w:pPr>
        <w:pStyle w:val="TextoNormalCentrado"/>
        <w:keepNext/>
      </w:pPr>
    </w:p>
    <w:p w:rsidR="006854DA" w:rsidRDefault="006854DA" w:rsidP="006854DA">
      <w:pPr>
        <w:pStyle w:val="TextoNormalCentrado"/>
        <w:keepNext/>
      </w:pPr>
    </w:p>
    <w:p w:rsidR="006854DA" w:rsidRDefault="006854DA" w:rsidP="006854DA">
      <w:pPr>
        <w:pStyle w:val="TextoNormal"/>
      </w:pPr>
      <w:r>
        <w:t>la siguiente</w:t>
      </w:r>
    </w:p>
    <w:p w:rsidR="006854DA" w:rsidRDefault="006854DA" w:rsidP="006854DA">
      <w:pPr>
        <w:pStyle w:val="TextoNormal"/>
      </w:pPr>
    </w:p>
    <w:p w:rsidR="006854DA" w:rsidRDefault="006854DA" w:rsidP="006854DA">
      <w:pPr>
        <w:pStyle w:val="TextoNormalCentrado"/>
        <w:keepNext/>
      </w:pPr>
      <w:r>
        <w:t>SENTENCIA</w:t>
      </w:r>
    </w:p>
    <w:p w:rsidR="006854DA" w:rsidRDefault="006854DA" w:rsidP="006854DA">
      <w:pPr>
        <w:pStyle w:val="TextoNormalCentrado"/>
        <w:keepNext/>
      </w:pPr>
    </w:p>
    <w:p w:rsidR="006854DA" w:rsidRDefault="006854DA" w:rsidP="006854DA">
      <w:pPr>
        <w:pStyle w:val="TextoNormal"/>
      </w:pPr>
      <w:r>
        <w:t>En el recurso de amparo 1.831/96, promovido por el Ayuntamiento de L'Ametlla del Vallés (Barcelona), representado por el Procurador de los Tribunales don Juan Luis Pérez-Mulet Suárez, y asistido del Letrado don Julio Hernández Puértolas, contra la Sentencia de la Sala Segunda del Tribunal Supremo, de 5 de febrero de 1996, en el recurso de casación núm. 843/95, en causa seguida por delito de malversación de caudales públicos. Han sido parte doña Carmen Perpiñá Jalencas, representada por la Procuradora de los Tribunales doña Mª Jesús González Díez y asistida del Letrado don Pablo Molins Amat, y el Ministerio Fiscal, y ha sido Ponente el Magistrado don Vicente Gimeno Sendra, quien expresa el parecer de la sala.</w:t>
      </w:r>
    </w:p>
    <w:p w:rsidR="006854DA" w:rsidRDefault="006854DA" w:rsidP="006854DA">
      <w:pPr>
        <w:pStyle w:val="TextoNormal"/>
      </w:pPr>
    </w:p>
    <w:p w:rsidR="006854DA" w:rsidRDefault="006854DA" w:rsidP="006854DA">
      <w:pPr>
        <w:pStyle w:val="TextoNormalNegritaCentrado"/>
        <w:keepNext/>
      </w:pPr>
      <w:r>
        <w:t>I. Antecedentes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Por escrito registrado en este Tribunal el 30 de Abril de 1996, don Juan Luis Pérez-Mulet Suárez, Procurador de los Tribunales, en nombre y representación del Ayuntamiento de L'Ametlla del Vallés, interpuso recurso de amparo contra la Sentencia dictada por el Tribunal Supremo, el 5 de febrero de 1996, y notificada el 16 de abril de 1996, en recurso de casación contra la Sentencia dictada por la Audiencia Provincial de Barcelona, de 20 de enero de 1995, en causa por delito de malversación de caudales públicos, seguida contra la funcionaria del citado Ayuntamiento doña Carmen Perpiñá Jalencas.</w:t>
      </w:r>
    </w:p>
    <w:p w:rsidR="006854DA" w:rsidRDefault="006854DA" w:rsidP="006854DA">
      <w:pPr>
        <w:pStyle w:val="TextoNormal"/>
      </w:pPr>
    </w:p>
    <w:p w:rsidR="006854DA" w:rsidRDefault="006854DA" w:rsidP="006854DA">
      <w:pPr>
        <w:pStyle w:val="TextoNormal"/>
      </w:pPr>
      <w:r w:rsidRPr="006854DA">
        <w:rPr>
          <w:rStyle w:val="NumeroAFNegritaCaracter"/>
        </w:rPr>
        <w:t>2</w:t>
      </w:r>
      <w:r>
        <w:t xml:space="preserve">. Los hechos que se deducen de la demanda y demás documentos aportados son los siguientes: </w:t>
      </w:r>
    </w:p>
    <w:p w:rsidR="006854DA" w:rsidRDefault="006854DA" w:rsidP="006854DA">
      <w:pPr>
        <w:pStyle w:val="TextoNormal"/>
      </w:pPr>
      <w:r>
        <w:t xml:space="preserve">a) El 29 de octubre de 1990, el Ayuntamiento de L'Ametlla del Vallés formuló denuncia ante el Juzgado de Granollers contra la funcionaria eventual de aquel Ayuntamiento, doña Carmen Perpiñá Jalencas, por el presunto delito de malversación de caudales públicos. Previamente, el 6 de junio de 1990 mediante acta notarial, doña Carmen Perpiñá se hacía responsable de las diferencias económicas que surgieran de la Auditoría de Cuentas que se realizara y se comprometía a abonarlas al Ayuntamiento. El 27 de octubre de 1990, ingresó voluntariamente en una cuenta municipal la cantidad de 6.737.909,- Ptas. </w:t>
      </w:r>
    </w:p>
    <w:p w:rsidR="006854DA" w:rsidRDefault="006854DA" w:rsidP="006854DA">
      <w:pPr>
        <w:pStyle w:val="TextoNormal"/>
      </w:pPr>
      <w:r>
        <w:lastRenderedPageBreak/>
        <w:t xml:space="preserve">b) La Sección Sexta de la Audiencia Provincial de Barcelona dictó Sentencia, de fecha 20 de enero de 1995, por la que se absolvió a doña Carmen Perpiñá del delito de malversación de caudales públicos del que venía siendo acusada por el Ministerio Fiscal, acordando asimismo la devolución a la misma de "la cantidad de 6.737.909,- Ptas. depositadas". </w:t>
      </w:r>
    </w:p>
    <w:p w:rsidR="006854DA" w:rsidRDefault="006854DA" w:rsidP="006854DA">
      <w:pPr>
        <w:pStyle w:val="TextoNormal"/>
      </w:pPr>
      <w:r>
        <w:t xml:space="preserve">c) El Ministerio Fiscal, con fecha 1 de febrero de 1995, presentó escrito ante la Audiencia interesando, a tenor de lo dispuesto en el art. 267.2 L.O.P.J., que se corrigiese la expresión "depósito" contenida en la Sentencia, por cuanto que no constaba que en el procedimiento penal se hubiera constituido depósito alguno. </w:t>
      </w:r>
    </w:p>
    <w:p w:rsidR="006854DA" w:rsidRDefault="006854DA" w:rsidP="006854DA">
      <w:pPr>
        <w:pStyle w:val="TextoNormal"/>
      </w:pPr>
      <w:r>
        <w:t xml:space="preserve">d) Con fecha 2 de febrero de 1995, la Audiencia Provincial dictó Auto aclaratorio de la Sentencia acordando rectificar el error material y declarando la reserva de las acciones correspondientes a doña Carmen Perpiñá para reclamar del Ayuntamiento de L'Ametlla del Vallés la cantidad voluntariamente ingresada, declarando asimismo en el fundamento jurídico 1º del referido Auto, que no era posible "en este proceso penal en el que no ha sido parte el Ayuntamiento de L'Ametlla del Vallés, acordar sobre la devolución a la acusada absuelta". </w:t>
      </w:r>
    </w:p>
    <w:p w:rsidR="006854DA" w:rsidRDefault="006854DA" w:rsidP="006854DA">
      <w:pPr>
        <w:pStyle w:val="TextoNormal"/>
      </w:pPr>
      <w:r>
        <w:t xml:space="preserve">e) Contra la Sentencia y Auto aclaratorio, interpuso doña Carmen Perpiñá Jalencas recurso de casación, que fue estimado por Sentencia de 5 de febrero de 1996, por la que se dejó sin efecto el Auto aclaratorio al considerarlo nulo por prescindir total y absolutamente de las normas esenciales de procedimiento, así como por considerar que el error subsanado por el Auto aclaratorio no podía considerarse error material o aritmético sino un "error de Derecho". </w:t>
      </w:r>
    </w:p>
    <w:p w:rsidR="006854DA" w:rsidRDefault="006854DA" w:rsidP="006854DA">
      <w:pPr>
        <w:pStyle w:val="TextoNormal"/>
      </w:pPr>
      <w:r>
        <w:t>f) El 16 de abril de 1996 el Ayuntamiento hoy recurrente recibió notificación de una resolución de la Sección Sexta de la Audiencia Provincial de Barcelona de 10 de abril de 1996, por la que se le remitía testimonio de la indicada Sentencia de la Sala Segunda del Tribunal Supremo y se le ordenaba que, en cumplimiento de la misma, y en el plazo de cinco días, abonara a la Sra. Perpiñá la cantidad de 6.737.909,- Ptas. Según sus alegaciones, se trató de la primera y única resolución que le fue notificada a lo largo del procedimiento.</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El Ayuntamiento demandante de amparo considera que las Sentencias impugnadas han vulnerado su derecho a la tutela judicial efectiva, causándole indefensión (art. 24.1 C.E.), por cuanto, pese a contar, como perjudicado, con un interés legítimo para constituirse en parte en el proceso penal y haberlo promovido como denunciante, en ningún momento tuvo noticia alguna del estado del procedimiento ni se le hizo el debido ofrecimiento de acciones, por lo que no pudo, ni llegó a constituirse en parte, ni recibió notificación de resolución judicial alguna, hasta la dictada en ejecución de la Sentencia del Tribunal Supremo por la que se le ordenaba pagar la cantidad de 6.737.909,- Ptas. Añade que el ofrecimiento de acciones resultaba especialmente trascendente en un caso como el presente, en el que el resultado final del proceso penal le ha supuesto práctica y materialmente una condena al pago de una importante suma de dinero, y no una mera obligación de acatamiento pasivo del mismo. </w:t>
      </w:r>
    </w:p>
    <w:p w:rsidR="006854DA" w:rsidRDefault="006854DA" w:rsidP="006854DA">
      <w:pPr>
        <w:pStyle w:val="TextoNormal"/>
      </w:pPr>
      <w:r>
        <w:t xml:space="preserve">En consecuencia, solicita de este Tribunal que se declare la nulidad de las Sentencias impugnadas y se retrotraiga el procedimiento penal al momento en el que se le debió hacer el oportuno ofrecimiento de acciones. </w:t>
      </w:r>
    </w:p>
    <w:p w:rsidR="006854DA" w:rsidRDefault="006854DA" w:rsidP="006854DA">
      <w:pPr>
        <w:pStyle w:val="TextoNormal"/>
      </w:pPr>
      <w:r>
        <w:t xml:space="preserve">Mediante otrosí solicita la suspensión de la ejecución de dichas Sentencias, por cuanto su ejecución produciría un grave quebranto a la Hacienda Pública, y, en este caso concreto, a la del Ayuntamiento de L'Ametlla del Vallés. Alega en este sentido que se trata de un </w:t>
      </w:r>
      <w:r>
        <w:lastRenderedPageBreak/>
        <w:t>Municipio pequeño (de 3.362 habitantes), para el que la cantidad a pagar (6.737.909,- Ptas., más los intereses en su caso) resulta muy importante. A mayor abundamiento, alega que el Ayuntamiento carece de previsión o consignación presupuestaria para afrontar el referido pago, fundamentalmente por la imprevisibilidad del mismo.</w:t>
      </w:r>
    </w:p>
    <w:p w:rsidR="006854DA" w:rsidRDefault="006854DA" w:rsidP="006854DA">
      <w:pPr>
        <w:pStyle w:val="TextoNormal"/>
      </w:pPr>
    </w:p>
    <w:p w:rsidR="006854DA" w:rsidRDefault="006854DA" w:rsidP="006854DA">
      <w:pPr>
        <w:pStyle w:val="TextoNormal"/>
      </w:pPr>
      <w:r w:rsidRPr="006854DA">
        <w:rPr>
          <w:rStyle w:val="NumeroAFNegritaCaracter"/>
        </w:rPr>
        <w:t>4</w:t>
      </w:r>
      <w:r>
        <w:t xml:space="preserve">. Mediante escrito registrado en este Tribunal el 25 de julio de 1996, la Procuradora de los Tribunales doña María Jesús González Díez, en nombre y representación de doña Carmen Perpiñá Jalencas, solicitó que se le tuviera por comparecida y parte demandada en el presente recurso de amparo, declarando su inadmisibilidad, o, subsidiariamente, en la pieza separada de suspensión. </w:t>
      </w:r>
    </w:p>
    <w:p w:rsidR="006854DA" w:rsidRDefault="006854DA" w:rsidP="006854DA">
      <w:pPr>
        <w:pStyle w:val="TextoNormal"/>
      </w:pPr>
      <w:r>
        <w:t xml:space="preserve">Señalaba, en primer término, que las Sentencias impugnadas ordenaron la devolución de una cantidad que había depositado cautelarmente en la cuenta corriente del Ayuntamiento el 27 de octubre de 1990, sin que ello comportara reconocimiento alguno de los hechos que se le imputaban. </w:t>
      </w:r>
    </w:p>
    <w:p w:rsidR="006854DA" w:rsidRDefault="006854DA" w:rsidP="006854DA">
      <w:pPr>
        <w:pStyle w:val="TextoNormal"/>
      </w:pPr>
      <w:r>
        <w:t xml:space="preserve">En relación con el objeto del presente recurso, alegaba que la Corporación no podía negar su conocimiento de la incoación y desarrollo del procedimiento penal, pues lo que ocurrió en verdad es que nunca consideró necesario ejercitar las acciones penales que le correspondían y por ello no se personó en el procedimiento. Por esta razón, y a su juicio, el presente recurso sería inadmisible por falta de agotamiento de la vía judicial ordinaria y carencia manifiesta de contenido constitucional. </w:t>
      </w:r>
    </w:p>
    <w:p w:rsidR="006854DA" w:rsidRDefault="006854DA" w:rsidP="006854DA">
      <w:pPr>
        <w:pStyle w:val="TextoNormal"/>
      </w:pPr>
      <w:r>
        <w:t>En lo que atañe a la petición de suspensión, solicita su denegación, por cuanto, de accederse a la misma, sería ella la que vería seriamente mermado su derecho a la tutela judicial efectiva, al suspenderse la ejecución de una Sentencia declarada firme desde hace más de cinco meses, viéndose privada de la devolución de una importante cantidad dineraria que le pertenece y que, por contra, nunca ha tenido la naturaleza de caudal público.</w:t>
      </w:r>
    </w:p>
    <w:p w:rsidR="006854DA" w:rsidRDefault="006854DA" w:rsidP="006854DA">
      <w:pPr>
        <w:pStyle w:val="TextoNormal"/>
      </w:pPr>
    </w:p>
    <w:p w:rsidR="006854DA" w:rsidRDefault="006854DA" w:rsidP="006854DA">
      <w:pPr>
        <w:pStyle w:val="TextoNormal"/>
      </w:pPr>
      <w:r w:rsidRPr="006854DA">
        <w:rPr>
          <w:rStyle w:val="NumeroAFNegritaCaracter"/>
        </w:rPr>
        <w:t>5</w:t>
      </w:r>
      <w:r>
        <w:t>. Por providencia de 22 de octubre de 1996, la Sección Segunda (Sala Primera) de este Tribunal acordó: tener por recibidos los escritos de los Procuradores Sres. Pérez-Mulet Suárez y González Díez, teniendo por personada y parte a esta última en nombre y representación de doña Carmen Perpiñá Jalencas; admitir a trámite la demanda de amparo, sin perjuicio de lo que resulte de los antecedentes; y, a tenor de lo dispuesto en el art. 51 LOTC, requerir al Tribunal Supremo, a la Audiencia Provincial de Barcelona y al Juzgado de Instrucción núm. 2 de Granollers, para que remitieran testimonio del recurso de casación núm. 843/95, del rollo de Sala núm. 5.758/94 y de las diligencias previas núm. 1.339/90, respectivamente. Acordó asimismo formar la correspondiente pieza separada de suspensión.</w:t>
      </w:r>
    </w:p>
    <w:p w:rsidR="006854DA" w:rsidRDefault="006854DA" w:rsidP="006854DA">
      <w:pPr>
        <w:pStyle w:val="TextoNormal"/>
      </w:pPr>
    </w:p>
    <w:p w:rsidR="006854DA" w:rsidRDefault="006854DA" w:rsidP="006854DA">
      <w:pPr>
        <w:pStyle w:val="TextoNormal"/>
      </w:pPr>
      <w:r w:rsidRPr="006854DA">
        <w:rPr>
          <w:rStyle w:val="NumeroAFNegritaCaracter"/>
        </w:rPr>
        <w:t>6</w:t>
      </w:r>
      <w:r>
        <w:t>. Por Auto de 16 de diciembre de 1996, la Sala Primera de este Tribunal acordó denegar la suspensión solicitada.</w:t>
      </w:r>
    </w:p>
    <w:p w:rsidR="006854DA" w:rsidRDefault="006854DA" w:rsidP="006854DA">
      <w:pPr>
        <w:pStyle w:val="TextoNormal"/>
      </w:pPr>
    </w:p>
    <w:p w:rsidR="006854DA" w:rsidRDefault="006854DA" w:rsidP="006854DA">
      <w:pPr>
        <w:pStyle w:val="TextoNormal"/>
      </w:pPr>
      <w:r w:rsidRPr="006854DA">
        <w:rPr>
          <w:rStyle w:val="NumeroAFNegritaCaracter"/>
        </w:rPr>
        <w:t>7</w:t>
      </w:r>
      <w:r>
        <w:t>. Por providencia de 13 de enero de 1997, la Sección Segunda acordó tener por recibidos los testimonios de actuaciones remitidos por la Sala Segunda del Tribunal Supremo y por la Sección Sexta de la Audiencia Provincial de Barcelona; asimismo, a tenor de lo dispuesto en el art. 52 de la LOTC, se acordó dar vista de todas las actuaciones del presente recurso de amparo, por un plazo común de veinte días, al Ministerio Fiscal y a los Procuradores Sr. Pérez-Mulet y Sra. González para que pudieran presentar las alegaciones que estimaran pertinentes.</w:t>
      </w:r>
    </w:p>
    <w:p w:rsidR="006854DA" w:rsidRDefault="006854DA" w:rsidP="006854DA">
      <w:pPr>
        <w:pStyle w:val="TextoNormal"/>
      </w:pPr>
    </w:p>
    <w:p w:rsidR="006854DA" w:rsidRDefault="006854DA" w:rsidP="006854DA">
      <w:pPr>
        <w:pStyle w:val="TextoNormal"/>
      </w:pPr>
      <w:r w:rsidRPr="006854DA">
        <w:rPr>
          <w:rStyle w:val="NumeroAFNegritaCaracter"/>
        </w:rPr>
        <w:t>8</w:t>
      </w:r>
      <w:r>
        <w:t>. Con fecha 7 de febrero de 1997 se registra en este Tribunal el escrito del Procurador Sr. Pérez-Mulet evacuando el trámite señalado. Comienza ratificando los antecedentes fácticos de la demanda de amparo a la luz de las actuaciones judiciales incorporadas al presente procedimiento. Insiste a continuación en lo ya alegado sobre su legitimación en este proceso de amparo y en que no ha existido por su parte desidia o negligencia, sino un error patente de la Audiencia Provincial de Barcelona al no ofrecerle la acción y al calificar de depósito la entrega de la cantidad ingresada en su cuenta. Por último, se reafirma en que no ha sido parte en el procedimiento en el que, en la práctica, ha resultado condenado, y ello como consecuencia de la omisión de un trámite procesal esencial cual es el del ofrecimiento de acciones al ofendido, previsto en los arts. 109 y 783 de la L.E.Crim.</w:t>
      </w:r>
    </w:p>
    <w:p w:rsidR="006854DA" w:rsidRDefault="006854DA" w:rsidP="006854DA">
      <w:pPr>
        <w:pStyle w:val="TextoNormal"/>
      </w:pPr>
    </w:p>
    <w:p w:rsidR="006854DA" w:rsidRDefault="006854DA" w:rsidP="006854DA">
      <w:pPr>
        <w:pStyle w:val="TextoNormal"/>
      </w:pPr>
      <w:r w:rsidRPr="006854DA">
        <w:rPr>
          <w:rStyle w:val="NumeroAFNegritaCaracter"/>
        </w:rPr>
        <w:t>9</w:t>
      </w:r>
      <w:r>
        <w:t xml:space="preserve">. Mediante escrito, registrado el 7 de febrero de 1997, la Procuradora Sra. González Díez formula las alegaciones pertinentes en representación de doña Carmen Perpiñá. En él se señala que la cantidad depositada cautelarmente en la cuenta corriente del Ayuntamiento de L'Ametlla del Vallés, por consejo de su Abogado, no comportaba reconocimiento alguno de los hechos que se le imputaban. Señala, a continuación, que el Ayuntamiento no se encuentra legitimado para impugnar las Sentencias recurridas en amparo, al no haber sido parte en el proceso judicial previo [art. 46.1 b) de la LOTC] por causas únicamente imputables a su propio desinterés en asumir dicha condición procesal en los más de cinco años que han transcurrido entre la formulación de la denuncia y la firmeza de la Sentencia impugnada; no se ha presentado ni un sólo escrito ante la jurisdicción ordinaria, resultando inadmisible que ahora se pretenda subsanar la pasividad y negligencia del Ayuntamiento mediante la interposición "directa" de un recurso de amparo, lo que, necesariamente, debe conducir a su desestimación. </w:t>
      </w:r>
    </w:p>
    <w:p w:rsidR="006854DA" w:rsidRDefault="006854DA" w:rsidP="006854DA">
      <w:pPr>
        <w:pStyle w:val="TextoNormal"/>
      </w:pPr>
      <w:r>
        <w:t>Cita en su apoyo la STC 324/1994, de 1 de diciembre, para señalar lo excepcional que es "que la ausencia de prestación judicial informativa equivalga siempre a una auténtica denegación de acceso a la justicia", cuando dicha carencia se debe prioritariamente a la propia conducta negligente de la parte. En definitiva, solicita la desestimación del recurso, dado que, además, la ejecución de la Sentencia impugnada no supone condena ni perjuicio alguno al Ayuntamiento recurrente, por cuanto debe limitarse a devolver unos fondos cuya titularidad nunca ha ostentado, siendo poseedor de los mismos en calidad de mero depositario a expensas del resultado del proceso penal, ya que el dinero depositado cautelarmente por la Sra. Perpiñá Jalencas hace más de seis años nunca debió ser ingresado de forma definitiva en las arcas municipales.</w:t>
      </w:r>
    </w:p>
    <w:p w:rsidR="006854DA" w:rsidRDefault="006854DA" w:rsidP="006854DA">
      <w:pPr>
        <w:pStyle w:val="TextoNormal"/>
      </w:pPr>
    </w:p>
    <w:p w:rsidR="006854DA" w:rsidRDefault="006854DA" w:rsidP="006854DA">
      <w:pPr>
        <w:pStyle w:val="TextoNormal"/>
      </w:pPr>
      <w:r w:rsidRPr="006854DA">
        <w:rPr>
          <w:rStyle w:val="NumeroAFNegritaCaracter"/>
        </w:rPr>
        <w:t>10</w:t>
      </w:r>
      <w:r>
        <w:t xml:space="preserve">. El Fiscal ante el Tribunal Constitucional formula sus alegaciones en escrito registrado el 12 de febrero de 1997, interesando la desestimación del recurso de amparo. En síntesis, señala que no puede afirmarse con propiedad que la Sentencia de instancia impugnada condenara al Ayuntamiento demandante y, en segundo término, porque todo indica que su inacción procesal se debió, no obstante la omisión injustificada del órgano judicial, a su propia actitud negligente que priva a la indefensión de trascendencia en el orden constitucional. </w:t>
      </w:r>
    </w:p>
    <w:p w:rsidR="006854DA" w:rsidRDefault="006854DA" w:rsidP="006854DA">
      <w:pPr>
        <w:pStyle w:val="TextoNormal"/>
      </w:pPr>
      <w:r>
        <w:t>Para el Ministerio Público, en el caso que se somete a la consideración del Tribunal, son repetidos los indicios que hacen inferir la actitud negligente del Ayuntamiento demandante: ante todo, el proceso se inició por denuncia deducida por él mismo, lo que le obligaba, tras haber puesto en acción la actividad jurisdiccional a atender su desenvolvi</w:t>
      </w:r>
      <w:r>
        <w:lastRenderedPageBreak/>
        <w:t xml:space="preserve">miento; la prueba practicada requirió de elementos documentales facilitados por el propio Ayuntamiento, hecho incompatible con la ignorancia que se alega y, en fin, el propio Alcalde acudió como testigo a la vista oral según se hace constar en la Sentencia de instancia. Parece, en suma, que seguro el demandante de la condena, por la asunción extraprocesal de la responsabilidad, por parte de la denunciada y de la efectividad de la restitución, por el depósito, no se ocupó del proceso, iniciado a su instancia, hasta ser requerido para la devolución de la cantidad depositada. A juicio del Fiscal tal actitud priva a la indefensión que se sufriera de trascendencia constitucional. Y esta valoración, dice, no puede ser enervada por la incorrecta omisión del ofrecimiento de acciones por parte del Juzgado. En casos semejantes en que, a la negligencia evidente de la parte, se une la incorrección procesal del órgano judicial, este Tribunal otorgó superior valor a la primera (Vid. SSTC 99/1992, 155/1994). </w:t>
      </w:r>
    </w:p>
    <w:p w:rsidR="006854DA" w:rsidRDefault="006854DA" w:rsidP="006854DA">
      <w:pPr>
        <w:pStyle w:val="TextoNormal"/>
      </w:pPr>
      <w:r>
        <w:t>Por lo expuesto, el Fiscal, interesa de la Sala, de conformidad con lo que dispone el art. 53, apartado b) de la LOTC, la desestimación del recurso de amparo formalizado.</w:t>
      </w:r>
    </w:p>
    <w:p w:rsidR="006854DA" w:rsidRDefault="006854DA" w:rsidP="006854DA">
      <w:pPr>
        <w:pStyle w:val="TextoNormal"/>
      </w:pPr>
    </w:p>
    <w:p w:rsidR="006854DA" w:rsidRDefault="006854DA" w:rsidP="006854DA">
      <w:pPr>
        <w:pStyle w:val="TextoNormal"/>
      </w:pPr>
      <w:r w:rsidRPr="006854DA">
        <w:rPr>
          <w:rStyle w:val="NumeroAFNegritaCaracter"/>
        </w:rPr>
        <w:t>11</w:t>
      </w:r>
      <w:r>
        <w:t>. Por providencia de 21 de julio de 1997 se acordó señalar el siguiente día 22 de julio para deliberación y votación de la presente Sentencia.</w:t>
      </w:r>
    </w:p>
    <w:p w:rsidR="006854DA" w:rsidRDefault="006854DA" w:rsidP="006854DA">
      <w:pPr>
        <w:pStyle w:val="TextoNormal"/>
      </w:pPr>
    </w:p>
    <w:p w:rsidR="006854DA" w:rsidRDefault="006854DA" w:rsidP="006854DA">
      <w:pPr>
        <w:pStyle w:val="TextoNormalNegritaCentrado"/>
        <w:keepNext/>
      </w:pPr>
      <w:r>
        <w:t>II. Fundamentos jurídicos</w:t>
      </w:r>
    </w:p>
    <w:p w:rsidR="006854DA" w:rsidRDefault="006854DA" w:rsidP="006854DA">
      <w:pPr>
        <w:pStyle w:val="TextoNormalNegritaCentrado"/>
        <w:keepNext/>
      </w:pPr>
    </w:p>
    <w:p w:rsidR="006854DA" w:rsidRDefault="006854DA" w:rsidP="006854DA">
      <w:pPr>
        <w:pStyle w:val="TextoNormal"/>
      </w:pPr>
      <w:r w:rsidRPr="006854DA">
        <w:rPr>
          <w:rStyle w:val="NumeroAFNegritaCaracter"/>
        </w:rPr>
        <w:t>1</w:t>
      </w:r>
      <w:r>
        <w:t>. El objeto del presente recurso de amparo consiste en determinar si en el procedimiento finalizado con la Sentencia de la Sala de lo Penal del Tribunal Supremo, de 5 de Febrero de 1.996, se ha vulnerado el derecho del Ayuntamiento de L'Ametlla del Vallés a obtener tutela judicial efectiva, en su manifestación del derecho al libre acceso a los Tribunales, contemplado en el art. 24.1 C.E.</w:t>
      </w:r>
    </w:p>
    <w:p w:rsidR="006854DA" w:rsidRDefault="006854DA" w:rsidP="006854DA">
      <w:pPr>
        <w:pStyle w:val="TextoNormal"/>
      </w:pPr>
      <w:r>
        <w:t>Pero, antes de entrar en el examen del fondo de este amparo, hemos de dar respuesta a la excepción procesal, aducida por la representación de la Sra.  Perpiñá, conforme a la cual concurre en el presente caso la falta de legitimación activa de la Corporación recurrente, prevista en el art. 46.1b) de la LOTC, al no haber sido parte en el proceso judicial previo al presente recurso de amparo.</w:t>
      </w:r>
    </w:p>
    <w:p w:rsidR="006854DA" w:rsidRDefault="006854DA" w:rsidP="006854DA">
      <w:pPr>
        <w:pStyle w:val="TextoNormal"/>
      </w:pPr>
      <w:r>
        <w:t>Dicha excepción no puede prosperar si se repara en que el art. 46.1b) LOTC no contempla, en modo alguno, la falta de legitimación activa, y ello por la sencilla razón de que, si así fuera, en la medida en que restringe el requisito del "interés legítimo", trazado por los arts. 53.2 y 162.1.b de la C.E., devendría inconstitucional.</w:t>
      </w:r>
    </w:p>
    <w:p w:rsidR="006854DA" w:rsidRDefault="006854DA" w:rsidP="006854DA">
      <w:pPr>
        <w:pStyle w:val="TextoNormal"/>
      </w:pPr>
      <w:r>
        <w:t>Dicho precepto, sin embargo, no viene a identificar la legitimación activa con la exigencia de "haber sido parte en el proceso judicial correspondiente", sino a incorporar, junto a la legitimación activa, un segundo presupuesto del ejercicio de los medios de impugnación devolutivos, cual es la aptitud o derecho de conducción procesal que, como regla general, impide el ejercicio de un recurso a quien no haya sido parte en la instancia precedente.</w:t>
      </w:r>
    </w:p>
    <w:p w:rsidR="006854DA" w:rsidRDefault="006854DA" w:rsidP="006854DA">
      <w:pPr>
        <w:pStyle w:val="TextoNormal"/>
      </w:pPr>
      <w:r>
        <w:t>La interpretación que de este presupuesto procesal ha efectuado este Tribunal presenta un marcado carácter flexible; y así, hemos eximido del estricto cumplimiento de este requisito cuando obstaculizara injustificadamente el acceso a este proceso constitucional, (SSTC 46/1982, 83/1985, 67/1986) tal y como acontece, por ejemplo, con los litisconsortes ausentes en el proceso que sufran el gravamen en la última sentencia recaída en la vía judicial ordinaria (SSTC 42/1989, 43/1990, 61/1990, 184/1995).</w:t>
      </w:r>
    </w:p>
    <w:p w:rsidR="006854DA" w:rsidRDefault="006854DA" w:rsidP="006854DA">
      <w:pPr>
        <w:pStyle w:val="TextoNormal"/>
      </w:pPr>
      <w:r>
        <w:lastRenderedPageBreak/>
        <w:t>En dicha relación de excepciones hay que incluir, desde luego, al supuesto que nos ocupa, en el que la denuncia de la violación del derecho fundamental, consistente en la no llamada al proceso por el Juez de Instrucción al recurrente, dada su doble cualidad de ofendido y perjudicado por el delito, viene a coincidir precisamente con el incumplimiento de la falta de conducción procesal por no haber sido parte en el proceso previo. Es claro que, si este Tribunal apreciara la ausencia de este presupuesto procesal en el caso que nos ocupa, nunca podría restablecerse el derecho a la tutela judicial efectiva cuando la violación consistiera en la de la primera exigencia de este derecho fundamental, cual es el derecho al libre acceso a la Jurisdicción, y basta con constatarlo así, para eximirnos de cualquier otro razonamiento.</w:t>
      </w:r>
    </w:p>
    <w:p w:rsidR="006854DA" w:rsidRDefault="006854DA" w:rsidP="006854DA">
      <w:pPr>
        <w:pStyle w:val="TextoNormal"/>
      </w:pPr>
    </w:p>
    <w:p w:rsidR="006854DA" w:rsidRDefault="006854DA" w:rsidP="006854DA">
      <w:pPr>
        <w:pStyle w:val="TextoNormal"/>
      </w:pPr>
      <w:r w:rsidRPr="006854DA">
        <w:rPr>
          <w:rStyle w:val="NumeroAFNegritaCaracter"/>
        </w:rPr>
        <w:t>2</w:t>
      </w:r>
      <w:r>
        <w:t>. Despejado el anterior óbice procesal, la cuestión ha de centrarse en si, como sostiene la Entidad recurrente, se ha producido la denunciada vulneración del derecho a obtener la tutela judicial efectiva, sin indefensión. Dicha vulneración se habría producido al no haberse procedido por el Juzgado de Instrucción al ofrecimiento de acciones, una vez que fue admitida a trámite la denuncia presentada.</w:t>
      </w:r>
    </w:p>
    <w:p w:rsidR="006854DA" w:rsidRDefault="006854DA" w:rsidP="006854DA">
      <w:pPr>
        <w:pStyle w:val="TextoNormal"/>
      </w:pPr>
      <w:r>
        <w:t>Nota esencial del derecho a la tutela que han de cumplir los Tribunales es la de posibilitar el libre acceso de las partes al proceso. De ahí que, incoada una instrucción penal, el Juez haya de otorgar al ofendido por el delito la posibilidad de ejercicio del derecho a la tutela mediante el denominado "ofrecimiento de acciones" a fin de que pueda comparecer y mostrarse parte en la causa ya incoada, todo ello en orden a que pueda deducir y sostener la pretensión penal (STC 37/1993). No cabe negar, pues, la posibilidad de que, en determinados supuestos, la falta de ofrecimiento de acciones al ofendido o al interesado que no conozca la existencia del proceso (SSTC 121/1994 y 278/1994) o la información judicial defectuosa (STC 66/1992), conviertan el incumplimiento del deber de información al que se refiere el art. 109 L.E.Crim. en auténtica denegación de tutela, con frustración del derecho del ofendido a erigirse en acusador particular en el proceso.</w:t>
      </w:r>
    </w:p>
    <w:p w:rsidR="006854DA" w:rsidRDefault="006854DA" w:rsidP="006854DA">
      <w:pPr>
        <w:pStyle w:val="TextoNormal"/>
      </w:pPr>
      <w:r>
        <w:t>La anterior doctrina, ello no obstante, ha de ser conjugada con la de la indefensión. Sobre la indefensión que el art. 24.1 C.E. proscribe se ha dicho reiteradamente por este Tribunal que sólo cabe otorgar relevancia constitucional a la indefensión que tiene un carácter material, a diferencia del carácter marcadamente formal que dicho concepto reviste en el ámbito del Derecho procesal, de tal forma que no toda infracción o irregularidad procesal cometida por los órganos judiciales provoca, en todos los casos, la eliminación o disminución en sustancia de los derechos que corresponden a las partes en el proceso (SSTC 35/1989 y 52/1989). De tal manera, que la indefensión prohibida por el art. 24.1 C.E. no nace de la simple infracción por los órganos judiciales de las reglas procesales, sino que es necesario que tenga una significación material o que produzca un efectivo y real menoscabo o limitación del derecho de defensa como consecuencia directa de la acción u omisión de los órganos judiciales (SSTC 149/1987, 155/1988, 43/1989, 123/1989, 145/1990, 196/1990, 154/1991, 366/1993 y 18/1995, entre otras), toda vez que el recurso de amparo no es una vía orientada a corregir cualquier infracción procedimental, sino exclusivamente aquellas que produzcan, efectivamente, la lesión de un derecho fundamental (SSTC 149/1987, 101/1990, 188/1993, 111/1996 y 9/1997, por todas).</w:t>
      </w:r>
    </w:p>
    <w:p w:rsidR="006854DA" w:rsidRDefault="006854DA" w:rsidP="006854DA">
      <w:pPr>
        <w:pStyle w:val="TextoNormal"/>
      </w:pPr>
    </w:p>
    <w:p w:rsidR="006854DA" w:rsidRDefault="006854DA" w:rsidP="006854DA">
      <w:pPr>
        <w:pStyle w:val="TextoNormal"/>
      </w:pPr>
      <w:r w:rsidRPr="006854DA">
        <w:rPr>
          <w:rStyle w:val="NumeroAFNegritaCaracter"/>
        </w:rPr>
        <w:t>3</w:t>
      </w:r>
      <w:r>
        <w:t xml:space="preserve">. En el presente caso, y aun cuando el Juzgado debió suministrar al Ayuntamiento recurrente la información esencial a que se refiere el art. 109 L.E.Crim., como señala el Ministerio Fiscal, sólo a la pasividad y negligencia de la Entidad local cabe achacar su pretendido apartamiento del procedimiento penal. Al respecto, es doctrina reiterada de este </w:t>
      </w:r>
      <w:r>
        <w:lastRenderedPageBreak/>
        <w:t>Tribunal que, si bien los errores de los órganos judiciales no deben producir efectos negativos en la esfera jurídica del ciudadano (SSTC 93/1983, 172/1985, 107/1987, 130/1987, 190/1990, 101/1992 y 22/1993), esos efectos carecerán de relevancia desde el punto de vista del amparo cuando el error sea también imputable a la pasividad, desinterés o negligencia de la parte (SSTC 107/1987, 130/1987, 180/1987, 101/1989, 334/1994 y 80/1995).</w:t>
      </w:r>
    </w:p>
    <w:p w:rsidR="006854DA" w:rsidRDefault="006854DA" w:rsidP="006854DA">
      <w:pPr>
        <w:pStyle w:val="TextoNormal"/>
      </w:pPr>
      <w:r>
        <w:t>La anterior doctrina es enteramente aplicable al presente caso, en el que la Corporación recurrente conocía, tanto la existencia del proceso, como su derecho a mostrarse parte con anterioridad al trámite de formalización de la acusación. Aun cuando se produjera la omisión del ofrecimiento de acciones por parte del Juzgado, no cabe alegarse ahora por quien puso en acción la actividad jurisdiccional del Estado, mediante la denuncia formulada ante el Juzgado, ratificándola tres meses después, aportó los documentos requeridos en la fase de prueba, y, en fin, acudió al juicio oral en la persona de su Alcalde-Presidente como testigo, que se produjera la indefensión proscrita por el art. 24.1 C.E. De las actuaciones, por el contrario, se deduce la manifiesta pasividad y desinterés de la Entidad recurrente en constituirse en parte acusadora e, incluso, en el seguimiento del procedimiento, lo que evidencia la ausencia de indefensión material en el proceso a quo.</w:t>
      </w:r>
    </w:p>
    <w:p w:rsidR="006854DA" w:rsidRDefault="006854DA" w:rsidP="006854DA">
      <w:pPr>
        <w:pStyle w:val="TextoNormal"/>
      </w:pPr>
    </w:p>
    <w:p w:rsidR="006854DA" w:rsidRDefault="006854DA" w:rsidP="006854DA">
      <w:pPr>
        <w:pStyle w:val="TextoNormalCentrado"/>
        <w:keepNext/>
      </w:pPr>
      <w:r>
        <w:t>FALLO</w:t>
      </w:r>
    </w:p>
    <w:p w:rsidR="006854DA" w:rsidRDefault="006854DA" w:rsidP="006854DA">
      <w:pPr>
        <w:pStyle w:val="TextoNormalCentrado"/>
        <w:keepNext/>
      </w:pPr>
    </w:p>
    <w:p w:rsidR="006854DA" w:rsidRDefault="006854DA" w:rsidP="006854DA">
      <w:pPr>
        <w:pStyle w:val="TextoNormal"/>
      </w:pPr>
      <w:r>
        <w:t>En atención a todo lo expuesto, el Tribunal Constitucional, POR LA AUTORIDAD QUE LE CONFIERE LA CONSTITUCION DE LA NACIÓN ESPAÑOLA,</w:t>
      </w:r>
    </w:p>
    <w:p w:rsidR="006854DA" w:rsidRDefault="006854DA" w:rsidP="006854DA">
      <w:pPr>
        <w:pStyle w:val="TextoNormal"/>
      </w:pPr>
    </w:p>
    <w:p w:rsidR="006854DA" w:rsidRDefault="006854DA" w:rsidP="006854DA">
      <w:pPr>
        <w:pStyle w:val="TextoNormalCentrado"/>
        <w:keepNext/>
      </w:pPr>
      <w:r>
        <w:t>Ha decidido</w:t>
      </w:r>
    </w:p>
    <w:p w:rsidR="006854DA" w:rsidRDefault="006854DA" w:rsidP="006854DA">
      <w:pPr>
        <w:pStyle w:val="TextoNormalCentrado"/>
        <w:keepNext/>
      </w:pPr>
    </w:p>
    <w:p w:rsidR="006854DA" w:rsidRDefault="006854DA" w:rsidP="006854DA">
      <w:pPr>
        <w:pStyle w:val="TextoNormal"/>
      </w:pPr>
      <w:r>
        <w:t>Desestimar el amparo solicitado.</w:t>
      </w:r>
    </w:p>
    <w:p w:rsidR="006854DA" w:rsidRDefault="006854DA" w:rsidP="006854DA">
      <w:pPr>
        <w:pStyle w:val="TextoNormal"/>
      </w:pPr>
    </w:p>
    <w:p w:rsidR="006854DA" w:rsidRDefault="006854DA" w:rsidP="006854DA">
      <w:pPr>
        <w:pStyle w:val="TextoNormal"/>
      </w:pPr>
      <w:r>
        <w:t>Publíquese esta Sentencia en el Boletín Oficial del Estado.</w:t>
      </w:r>
    </w:p>
    <w:p w:rsidR="006854DA" w:rsidRDefault="006854DA" w:rsidP="00FA0779">
      <w:pPr>
        <w:pStyle w:val="TextoNormal"/>
      </w:pPr>
      <w:r>
        <w:t>Dada en Madrid a veintidós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6854DA">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ParrafoNormal"/>
      </w:pPr>
    </w:p>
    <w:p w:rsidR="00FA0779" w:rsidRDefault="00FA0779" w:rsidP="00FA0779">
      <w:pPr>
        <w:pStyle w:val="CabeceraApartado"/>
      </w:pPr>
      <w:r>
        <w:t>AUTOS</w:t>
      </w:r>
    </w:p>
    <w:p w:rsidR="00FA0779" w:rsidRDefault="00FA0779">
      <w:pPr>
        <w:rPr>
          <w:rFonts w:ascii="Times New Roman" w:eastAsia="Times New Roman" w:hAnsi="Times New Roman" w:cs="Times New Roman"/>
          <w:sz w:val="48"/>
          <w:szCs w:val="24"/>
          <w:lang w:eastAsia="es-ES"/>
        </w:rPr>
      </w:pPr>
      <w:r>
        <w:br w:type="page"/>
      </w:r>
    </w:p>
    <w:p w:rsidR="00FA0779" w:rsidRDefault="00FA0779" w:rsidP="00FA0779">
      <w:pPr>
        <w:pStyle w:val="TtuloResolucin"/>
      </w:pPr>
      <w:bookmarkStart w:id="57" w:name="AUTO_1997_124"/>
      <w:r>
        <w:lastRenderedPageBreak/>
        <w:t>AUTO 124/1997, de 5 de mayo de 1997</w:t>
      </w:r>
    </w:p>
    <w:bookmarkEnd w:id="57"/>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ECLI:ES:TC:1997:124A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Reiterando la suspensión, previamente acordada, de la ejecución del acto que origina el recurso de amparo 3.819/1994.</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Procurador de los Tribunales don José Pedro Vila Rodríguez, en representación de don José Ramón Prado Bugallo y por escrito registrado el 28 de noviembre de 1994, interpuso recurso de amparo contra las Sentencias dictadas por la Sala de lo Penal de la Audiencia Nacional y la Sala Segunda del Tribunal Supremo en 26 de junio de 1993 y 31 de octubre de 1994, respectivamente, por las que aquél fue condenado, como autor criminalmente responsable de un delito contra la salud pública en su modalidad de tráfico de drogas, a las penas de veinte años de reclusión menor y multa de 205.000.000 de pesetas. En la demanda de amparo se nos dice que las referidas resoluciones judiciales han vulnerado los derechos del recurrente a la tutela judicial efectiva sin indefensión, a utilizar los medios de prueba pertinentes para la defensa, a un proceso con todas las garantías y al secreto de las comunicaciones (arts. 24 y 18.3 C.E.) y se nos pide que, con reconocimiento de los derechos fundamentales que se dicen vulnerados, se anulen aquellas resoluciones. En el lugar correspondiente de la demanda se interesó la suspensión de la ejecución de las Sentencias recurridas, toda vez que el amparo solicitado perdería su finalidad si se llevase a cabo la ejecución.</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29 de mayo de 1995, acordó formar la correspondiente pieza separada y conceder en ella un plazo común de tres días al demandante y al Fiscal para que dentro del mismo pudieran alegar cuanto estimaran pertinente en relación con la medida cautelar solicitada. Evacuaron el trámite mediante sendos escritos respectivamente presentados los días 1 y 6 de junio siguiente. Esta Sala, en Auto de 3 de julio de 1995 (ATC 197/1995), denegó la suspensión instada.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20 de diciembre de 1996, el demandante de amparo ha presentado escrito interesando de nuevo la suspensión de la ejecución de las Sentencias que recurre en amparo, argumentando que, incluyendo la redención de penas por el trabajo, ha cumplido ya más de once años de prisión de la condena de veinte que le fue impuesta. Ello significa que, en un plazo máximo de dos años, podrá acogerse a los beneficios de la condena condicional y se habrá ejecutado la pena privativa de libertad impuesta haciendo perder al amparo su </w:t>
      </w:r>
      <w:r>
        <w:lastRenderedPageBreak/>
        <w:t>finalidad de manera absoluta, no resultando ya válidos los argumentos de la gravedad de los hechos penados y la alarma social producida porque, de primar estos últimos, llegaríamos a preferir la injusticia al desorden, y así ha sido reconocido por la reciente Sentencia de la Sala Segunda del Tribunal Supremo de 7 de diciembre de 1996, donde se ratifica la nulidad de las escuchas telefónicas practicadas, escuchas que son las mismas que sirvieron como prueba de cargo para condenarle a él.</w:t>
      </w:r>
    </w:p>
    <w:p w:rsidR="00FA0779" w:rsidRDefault="00FA0779" w:rsidP="00FA0779">
      <w:pPr>
        <w:pStyle w:val="TextoNormal"/>
      </w:pPr>
    </w:p>
    <w:p w:rsidR="00FA0779" w:rsidRDefault="00FA0779" w:rsidP="00FA0779">
      <w:pPr>
        <w:pStyle w:val="TextoNormal"/>
      </w:pPr>
      <w:r w:rsidRPr="00FA0779">
        <w:rPr>
          <w:rStyle w:val="NumeroAFNegritaCaracter"/>
        </w:rPr>
        <w:t>4</w:t>
      </w:r>
      <w:r>
        <w:t>. De la anterior solicitud se ha dado traslado al Fiscal que, en escrito registrado el 17 de enero del presente año, se ha opuesto a la misma, invocando al efecto el ATC 348/96 y exponiendo que la Sentencia de la Sala Segunda del Tribunal Supremo a que alude el recurrente y la absolución en ella contenida ninguna incidencia puede tener en este recurso de amparo.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En nuestro Auto de 3 de julio de 1995 (ATC 197/1995) denegamos la suspensión de la ejecución de las penas privativas de libertad a que el demandante de amparo ha sido condenado, únicas frente a las que ejercita la pretensión de suspensión, tomando en consideración la naturaleza de los hechos por los que ha sido condenado (tráfico de drogas), la pena privativa de libertad que se le ha impuesto (veinte años) y el tiempo que le quedaba por cumplir, que excedía con mucho el que se consume normalmente en la tramitación y resolución de un recurso de amparo (algo más de un año, aproximadamente).</w:t>
      </w:r>
    </w:p>
    <w:p w:rsidR="00FA0779" w:rsidRDefault="00FA0779" w:rsidP="00FA0779">
      <w:pPr>
        <w:pStyle w:val="TextoNormal"/>
      </w:pPr>
      <w:r>
        <w:t>De esas tres circunstancias, que entonces fueron tomadas en consideración para decidir, sólo una se ha alterado, la relativa al tiempo que le queda por cumplir al demandante de su condena y al de resolución del recurso de amparo.  Es obvio que hoy le restan aproximadamente veintidós meses menos de condena y presumiblemente el recurso de amparo no va a ser resuelto en el plazo que allí se decía, fundamentalmente por la complejidad del asunto, la variedad de alegaciones realizadas por el recurrente y el volumen de la documentación a utilizar, que ya provocó dificultades para que el Fiscal evacuara el trámite de alegaciones del art. 52 LOTC.</w:t>
      </w:r>
    </w:p>
    <w:p w:rsidR="00FA0779" w:rsidRDefault="00FA0779" w:rsidP="00FA0779">
      <w:pPr>
        <w:pStyle w:val="TextoNormal"/>
      </w:pPr>
    </w:p>
    <w:p w:rsidR="00FA0779" w:rsidRDefault="00FA0779" w:rsidP="00FA0779">
      <w:pPr>
        <w:pStyle w:val="TextoNormal"/>
      </w:pPr>
      <w:r w:rsidRPr="00FA0779">
        <w:rPr>
          <w:rStyle w:val="NumeroAFNegritaCaracter"/>
        </w:rPr>
        <w:t>2</w:t>
      </w:r>
      <w:r>
        <w:t>. Ahora bien, el anterior cambio de circunstancias no es bastante para que alteremos el criterio que manifestamos en el ATC 197/1995, si bien aconseja proceder al más pronto señalamiento para deliberación y votación de la Sentencia que haya de dictarse en resolución de la pretensión de amparo. El interés general sigue reclamando en este caso con especial intensidad el cumplimiento de la pena, para satisfacer la función de prevención general, disuasoria y ejemplificadora, que le es inherente junto a la retributiva.  Ello, como ya dijimos en el citado Auto, no haría perder al amparo su finalidad de manera absoluta, sino parcial y limitadamente, en el caso de que la pretensión de amparo tuviera éxito, y siempre, claro está, dejando a salvo la competencia de los jueces encargados de ejecutar la sentencia, en aplicación de la legalidad ordinaria, para adoptar en cada momento las medidas que consideren pertinentes al respecto.</w:t>
      </w:r>
    </w:p>
    <w:p w:rsidR="00FA0779" w:rsidRDefault="00FA0779" w:rsidP="00FA0779">
      <w:pPr>
        <w:pStyle w:val="TextoNormal"/>
      </w:pPr>
      <w:r>
        <w:t>La anterior solución es la que hemos adoptado en el ATC 348/1996 en relación con la nueva solicitud de suspensión deducida en el recurso de amparo núm.  3.822/94 por don Diego Soto Sánchez, condenado en la misma causa que el aquí solicitante de amparo, solución que, por lo demás, no puede verse enervada por el contenido de la Sentencia dictada el 7 de diciembre de 1996 por la Sala Segunda del Tribunal Supremo, que ha de produ</w:t>
      </w:r>
      <w:r>
        <w:lastRenderedPageBreak/>
        <w:t>cir sus efectos en la causa en que ha sido dictada respecto de quienes aparecían como enjuiciados en la misma y que no puede expandirlos a un recurso de amparo ajeno y mucho menos a la pieza separada de suspensión en él abierta.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Sala, acuerda denegar la nueva petición de suspensión del cumplimiento de la condena impuesta al demandante y proceder al más pronto señalamiento para deliberación y votación del recurso de que esta pieza separada dimana.</w:t>
      </w:r>
    </w:p>
    <w:p w:rsidR="00FA0779" w:rsidRDefault="00FA0779" w:rsidP="00FA0779">
      <w:pPr>
        <w:pStyle w:val="TextoNormal"/>
      </w:pPr>
    </w:p>
    <w:p w:rsidR="00FA0779" w:rsidRDefault="00FA0779" w:rsidP="00FA0779">
      <w:pPr>
        <w:pStyle w:val="TextoNormal"/>
      </w:pPr>
      <w:r>
        <w:t>Madrid, a cinco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58" w:name="AUTO_1997_125"/>
      <w:r>
        <w:lastRenderedPageBreak/>
        <w:t>AUTO 125/1997, de 5 de mayo de 1997</w:t>
      </w:r>
    </w:p>
    <w:bookmarkEnd w:id="58"/>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ECLI:ES:TC:1997:125A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2.612/1996.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Procurador de los Tribunales don Fernando Gala Escribano, en nombre de doña María Ángeles Farinós Cordón y mediante escrito que presentó el 26 de junio de 1996, interpuso recurso de amparo contra el Auto que la Sección Sexta de la Audiencia Provincial de Valencia dictó el 5 de junio de 1996 adoptando medidas cautelares en juicio declarativo de menor cuantía instado contra su representada, sobre nulidad de determinadas escrituras públicas de compraventa de acciones de la compañía «La Maquinista Valenciana, S.A.». En la demanda de amparo se afirma que la resolución judicial en cuestión es incongruente y vulnera el derecho a la tutela judicial efectiva de la actora y se solicita que, otorgando el amparo que se interesa, sea dictada Sentencia anulando el Auto recurrido y retrotrayendo las actuaciones procesales al momento inmediatamente anterior a su pronunciamiento </w:t>
      </w:r>
    </w:p>
    <w:p w:rsidR="00FA0779" w:rsidRDefault="00FA0779" w:rsidP="00FA0779">
      <w:pPr>
        <w:pStyle w:val="TextoNormal"/>
      </w:pPr>
      <w:r>
        <w:t>En el lugar correspondiente de la demanda se interesó la suspensión de la ejecución de aquella resolución judicial, ya que, de aplicarse las medidas cautelares adoptadas se causaría un grave perjuicio a la compañía mercantil «La Maquinista Valenciana, S.A.», sobre la que recae la medida de intervención judicial decretada que, por lo demás, no fue solicitada por nadie. Desde otra perspectiva, aquella ejecución haría perder al amparo su finalidad, no suponiendo la suspensión de la ejecución perjuicio o perturbación grave de los intereses generales o de los derechos fundamentales o libertades públicas de un tercero; es más, con la suspensión se preservarían los intereses de la citada sociedad.</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20 de febrero de 1997, acordó formar la correspondiente pieza separada y conceder en ella un plazo común de tres días al Ministerio Fiscal y a la demandante para que dentro del mismo pudieran alegar cuanto estimaran pertinente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demandante ha evacuado el traslado el 27 de febrero, mediante escrito en el que reitera su solicitud y abunda en los perjuicios en que, según su criterio, se están causando a la sociedad «La Maquinista Valenciana, S.A.», con la puesta en práctica de las medidas precautorias decretadas en el Auto recurrido. Por su parte el Fiscal sostiene, en la misma </w:t>
      </w:r>
      <w:r>
        <w:lastRenderedPageBreak/>
        <w:t>línea, que debe decretarse la suspensión en cuestión porque la resolución judicial discutida establece la intervención de una persona jurídica que no ha sido parte en el proceso y por lo tanto no ha sido oída, y esa intervención, dada la naturaleza y amplitud con la que se ha acordado, supone la pérdida de independencia de su vida y actividad mercantil con las consecuencias negativas que para el comercio y respecto a terceros proveedores significa la intervención judicial de una empresa. En definitiva, la ejecución de esta resolución puede suponer perjuicios que hagan perder al amparo su finalidad.</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 de terceros, cuya perturbación grave o lesión actúa como límite de la medida cautela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00FA0779" w:rsidRDefault="00FA0779" w:rsidP="00FA0779">
      <w:pPr>
        <w:pStyle w:val="TextoNormal"/>
      </w:pPr>
    </w:p>
    <w:p w:rsidR="00FA0779" w:rsidRDefault="00FA0779" w:rsidP="00FA0779">
      <w:pPr>
        <w:pStyle w:val="TextoNormal"/>
      </w:pPr>
      <w:r w:rsidRPr="00FA0779">
        <w:rPr>
          <w:rStyle w:val="NumeroAFNegritaCaracter"/>
        </w:rPr>
        <w:t>2</w:t>
      </w:r>
      <w:r>
        <w:t>. El análisis de los intereses en conflicto, dentro del caso concreto que nos ocupa, desvela ante todo que existe un interés general latente, intrínseco a la ejecutoriedad de toda resolución judicial definitiva y firme, como exigencia inherente a la efectividad de la tutela judicial, cuya plenitud sólo así se alcanza. La petición de la demandante de amparo, desde la perspectiva opuesta, tiene un contenido exclusivamente económico y para fundamentarla se limita a alegar que la puesta en marcha de la medida cautelar adoptada en el Auto que combate está causando unos perjuicios irreparables a la compañía «La Maquinista Valenciana, S.A.», haciendo perder su finalidad al amparo que interesa.</w:t>
      </w:r>
    </w:p>
    <w:p w:rsidR="00FA0779" w:rsidRDefault="00FA0779" w:rsidP="00FA0779">
      <w:pPr>
        <w:pStyle w:val="TextoNormal"/>
      </w:pPr>
      <w:r>
        <w:t xml:space="preserve">Siendo tal el planteamiento, nuestra decisión no puede ser otra que denegar 1a suspensión. La alegada pérdida de la finalidad del amparo no es correlato de 1 ejecución de la medida cautelar de intervención judicial, que puede, quizá, causar perjuicios a «La Maquinista Valenciana», pero a quien pide el amparo, cuya pretensión se reduce a que, con </w:t>
      </w:r>
      <w:r>
        <w:lastRenderedPageBreak/>
        <w:t>anulación del Auto impugnado, sea resuelta la solicitud de medidas cautelares en el proceso civil dentro de los términos en que fue deducida. La demandante carece de legitimación para actuar en interés de la citada sociedad. El art. 56.1 LOTC sólo toma en consideración los derechos fundamentales y las libertades públicas de terceras personas para negar la suspensión, pero no para decretarla.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Sala acuerda denegar la suspensión de la resolución judicial objeto de este recurso de amparo.</w:t>
      </w:r>
    </w:p>
    <w:p w:rsidR="00FA0779" w:rsidRDefault="00FA0779" w:rsidP="00FA0779">
      <w:pPr>
        <w:pStyle w:val="TextoNormal"/>
      </w:pPr>
    </w:p>
    <w:p w:rsidR="00FA0779" w:rsidRDefault="00FA0779" w:rsidP="00FA0779">
      <w:pPr>
        <w:pStyle w:val="TextoNormal"/>
      </w:pPr>
      <w:r>
        <w:t>Madrid, a cinco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59" w:name="AUTO_1997_126"/>
      <w:r>
        <w:lastRenderedPageBreak/>
        <w:t>AUTO 126/1997, de 5 de mayo de 1997</w:t>
      </w:r>
    </w:p>
    <w:bookmarkEnd w:id="59"/>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ECLI:ES:TC:1997:126A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2.747/1996.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Procurador de los Tribunales don Luis Piñeira de la Sierra, en nombre de las Asociaciones de Vecinos de El Campello» y «Colonia Trinidad la Unión» y mediante escrito presentado el 8 de julio de 1996, interpuso recurso de amparo contra la Sentencia que la Sección Primera de la Sala de lo Contencioso-Administrativo del Tribunal Superior de Justicia de la Comunidad Valenciana dictó el 27 de mayo del mismo año, inadmitiendo, por falta de legitimación, el recurso contencioso-administrativo que formularon contra las liquidaciones giradas por la Mancomunidad L'Alacantí en concepto de precio público, correspondiente al ejercicio de 1992, del servicio de aguas residuales del municipio de El Campello. </w:t>
      </w:r>
    </w:p>
    <w:p w:rsidR="00FA0779" w:rsidRDefault="00FA0779" w:rsidP="00FA0779">
      <w:pPr>
        <w:pStyle w:val="TextoNormal"/>
      </w:pPr>
      <w:r>
        <w:t>En la demanda de amparo se invocan la libertad de asociación (art. 22 C.E.) y el derecho a obtener una efectiva tutela judicial (art. 24.1 C.E.) y se interesa que, otorgando el amparo solicitado, sea dictada Sentencia anulando la resolución recurrida y retrotrayendo las actuaciones al momento inmediatamente anterior al de su pronunciamiento, al objeto de que sea dictada otra nueva entrando en el fondo de la cuestión controvertida. También se interesa en dicho escrito rector que, entre tanto se resuelve el recurso de amparo, sea decretada la suspensión de la ejecución de las liquidaciones giradas, ya que éstas se ejecutan en bienes inmuebles, bloqueando cuentas bancarias y creando unos perjuicios que afectan a un sector social de nivel económico muy modesto.</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Tercera, en providencia de 20 de marzo de 1997, acordó admitir a trámite la demanda de amparo y en otra simultánea formar la correspondiente pieza separada y conceder en ella un plazo común de tres días al Ministerio Fiscal y a las Asociaciones demandantes para que dentro del mismo pudieran alegar cuanto estimaran pertinente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3</w:t>
      </w:r>
      <w:r>
        <w:t>. Las citadas Asociaciones evacuaron el traslado en escrito que presentaron el 25 de marzo en el que, para abundar en su petición de suspensión, afirman que la ejecución de las liquidaciones giradas, mediante «amenazantes ejecuciones de bienes y embargos de cuentas» (sic), provoca la desconfianza de los propietarios afectados en el sistema, hacien</w:t>
      </w:r>
      <w:r>
        <w:lastRenderedPageBreak/>
        <w:t>do perder a este recurso de amparo su finalidad. Por su parte, el Fiscal se ha opuesto a la suspensión en, escrito registrado el 9 de abril, dada la dimensión exclusivamente económica de la ejecución de aquellas liquidaciones.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de soslayo.</w:t>
      </w:r>
    </w:p>
    <w:p w:rsidR="00FA0779" w:rsidRDefault="00FA0779" w:rsidP="00FA0779">
      <w:pPr>
        <w:pStyle w:val="TextoNormal"/>
      </w:pPr>
    </w:p>
    <w:p w:rsidR="00FA0779" w:rsidRDefault="00FA0779" w:rsidP="00FA0779">
      <w:pPr>
        <w:pStyle w:val="TextoNormal"/>
      </w:pPr>
      <w:r w:rsidRPr="00FA0779">
        <w:rPr>
          <w:rStyle w:val="NumeroAFNegritaCaracter"/>
        </w:rPr>
        <w:t>2</w:t>
      </w:r>
      <w:r>
        <w:t>. El análisis de los intereses en conflicto, dentro del caso concreto que nos ocupa, desvela ante todo que existe un interés general latente, intrínseco a la ejecutoriedad de toda Sentencia definitiva y firme -que, en el caso, conlleva la ejecución de los actos administrativos impugnados-, como exigencia inherente a la efectividad de la tutela judicial, cuya plenitud sólo así se alcanza. La petición de las Asociaciones demandantes de amparo, desde la perspectiva opuesta, tiene un contenido exclusivamente económico, por más que quieran trascenderlo afirmando que, si se ejecutaran las liquidaciones, sus asociados perderían su confianza en el «sistema». Por otra parte, el efecto que provocaría el otorgamiento del amparo sería la anulación de la Sentencia cuya suspensión se pretende, con retroacción de las actuaciones al momento anterior a su pronunciamiento, para ser dictada otra nueva sobre el fondo de la cuestión litigiosa, y por ello, de tal otorgamiento no se sigue necesariamente el éxito del recurso contencioso-administrativo y la anulación de las liquidaciones en él combatidas.</w:t>
      </w:r>
    </w:p>
    <w:p w:rsidR="00FA0779" w:rsidRDefault="00FA0779" w:rsidP="00FA0779">
      <w:pPr>
        <w:pStyle w:val="TextoNormal"/>
      </w:pPr>
      <w:r>
        <w:t xml:space="preserve">Así las cosas, ha de concluirse que, en atención a la naturaleza de los actos administrativos impugnados en vía ordinaria, cuya ejecución es, a la postre, la que aquí se trata de suspender, y a los efectos de una eventual Sentencia estimatoria del recurso de amparo, la </w:t>
      </w:r>
      <w:r>
        <w:lastRenderedPageBreak/>
        <w:t>ejecución de la Sentencia de la Sección Primera de la Sala de lo Contencioso-Administrativo del Tribunal Superior de Justicia de la Comunidad Valenciana no hace perder a este recurso su finalidad y por tanto nuestra conclusión no puede ser otra que el mantenimiento de la ejecutividad de la Sentencia recurrida en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Sala acuerda denegar la suspensión interesada.</w:t>
      </w:r>
    </w:p>
    <w:p w:rsidR="00FA0779" w:rsidRDefault="00FA0779" w:rsidP="00FA0779">
      <w:pPr>
        <w:pStyle w:val="TextoNormal"/>
      </w:pPr>
    </w:p>
    <w:p w:rsidR="00FA0779" w:rsidRDefault="00FA0779" w:rsidP="00FA0779">
      <w:pPr>
        <w:pStyle w:val="TextoNormal"/>
      </w:pPr>
      <w:r>
        <w:t>Madrid, a cinco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0" w:name="AUTO_1997_127"/>
      <w:r>
        <w:lastRenderedPageBreak/>
        <w:t>AUTO 127/1997, de 5 de mayo de 1997</w:t>
      </w:r>
    </w:p>
    <w:bookmarkEnd w:id="60"/>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ECLI:ES:TC:1997:127A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2.806/1996.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11 de julio de 1996, la Procuradora de los Tribunales doña Purificación Flores Rodríguez, en nombre y representación de don Juan Luis Villanueva Iglesias, bajo la dirección letrada de doña Asunción Sardón Blanco. interpuso recurso de amparo contra la Sentencia núm. 77. de 21 de mayo de 1996. de la Sección Quinta de la Audiencia Provincial de La Coruña, recaída en el recurso de apelación 28/96 contra la dictada el 22 de noviembre de 1995, con núm. 456, por el Juzgado de lo Penal núm. 1 de Santiago de Compostela en procedimiento abreviado 21/93, por delito de alzamiento de bienes.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más relevantes que se desprenden de la demanda y de los documentos aportados con la misma son, en síntesis, los siguientes: </w:t>
      </w:r>
    </w:p>
    <w:p w:rsidR="00FA0779" w:rsidRDefault="00FA0779" w:rsidP="00FA0779">
      <w:pPr>
        <w:pStyle w:val="TextoNormal"/>
      </w:pPr>
      <w:r>
        <w:t xml:space="preserve">A) Como consecuencia de testimonio de particulares deducido de un embargo preventivo y, al parecer, como consecuencia también de denuncia de «Bodegas Lalín, S.L.», el día 29 de septiembre de 1989 se tomó declaración al hoy recurrente de amparo, lo que quedó acreditado en un formulario de los que se usan para la declaración de testigos. En dicha declaración el recurrente, no estuvo asistido de Letrado y consta expresamente en ello lo siguiente: «una vez leída la denuncia en este acto ... ». El declarante contestó asimismo a las preguntas de la acusación particular. </w:t>
      </w:r>
    </w:p>
    <w:p w:rsidR="00FA0779" w:rsidRDefault="00FA0779" w:rsidP="00FA0779">
      <w:pPr>
        <w:pStyle w:val="TextoNormal"/>
      </w:pPr>
      <w:r>
        <w:t xml:space="preserve">B) Con fecha 2 de febrero de 1993 el Juzgado de Instrucción dictó Auto de incoación de procedimiento abreviado por un presunto delito de alzamiento de bienes. </w:t>
      </w:r>
    </w:p>
    <w:p w:rsidR="00FA0779" w:rsidRDefault="00FA0779" w:rsidP="00FA0779">
      <w:pPr>
        <w:pStyle w:val="TextoNormal"/>
      </w:pPr>
      <w:r>
        <w:t xml:space="preserve">Tal Auto no fue notificado al recurrente de amparo, según consta en una certificación emitida por el Secretario del Juzgado el 18 de octubre de 1996, en la que se argumenta que el Sr. Villanueva «no se había personado en los autos ni tampoco se había formulado todavía ninguna acusación contra el mismo». </w:t>
      </w:r>
    </w:p>
    <w:p w:rsidR="00FA0779" w:rsidRDefault="00FA0779" w:rsidP="00FA0779">
      <w:pPr>
        <w:pStyle w:val="TextoNormal"/>
      </w:pPr>
      <w:r>
        <w:t xml:space="preserve">C) El 30 de noviembre de 1993, la representante del Ministerio Fiscal presentó en el Juzgado un escrito que literalmente dice: </w:t>
      </w:r>
    </w:p>
    <w:p w:rsidR="00FA0779" w:rsidRDefault="00FA0779" w:rsidP="00FA0779">
      <w:pPr>
        <w:pStyle w:val="TextoNormal"/>
      </w:pPr>
      <w:r>
        <w:t>«La Fiscal, habiendo advertido que la única declaración del imputado a lo largo de este procedimiento, fue realizada en calidad de testigo, solicita que se le reciba nueva declara</w:t>
      </w:r>
      <w:r>
        <w:lastRenderedPageBreak/>
        <w:t xml:space="preserve">ción con asistencia letrada a fin de que manifieste lo que estime oportuno o ratifique el contenido del folio 15.» </w:t>
      </w:r>
    </w:p>
    <w:p w:rsidR="00FA0779" w:rsidRDefault="00FA0779" w:rsidP="00FA0779">
      <w:pPr>
        <w:pStyle w:val="TextoNormal"/>
      </w:pPr>
      <w:r>
        <w:t xml:space="preserve">El folio 15 contiene la declaración del recurrente a que se ha hecho referencia en el apartado A). </w:t>
      </w:r>
    </w:p>
    <w:p w:rsidR="00FA0779" w:rsidRDefault="00FA0779" w:rsidP="00FA0779">
      <w:pPr>
        <w:pStyle w:val="TextoNormal"/>
      </w:pPr>
      <w:r>
        <w:t xml:space="preserve">D) Accediendo a esa solicitud, el Juzgado de Instrucción tomó nueva declaración al Sr. Villanueva en presencia de su Letrada el 9 de marzo de 1994, en la que se le informó de sus derechos constitucionales, ratificándose el declarante en sus anteriores manifestaciones. </w:t>
      </w:r>
    </w:p>
    <w:p w:rsidR="00FA0779" w:rsidRDefault="00FA0779" w:rsidP="00FA0779">
      <w:pPr>
        <w:pStyle w:val="TextoNormal"/>
      </w:pPr>
      <w:r>
        <w:t xml:space="preserve">E) Por Auto de 13 de julio de 1994, el Juzgado de Instrucción acordó la apertura del juicio oral. </w:t>
      </w:r>
    </w:p>
    <w:p w:rsidR="00FA0779" w:rsidRDefault="00FA0779" w:rsidP="00FA0779">
      <w:pPr>
        <w:pStyle w:val="TextoNormal"/>
      </w:pPr>
      <w:r>
        <w:t xml:space="preserve">F) La Sentencia de instancia condenó al recurrente como autor de un delito de alzamiento de bienes a la pena de un año de prisión menor, accesorias legales y al pago de las costas. En la misma resolución se indica literalmente lo que sigue: </w:t>
      </w:r>
    </w:p>
    <w:p w:rsidR="00FA0779" w:rsidRDefault="00FA0779" w:rsidP="00FA0779">
      <w:pPr>
        <w:pStyle w:val="TextoNormal"/>
      </w:pPr>
      <w:r>
        <w:t xml:space="preserve">«Plantea la defensa del acusado la cuestión previa de nulidad de actuaciones, en base a que no se le hizo conocer su condición de imputado al recibirle declaración. Y al respecto, debe precisarse, que se le recibió declaración con asistencia de Letrado (folio 113), ratificándose en la anteriormente prestada en la que consta se le dio lectura de la denuncia contra él presentada, por lo que no puede alegar desconocimiento del delito que en la misma se concreta e imputa; por otro lado, tampoco era preciso la lectura de derecho (sic), toda vez que no había sido detenido, ni posteriormente al recibírsele declaración se acordó su detención o prisión, además, ello podría dar lugar a la nulidad de dicha declaración, pero no a la de todo el procedimiento, siendo de notar, además, que también prestó declaración en el Juicio. » </w:t>
      </w:r>
    </w:p>
    <w:p w:rsidR="00FA0779" w:rsidRDefault="00FA0779" w:rsidP="00FA0779">
      <w:pPr>
        <w:pStyle w:val="TextoNormal"/>
      </w:pPr>
      <w:r>
        <w:t>G) Recurrida en apelación, la Sentencia de la Audiencia Provincial confirmó la de instancia y expresó que aunque la primera declaración fue defectuosa, en la segunda fueron salvaguardadas las garantías legales, con lo que el recurrente «pudo defenderse en la fase instructora, antes de que calificasen las partes acusadoras».</w:t>
      </w:r>
    </w:p>
    <w:p w:rsidR="00FA0779" w:rsidRDefault="00FA0779" w:rsidP="00FA0779">
      <w:pPr>
        <w:pStyle w:val="TextoNormal"/>
      </w:pPr>
    </w:p>
    <w:p w:rsidR="00FA0779" w:rsidRDefault="00FA0779" w:rsidP="00FA0779">
      <w:pPr>
        <w:pStyle w:val="TextoNormal"/>
      </w:pPr>
      <w:r w:rsidRPr="00FA0779">
        <w:rPr>
          <w:rStyle w:val="NumeroAFNegritaCaracter"/>
        </w:rPr>
        <w:t>3</w:t>
      </w:r>
      <w:r>
        <w:t>. Con base en estos hechos el recurrente ha solicitado la nulidad de las resoluciones judiciales impugnadas por entender que han vulnerado varios derechos constitucionales incardinados en el art. 24 C.E.: derecho a la defensa y asistencia de Letrado, derecho a ser informado de la acusación, derecho a un proceso con todas las garantías, derecho a utilizar los medios de prueba pertinentes para la defensa, derecho a no declarar contra sí mismo y derecho a no confesarse culpable. Asimismo, ha solicitado la suspensión de la ejecución de la Sentencia condenatoria.</w:t>
      </w:r>
    </w:p>
    <w:p w:rsidR="00FA0779" w:rsidRDefault="00FA0779" w:rsidP="00FA0779">
      <w:pPr>
        <w:pStyle w:val="TextoNormal"/>
      </w:pPr>
    </w:p>
    <w:p w:rsidR="00FA0779" w:rsidRDefault="00FA0779" w:rsidP="00FA0779">
      <w:pPr>
        <w:pStyle w:val="TextoNormal"/>
      </w:pPr>
      <w:r w:rsidRPr="00FA0779">
        <w:rPr>
          <w:rStyle w:val="NumeroAFNegritaCaracter"/>
        </w:rPr>
        <w:t>4</w:t>
      </w:r>
      <w:r>
        <w:t>. Mediante sendas providencias de 20 de marzo de 1997 la Sección Tercera de este Tribunal ha acordado, de un lado, admitir a trámite la presente demanda de amparo, con los pronunciamientos previstos en el art. 51 LOTC y, de otro, formar la pieza para la tramitación del incidente sobre suspensión y, conforme determina el art. 56 LOTC, conceder un plazo común de tres días a la parte recurrente y al Ministerio Fiscal para que aleguen lo que estimen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En escrito registrado en este Tribunal el 8 de abril de 1997, el Ministerio Fiscal, tras un examen de los hechos y de la doctrina de este Tribunal, ha estimado que debe accederse a la solicitud de suspensión formulada por el recurrente en cuanto a la pena privativa de </w:t>
      </w:r>
      <w:r>
        <w:lastRenderedPageBreak/>
        <w:t xml:space="preserve">libertad, lo que ha de hacerse extensivo a las accesorias, pues siguen la misma suerte que la principal a la que acompañan (AATC 202/1992 y 6/1996). </w:t>
      </w:r>
    </w:p>
    <w:p w:rsidR="00FA0779" w:rsidRDefault="00FA0779" w:rsidP="00FA0779">
      <w:pPr>
        <w:pStyle w:val="TextoNormal"/>
      </w:pPr>
      <w:r>
        <w:t>El recurrente de amparo no ha formulado alegaciones sobre la suspensión solicitada dentro del plazo concedido al efecto.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FA0779" w:rsidRDefault="00FA0779" w:rsidP="00FA0779">
      <w:pPr>
        <w:pStyle w:val="TextoNormal"/>
      </w:pPr>
      <w:r>
        <w:t>De lo que resulta, como este Tribunal ha venido manteniendo reiteradamente, que la suspensión de la ejecución entraña siempre una perturbación de la función.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FA0779" w:rsidRDefault="00FA0779" w:rsidP="00FA0779">
      <w:pPr>
        <w:pStyle w:val="TextoNormal"/>
      </w:pPr>
    </w:p>
    <w:p w:rsidR="00FA0779" w:rsidRDefault="00FA0779" w:rsidP="00FA0779">
      <w:pPr>
        <w:pStyle w:val="TextoNormal"/>
      </w:pPr>
      <w:r w:rsidRPr="00FA0779">
        <w:rPr>
          <w:rStyle w:val="NumeroAFNegritaCaracter"/>
        </w:rPr>
        <w:t>2</w:t>
      </w:r>
      <w:r>
        <w:t>. De conformidad con dichos criterios este Tribunal ha declarado reiteradamente, en lo que aquí importa, que la ejecución de las penas privativas de libertad puede ocasionar al recurrente perjuicios irreparables, que harían perder al amparo su finalidad. Lo que ha de ponderarse en atención a las circunstancias concurrentes en el caso y, en particular, a la duración de la condena impuesta. Y también se ha dicho que las penas accesorias de suspensión de cargo público, profesión u oficio y derecho de sufragio durante el tiempo que dure la condena también pueden ser suspendidas, al seguir la misma suerte que la pena principal a la que acompañan (ATC 202/1992, con cita de los AATC 144/1984 y 6/1996). Mientras que, por el contrario, la ejecución de las Sentencias respecto a aquellos efectos que son fundamentalmente patrimoniales o de contenido económico no causan un perjuicio irreparable al obligado al pago, ni el amparo, por tanto, puede perder su finalidad; lo que también es aplicable a las costas procesales, pues al entrañar un pago en dinero la ejecución no provoca ningún perjuicio que pueda hacer inútil el recurso de amparo, no siendo procedente, pues, acordar la suspensión de la ejecución en cuanto a este extremo (AATC 244/1991 y 202/1992, entre otros muchos).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el presente caso, el recurrente ha sido condenado por un delito de alzamiento de bienes a la pena de un año de prisión menor, con suspensión de todo cargo público y derecho de sufragio durante la condena, así como al pago de las costas. Por lo que, en aplicación de la anterior doctrina y atendida la escasa gravedad de los hechos penados así como la duración de la condena impuesta, es claro que la ejecución de las resoluciones judiciales recurridas haría perder al amparo su finalidad; sin que, de otra parte, concurra el límite antes indicado, por no afectar la suspensión a los intereses generales o a derechos de terceros. Conclusión que también ha de extenderse, según lo antes dicho, a las penas accesorias </w:t>
      </w:r>
      <w:r>
        <w:lastRenderedPageBreak/>
        <w:t>que la acompañan; siendo improcedente en cambio, la suspensión de la ejecución en lo que respecta al pago de las costas.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w:t>
      </w:r>
    </w:p>
    <w:p w:rsidR="00FA0779" w:rsidRDefault="00FA0779" w:rsidP="00FA0779">
      <w:pPr>
        <w:pStyle w:val="TextoNormal"/>
      </w:pPr>
      <w:r>
        <w:t>1.º Suspender la ejecución de las Sentencias dictadas por el Juzgado de lo Penal núm. 1 de Santiago de Compostela el 22 de noviembre de 1995, en el procedimiento abreviado núm. 79/95, y por la Sección Quinta de la Audiencia Provincial de La Coruña el 21</w:t>
      </w:r>
    </w:p>
    <w:p w:rsidR="00FA0779" w:rsidRDefault="00FA0779" w:rsidP="00FA0779">
      <w:pPr>
        <w:pStyle w:val="TextoNormal"/>
      </w:pPr>
      <w:r>
        <w:t>de mayo de 1996, en el rollo de apelación 28/96, confirmatoria de la anterior, en lo que respecta a la pena de un año de prisión menor y accesorias de suspensión de todo cargo público y derecho de sufragio, impuesta al recurrente don Juan Luis Villanueva</w:t>
      </w:r>
    </w:p>
    <w:p w:rsidR="00FA0779" w:rsidRDefault="00FA0779" w:rsidP="00FA0779">
      <w:pPr>
        <w:pStyle w:val="TextoNormal"/>
      </w:pPr>
      <w:r>
        <w:t>Iglesias.</w:t>
      </w:r>
    </w:p>
    <w:p w:rsidR="00FA0779" w:rsidRDefault="00FA0779" w:rsidP="00FA0779">
      <w:pPr>
        <w:pStyle w:val="TextoNormal"/>
      </w:pPr>
      <w:r>
        <w:t>2.º Denegar la suspensión de la ejecución en cuanto al pronunciamiento relativo al pago de las costas.</w:t>
      </w:r>
    </w:p>
    <w:p w:rsidR="00FA0779" w:rsidRDefault="00FA0779" w:rsidP="00FA0779">
      <w:pPr>
        <w:pStyle w:val="TextoNormal"/>
      </w:pPr>
    </w:p>
    <w:p w:rsidR="00FA0779" w:rsidRDefault="00FA0779" w:rsidP="00FA0779">
      <w:pPr>
        <w:pStyle w:val="TextoNormal"/>
      </w:pPr>
      <w:r>
        <w:t>Madrid, a cinco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1" w:name="AUTO_1997_128"/>
      <w:r>
        <w:lastRenderedPageBreak/>
        <w:t>AUTO 128/1997, de 5 de mayo de 1997</w:t>
      </w:r>
    </w:p>
    <w:bookmarkEnd w:id="61"/>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ECLI:ES:TC:1997:128A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3.763/1996.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Procurador de los Tribunales doña Concepción Hoyos Molinex, en nombre de la compañía «U.A.P. Ibérica, S.A.», y en escrito presentado el 19 de octubre de 1996, interpuso recurso de amparo contra la Sentencia que la Sección Segunda de la Audiencia Provincial de Granada dictó el 20 de septiembre de 1996, en resolución del recurso de apelación que la citada sociedad suscitó frente a la Sentencia dictada el 8 de mayo del mismo año por la Juez de Primera Instancia e Instrucción núm. 5 de Motril, viniendo a condenarla, como responsable civil, al pago de la cantidad de 7.358.688 pesetas, que devengará un interés de 20 por 100 anual desde la fecha del siniestro hasta su total pago. </w:t>
      </w:r>
    </w:p>
    <w:p w:rsidR="00FA0779" w:rsidRDefault="00FA0779" w:rsidP="00FA0779">
      <w:pPr>
        <w:pStyle w:val="TextoNormal"/>
      </w:pPr>
      <w:r>
        <w:t>En la demanda de amparo se hacen valer los derechos a la tutela judicial efectiva y a un proceso con todas las garantías (art. 24 C.E.), cuya vulneración se imputa a la Sentencia recurrida por incidir en reforma peyorativa, y se solicita que, con estimación del recurso, sea dictada Sentencia otorgando el amparo, anulando la recurrida y retrotrayendo las actuaciones al momento inmediatamente anterior al de su pronunciamiento, al objeto de que sea dictada otra nueva en la que se respeten los derechos fundamentales invocados. En el lugar correspondiente de la demanda también se interesa que, entre tanto, sea decretada la suspensión de aquella resolución judicial.</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Tercera, en providencia de 20 de marzo de 1997, acordó admitir a trámite la demanda de amparo, y, en otra simultánea, formar la correspondiente pieza separada y conceder en ella un plazo común de tres días al Ministerio Fiscal y a la sociedad demandante para que dentro del mismo pudieran alegar cuanto estimaran pertinente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entidad solicitante del amparo ha evacuado el traslado en escrito que presentó el 25 de marzo, en el que comunica que la ejecución de la Sentencia recurrida se encuentra en trámite, habiendo ya entregado el principal y quedando pendiente de abono la cantidad correspondiente a la liquidación de intereses, y afirma que la vulneración constitucional que denuncia tiene inmediata repercusión en el importe de esa liquidación, por lo que la entrega de la cantidad correspondiente le causaría un perjuicio que haría perder virtualidad </w:t>
      </w:r>
      <w:r>
        <w:lastRenderedPageBreak/>
        <w:t>a la Sentencia estimatoria que este Tribunal en su día pudiera adoptar. Por el contrario, de la suspensión de la ejecución no se deriva perturbación grave ni de los intereses generales ni de los derechos fundamentales y libertades públicas de un tercero.</w:t>
      </w:r>
    </w:p>
    <w:p w:rsidR="00FA0779" w:rsidRDefault="00FA0779" w:rsidP="00FA0779">
      <w:pPr>
        <w:pStyle w:val="TextoNormal"/>
      </w:pPr>
    </w:p>
    <w:p w:rsidR="00FA0779" w:rsidRDefault="00FA0779" w:rsidP="00FA0779">
      <w:pPr>
        <w:pStyle w:val="TextoNormal"/>
      </w:pPr>
      <w:r w:rsidRPr="00FA0779">
        <w:rPr>
          <w:rStyle w:val="NumeroAFNegritaCaracter"/>
        </w:rPr>
        <w:t>4</w:t>
      </w:r>
      <w:r>
        <w:t>. El Fiscal, por su parte, se ha opuesto a la suspensión en escrito registrado el 7 de abril, habida cuenta la trascendencia exclusivamente económica del pronunciamiento judicial combatido y que el perjuicio que para la sociedad recurrente podría derivarse de la ejecución no resulta especialmente gravoso.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de soslayo.</w:t>
      </w:r>
    </w:p>
    <w:p w:rsidR="00FA0779" w:rsidRDefault="00FA0779" w:rsidP="00FA0779">
      <w:pPr>
        <w:pStyle w:val="TextoNormal"/>
      </w:pPr>
    </w:p>
    <w:p w:rsidR="00FA0779" w:rsidRDefault="00FA0779" w:rsidP="00FA0779">
      <w:pPr>
        <w:pStyle w:val="TextoNormal"/>
      </w:pPr>
      <w:r w:rsidRPr="00FA0779">
        <w:rPr>
          <w:rStyle w:val="NumeroAFNegritaCaracter"/>
        </w:rPr>
        <w:t>2</w:t>
      </w:r>
      <w:r>
        <w:t>.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 la compañía demandante de amparo, desde la perspectiva opuesta, tiene un contenido exclusivamente económico (el pago de la liquidación de intereses) y para fundamentarla se limita a alegar que la ejecución de la Sentencia de la Audiencia Provincial crearía «una situación económica irreversible». De otro lado, el efecto que provocaría el otorgamiento del amparo sería la anulación de la Sentencia cuya suspensión parcial se pretende con retroacción de las actuaciones, al objeto de que sea dictada otra nueva en la que se respeten los derechos fundamentales que se dicen vulnerados.</w:t>
      </w:r>
    </w:p>
    <w:p w:rsidR="00FA0779" w:rsidRDefault="00FA0779" w:rsidP="00FA0779">
      <w:pPr>
        <w:pStyle w:val="TextoNormal"/>
      </w:pPr>
      <w:r>
        <w:lastRenderedPageBreak/>
        <w:t>Así las cosas, ha de concluirse que, en atención a la naturaleza de la condena y a los efectos de una eventual Sentencia estimatoria del recurso de amparo, la ejecución de la Sentencia de la Audiencia Provincial de Granada no produce efectos irreversibles que pudieran hacer perder a este recurso su finalidad y, por ello, nuestra conclusión no puede ser otra que el mantenimiento de la ejecutividad de la Sentencia recurrida en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Sala acuerda denegar la suspensión de la ejecución de la Sentencia objeto de este recurso de amparo.</w:t>
      </w:r>
    </w:p>
    <w:p w:rsidR="00FA0779" w:rsidRDefault="00FA0779" w:rsidP="00FA0779">
      <w:pPr>
        <w:pStyle w:val="TextoNormal"/>
      </w:pPr>
    </w:p>
    <w:p w:rsidR="00FA0779" w:rsidRDefault="00FA0779" w:rsidP="00FA0779">
      <w:pPr>
        <w:pStyle w:val="TextoNormal"/>
      </w:pPr>
      <w:r>
        <w:t>Madrid, a cinco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2" w:name="AUTO_1997_129"/>
      <w:r>
        <w:lastRenderedPageBreak/>
        <w:t>AUTO 129/1997, de 5 de mayo de 1997</w:t>
      </w:r>
    </w:p>
    <w:bookmarkEnd w:id="62"/>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ECLI:ES:TC:1997:129A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condicionada de la ejecución del acto que origina el recurso de amparo 3.789/1996.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día 22 de octubre de 1996, la representación procesal de los demandantes formuló recurso de amparo contra la Sentencia de la Sala Primera del Tribunal Supremo, de 18 de septiembre de 1996, mediante la que se declara haber lugar a la casación entablada contra la dictada por la Audiencia Provincial de La Rioja, de 7 de julio de 1992, revocándola y confirmando la dictada en primera instancia por el Juzgado de Haro, de 23 de mayo de 1991.</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los siguientes antecedentes de hecho: </w:t>
      </w:r>
    </w:p>
    <w:p w:rsidR="00FA0779" w:rsidRDefault="00FA0779" w:rsidP="00FA0779">
      <w:pPr>
        <w:pStyle w:val="TextoNormal"/>
      </w:pPr>
      <w:r>
        <w:t xml:space="preserve">a) En el marco del juicio ejecutivo 258/87 seguido ante el Juzgado de Primera Instancia de Haro contra la mercantil «Forjados Riojanos, S.A.», se embargaron diversas viviendas que los recurrentes habían adquirido de dicha sociedad, en virtud de sendos contratos privados, durante los años 1985 y 1986, lo que les condujo a interponer la correspondiente demanda de tercería de dominio. </w:t>
      </w:r>
    </w:p>
    <w:p w:rsidR="00FA0779" w:rsidRDefault="00FA0779" w:rsidP="00FA0779">
      <w:pPr>
        <w:pStyle w:val="TextoNormal"/>
      </w:pPr>
      <w:r>
        <w:t xml:space="preserve">b) Dicha tercería fue desestimada por el Juez de Haro, cuyo pronunciamiento fue revocado en apelación por la Audiencia Provincial de La Rioja, al considerar ésta que mediante la suscripción de los contratos privados de compraventa antes citados, los recurrentes ya habían adquirido la titularidad dominical de los inmuebles a todos los efectos. </w:t>
      </w:r>
    </w:p>
    <w:p w:rsidR="00FA0779" w:rsidRDefault="00FA0779" w:rsidP="00FA0779">
      <w:pPr>
        <w:pStyle w:val="TextoNormal"/>
      </w:pPr>
      <w:r>
        <w:t>c) Interpuesta casación, el Tribunal Supremo, a través de Sentencia fechada el 18 de septiembre de 1996, declaró haber lugar al recurso, revocando la Sentencia de segunda instancia y confirmando la dictada por el Juez de Haro, por entender el Alto Tribunal que la formalización de los contratos privados de compraventa no implicaban la traditio exigida por los arts. 609 y 1.095 C.C., tomando como dato básico el hecho de que, al momento de suscribirse aquellos contratos privados, las viviendas se encontraban aún en construcción, así como la circunstancia de no haberse podido obtener el enganche de la energía eléctrica para las viviendas o el visado de calificación definitiva hasta después de trabados de embargo los inmuebles en cuestión.</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Los recurrentes aducen que la impugnada Sentencia de la Sala Primera del Tribunal Supremo, de 18 de septiembre de 1996, vulnera el art. 14 C.E., en su vertiente de igualdad </w:t>
      </w:r>
      <w:r>
        <w:lastRenderedPageBreak/>
        <w:t>en la aplicación judicial del Derecho, por cuanto dicho órgano judicial dictó Sentencia el 17 de septiembre de 1996, en la que, ante embargos trabados en el mismo juicio ejecutivo, ante tercerías de dominio planteadas frente a los mismos demandados y ante idénticos contenidos de las Sentencias de segunda instancia recurridas en casación, ha resuelto el problema de forma contradictoria: a) en la Sentencia de 18 de septiembre de 1996, declara haber lugar a la casación y confirma la dictada en primera instancia, que había desestimado la demanda de tercería, y b) en la Sentencia de 17 de septiembre de 1996, declara no haber lugar a la casación y confirma la dictada en segunda instancia, que había estimado la demanda de tercería.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por providencia, de 29 de enero de 1997, acordó la inadmisión a trámite de la demanda de amparo al entender que la misma carecía manifiestamente del contenido constitucional requerido por el art. 50.1 c) LOTC.</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mediante escrito registrado en día 13 de febrero de 1997, interpuso recurso de súplica contra la anterior providencia puesto que, a su juicio, «el término de comparación reúne los requisitos exigidos por la doctrina constitucional para poder llegar al contraste entre las dos resoluciones y poder concluir que existe contradicción entre ambas. El supuesto fáctico de las dos sentencias es substancialmente idéntico porque los contratos de compraventa han sido visados por una autoridad administrativa e ingresados en un archivo público antes de la traba judicial», aduciendo, además, que la Sala Primera de este Tribunal ha admitido a trámite el recurso de amparo núm. 3.702/96, recurso que «es idéntico al que estamos estudiando porque se deduce igualmente contra la misma Sentencia del Tribunal Supremo, siendo el supuesto fáctico substancialmente idéntico alega el mismo derecho fundamental -desigualdad- y se aporta como término de comparación la misma sentencia del Tribunal Supremo».</w:t>
      </w:r>
    </w:p>
    <w:p w:rsidR="00FA0779" w:rsidRDefault="00FA0779" w:rsidP="00FA0779">
      <w:pPr>
        <w:pStyle w:val="TextoNormal"/>
      </w:pPr>
    </w:p>
    <w:p w:rsidR="00FA0779" w:rsidRDefault="00FA0779" w:rsidP="00FA0779">
      <w:pPr>
        <w:pStyle w:val="TextoNormal"/>
      </w:pPr>
      <w:r w:rsidRPr="00FA0779">
        <w:rPr>
          <w:rStyle w:val="NumeroAFNegritaCaracter"/>
        </w:rPr>
        <w:t>6</w:t>
      </w:r>
      <w:r>
        <w:t>. La Sección por Auto, de 20 de marzo de 1997, acordó estimar la súplica del Ministerio Fiscal y, consecuentemente, la admisión del recurso de amparo, requiriendo a los órganos judiciales de procedencia la remisión de las actuaciones y el emplazamiento de quienes hubieran sido parte en el proceso de que trae causa el presente recurso de amparo.</w:t>
      </w:r>
    </w:p>
    <w:p w:rsidR="00FA0779" w:rsidRDefault="00FA0779" w:rsidP="00FA0779">
      <w:pPr>
        <w:pStyle w:val="TextoNormal"/>
      </w:pPr>
    </w:p>
    <w:p w:rsidR="00FA0779" w:rsidRDefault="00FA0779" w:rsidP="00FA0779">
      <w:pPr>
        <w:pStyle w:val="TextoNormal"/>
      </w:pPr>
      <w:r w:rsidRPr="00FA0779">
        <w:rPr>
          <w:rStyle w:val="NumeroAFNegritaCaracter"/>
        </w:rPr>
        <w:t>7</w:t>
      </w:r>
      <w:r>
        <w:t>. Mediante providencia de la misma fecha, la Sección acordó la apertura de la pieza separada de suspensión, otorgando a las partes el correspondiente plazo para efectuar alegaciones. En dicho trámite, la demandante, a través de escrito registrado el 26 de marzo de 1997, insistió en su inicial solicitud de suspensión, solicitud a la que se adhirió el Ministerio Fiscal en su escrito de alegaciones registrado el 7 de abril de 1997, para quien, de denegarse la suspensión, «se llegaría a la subasta judicial de los inmuebles con la transmisión de la propiedad a terceros, enajenación que podría hacer perder al amparo su finalidad porque si en abstracto podría reconducirse a la situación anterior a la ejecución sin embargo en la práctica se haría imposible o de difícil producción llegar, tanto en el tiempo como en economía, a la situación anterior atendido al cambio de titularidad dominical, su forma de transmisión y la posibilidad de disposición. Añade el Fiscal, sin embargo, que «sería conveniente que los actores presten la fianza que el Tribunal considere pertinente para asegurar los posibles perjuicios que para el acreedor podrían derivarse de la suspensión en el tiempo de la ejecución por la falta de líquido que supondría la suspensión al no poder hacer efectivo el valor de los inmuebles».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sí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FA0779" w:rsidRDefault="00FA0779" w:rsidP="00FA0779">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(AATC 81/1981 y 36/1983). De tal manera que, en atención al interés general que toda ejecución comporta (AATC 365/1983 y 275/1986),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tardía e impida definitivamente que tal restauración sea efectiva (AATC 51/1989 y 20/1992).</w:t>
      </w:r>
    </w:p>
    <w:p w:rsidR="00FA0779" w:rsidRDefault="00FA0779" w:rsidP="00FA0779">
      <w:pPr>
        <w:pStyle w:val="TextoNormal"/>
      </w:pPr>
    </w:p>
    <w:p w:rsidR="00FA0779" w:rsidRDefault="00FA0779" w:rsidP="00FA0779">
      <w:pPr>
        <w:pStyle w:val="TextoNormal"/>
      </w:pPr>
      <w:r w:rsidRPr="00FA0779">
        <w:rPr>
          <w:rStyle w:val="NumeroAFNegritaCaracter"/>
        </w:rPr>
        <w:t>2</w:t>
      </w:r>
      <w:r>
        <w:t>. En el presente caso se nos solicita la suspensión de la ejecutividad de la resolución judicial por la que se acuerda definitivamente la denegación de la tercería de dominio interpuesta por los recurrentes en el juicio ejecutivo 258/87, seguido ante el Juzgado de Primera Instancia de Haro, denegación que, obviamente, ha de implicar por sí sola el seguimiento del referido proceso ejecutivo por todos sus trámites.</w:t>
      </w:r>
    </w:p>
    <w:p w:rsidR="00FA0779" w:rsidRDefault="00FA0779" w:rsidP="00FA0779">
      <w:pPr>
        <w:pStyle w:val="TextoNormal"/>
      </w:pPr>
      <w:r>
        <w:t>Es claro, pues, que de no acordarse la suspensión, la referida continuación del proceso ejecutivo en tanto se sustancia el presente recurso de amparo podría conllevar la realización por el Juzgado de trámites tales como la salida a pública subasta de las fincas objeto de la tercería y, tras ella, la eventual adjudicación de la titularidad de las mismas a terceras personas, situación que, como ha advertido el Ministerio Fiscal en su escrito de alegaciones, aunque reparable sobre el papel si en su día llegara a dictarse una Sentencia estimatoria de la demanda de amparo, las enormes dificultades inherentes a la realización efectiva de dicha reparación aconsejan que, en casos como el presente, deba entenderse que la no suspensión de las resoluciones recurridas puede hacer perder al amparo su finalidad.</w:t>
      </w:r>
    </w:p>
    <w:p w:rsidR="00FA0779" w:rsidRDefault="00FA0779" w:rsidP="00FA0779">
      <w:pPr>
        <w:pStyle w:val="TextoNormal"/>
      </w:pPr>
      <w:r>
        <w:t>Sin embargo, el hecho de que la suspensión de la ejecución de la resolución impugnada conlleve la imposibilidad temporal de que la parte ejecutante en el juicio seguido ante el Juzgado de Haro pueda hacer valer sus derechos de crédito frente al ejecutado, determina la necesidad de que la efectividad de la suspensión se supedite a la prestación por parte de los recurrentes de una fianza que preste cobertura a los eventuales daños y perjuicios que dicha tardanza en la realización de los derechos pueda ocasionar a la citada parte ejecutante, fianza cuya cuantía y modalidad habrá de determinar el Juzgado de Primera Instancia.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Por todo lo expuesto, la Sala acuerda acceder a la solicitud de suspensión, la cual se llevará a efecto previa prestación de fianza a cargo de los recurrentes en los términos que determine el Juzgado.</w:t>
      </w:r>
    </w:p>
    <w:p w:rsidR="00FA0779" w:rsidRDefault="00FA0779" w:rsidP="00FA0779">
      <w:pPr>
        <w:pStyle w:val="TextoNormal"/>
      </w:pPr>
    </w:p>
    <w:p w:rsidR="00FA0779" w:rsidRDefault="00FA0779" w:rsidP="00FA0779">
      <w:pPr>
        <w:pStyle w:val="TextoNormal"/>
      </w:pPr>
      <w:r>
        <w:t>Madrid, a cinco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3" w:name="AUTO_1997_130"/>
      <w:r>
        <w:lastRenderedPageBreak/>
        <w:t>AUTO 130/1997, de 5 de mayo de 1997</w:t>
      </w:r>
    </w:p>
    <w:bookmarkEnd w:id="63"/>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ECLI:ES:TC:1997:130A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Acordando la inadmisión a trámite del recurso de amparo 4.618/1996.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la recurrente se interpuso la correspondiente solicitud de amparo constitucional el día 17 de diciembre de 1996, teniendo su entrada efectiva ante este Tribunal el día 19 de diciembre de 1996.</w:t>
      </w:r>
    </w:p>
    <w:p w:rsidR="00FA0779" w:rsidRDefault="00FA0779" w:rsidP="00FA0779">
      <w:pPr>
        <w:pStyle w:val="TextoNormal"/>
      </w:pPr>
    </w:p>
    <w:p w:rsidR="00FA0779" w:rsidRDefault="00FA0779" w:rsidP="00FA0779">
      <w:pPr>
        <w:pStyle w:val="TextoNormal"/>
      </w:pPr>
      <w:r w:rsidRPr="00FA0779">
        <w:rPr>
          <w:rStyle w:val="NumeroAFNegritaCaracter"/>
        </w:rPr>
        <w:t>2</w:t>
      </w:r>
      <w:r>
        <w:t>. Por providencia de 13 de enero de 1997, se tuvo por personada a doña María Jesús González Diez, Procuradora de los Tribunales, en nombre y representación de doña María Isabel Abadín Torrenova, y se requirió conforme al art. 88 LOTC al Juzgado de Primera Instancia e Instrucción núm. 2 de Collado-Villalba (Madrid), para que remitiera testimonio de lo actuado en el juicio de cognición núm. 72/93.</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tenía como antecedentes los hechos que a continuación se describen: </w:t>
      </w:r>
    </w:p>
    <w:p w:rsidR="00FA0779" w:rsidRDefault="00FA0779" w:rsidP="00FA0779">
      <w:pPr>
        <w:pStyle w:val="TextoNormal"/>
      </w:pPr>
      <w:r>
        <w:t xml:space="preserve">A) El pasado mes de marzo de 1993, la ahora recurrente fue demandada por doña Alejandra Sánchez Mesonero en reclamación de cantidad, intereses legales y costas en virtud de un alegado impago de la renta, resolución unilateral de contrato de arrendamiento y falta de pago de gastos de suministros. </w:t>
      </w:r>
    </w:p>
    <w:p w:rsidR="00FA0779" w:rsidRDefault="00FA0779" w:rsidP="00FA0779">
      <w:pPr>
        <w:pStyle w:val="TextoNormal"/>
      </w:pPr>
      <w:r>
        <w:t xml:space="preserve">B) Dicho procedimiento fue admitido a trámite mediante providencia de fecha 17 de mayo de 1993 siendo emplazada la recurrente en su domicilio sito en la calle de Frankfurt, número 53, de la localidad de Coslada (Madrid). </w:t>
      </w:r>
    </w:p>
    <w:p w:rsidR="00FA0779" w:rsidRDefault="00FA0779" w:rsidP="00FA0779">
      <w:pPr>
        <w:pStyle w:val="TextoNormal"/>
      </w:pPr>
      <w:r>
        <w:t xml:space="preserve">C) El 27 de septiembre de 1993, la recurrente doña María Isabel Abadín Torrenova, se personó ante el Juzgado de Primera Instancia núm. 2 de los de Collado-Villalba solicitando la designación de Letrado y Procurador del turno de oficio para su defensa y representación ante la demanda presentada. </w:t>
      </w:r>
    </w:p>
    <w:p w:rsidR="00FA0779" w:rsidRDefault="00FA0779" w:rsidP="00FA0779">
      <w:pPr>
        <w:pStyle w:val="TextoNormal"/>
      </w:pPr>
      <w:r>
        <w:t xml:space="preserve">D) Tras dicha personación y habiéndole sido designados Procurador y Letrado del turno de oficio, el Juzgado al que constaba su domicilio, no le comunicó los profesionales que para su defensa fueron designados ni éstos se pusieron de motu propio en contacto con la recurrente, dictándose Sentencia, que tras devenir firme, dio lugar a que el 16 de noviembre de 1995 se practicase el embargo de la parte legal del sueldo que percibe del Hospital «El Escorial» en el que presta sus servicios en calidad de Ayudante Técnico Sanitario. </w:t>
      </w:r>
    </w:p>
    <w:p w:rsidR="00FA0779" w:rsidRDefault="00FA0779" w:rsidP="00FA0779">
      <w:pPr>
        <w:pStyle w:val="TextoNormal"/>
      </w:pPr>
      <w:r>
        <w:lastRenderedPageBreak/>
        <w:t xml:space="preserve">E) Con fecha de 25 de enero de 1996 la demandante compareció ante el Juzgado que había tramitado el procedimiento manifestando la falta de comunicación con los profesionales que le fueron asignados y haciendo constar expresamente que se había producido una indefensión solicitando la nulidad de las actuaciones hasta el momento de la solicitud de la justicia gratuita. </w:t>
      </w:r>
    </w:p>
    <w:p w:rsidR="00FA0779" w:rsidRDefault="00FA0779" w:rsidP="00FA0779">
      <w:pPr>
        <w:pStyle w:val="TextoNormal"/>
      </w:pPr>
      <w:r>
        <w:t xml:space="preserve">F) A la vista de que el Juzgado hizo caso omiso a su comparecencia y constatando la retención del sueldo que se le había practicado con fecha de 18 de octubre de 1996 presentó ante el Juzgado el escrito en el que se solicitaba: </w:t>
      </w:r>
    </w:p>
    <w:p w:rsidR="00FA0779" w:rsidRDefault="00FA0779" w:rsidP="00FA0779">
      <w:pPr>
        <w:pStyle w:val="TextoNormal"/>
      </w:pPr>
      <w:r>
        <w:t xml:space="preserve">« 1. Se me notifique personalmente la resolución que proceda como consecuencia de mi comparecencia del 25 de enero de 1.996. </w:t>
      </w:r>
    </w:p>
    <w:p w:rsidR="00FA0779" w:rsidRDefault="00FA0779" w:rsidP="00FA0779">
      <w:pPr>
        <w:pStyle w:val="TextoNormal"/>
      </w:pPr>
      <w:r>
        <w:t xml:space="preserve">2. Se me informe del Letrado y Procurador que fueron designados por los Colegios Profesionales para mi defensa y representación. </w:t>
      </w:r>
    </w:p>
    <w:p w:rsidR="00FA0779" w:rsidRDefault="00FA0779" w:rsidP="00FA0779">
      <w:pPr>
        <w:pStyle w:val="TextoNormal"/>
      </w:pPr>
      <w:r>
        <w:t xml:space="preserve">3. Se me entregue copia autorizada de todo lo actuado hasta la fecha en el Juicio de Cognición núm. 72/1993.» </w:t>
      </w:r>
    </w:p>
    <w:p w:rsidR="00FA0779" w:rsidRDefault="00FA0779" w:rsidP="00FA0779">
      <w:pPr>
        <w:pStyle w:val="TextoNormal"/>
      </w:pPr>
      <w:r>
        <w:t xml:space="preserve">G) Ante dicho escrito lo único que obtuvo del Juzgado fue su citación y la práctica de una comparecencia en la que se le notificaron los nombres y domicilios del Abogado y el Procurador designados para su defensa. </w:t>
      </w:r>
    </w:p>
    <w:p w:rsidR="00FA0779" w:rsidRDefault="00FA0779" w:rsidP="00FA0779">
      <w:pPr>
        <w:pStyle w:val="TextoNormal"/>
      </w:pPr>
      <w:r>
        <w:t>H) La recurrente reconoce haber tenido conocimiento efectivo de las actuaciones judiciales el día 26 de noviembre de 1996, presentando acto seguido el correspondiente recurso de amparo constitucional motivado por la quiebra de su derecho a la tutela judicial efectiva (art. 24.1 C.E.), ante la situación de indefensión en la que se encuentra como consecuencia de la falta de contestación a la demandada y de comparecencia del Abogado en juicio; la no proposición y práctica de pruebas, y por el hecho de la no formulación del recurso de apelación contra la Sentencia dictada.</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10 de marzo de 1997, a tenor de lo dispuesto en el artículo 50.3 LOTC, la Sección acordó conceder un plazo común de diez días al Ministerio Fiscal y a la representación de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FA0779" w:rsidRDefault="00FA0779" w:rsidP="00FA0779">
      <w:pPr>
        <w:pStyle w:val="TextoNormal"/>
      </w:pPr>
    </w:p>
    <w:p w:rsidR="00FA0779" w:rsidRDefault="00FA0779" w:rsidP="00FA0779">
      <w:pPr>
        <w:pStyle w:val="TextoNormal"/>
      </w:pPr>
      <w:r w:rsidRPr="00FA0779">
        <w:rPr>
          <w:rStyle w:val="NumeroAFNegritaCaracter"/>
        </w:rPr>
        <w:t>5</w:t>
      </w:r>
      <w:r>
        <w:t>. Por el Ministerio Fiscal mediante escrito registrado el día 10 de abril de 1997, de acuerdo con lo dispuesto en los arts. 86.1, inciso segundo, y 80 LOTC, en relación con el art. 245.1 b) L.O.P.J., se solicitó de este Tribunal la inadmisión del presente recurso de amparo, en aplicación tanto del art. 44.2 como del art. 50.1 c) ambos de la LOTC, al ser la demanda de amparo extemporánea y carecer de contenido que motivara una decisión del Tribunal Constitucional sobre el fondo del asunto respectivamente.</w:t>
      </w:r>
    </w:p>
    <w:p w:rsidR="00FA0779" w:rsidRDefault="00FA0779" w:rsidP="00FA0779">
      <w:pPr>
        <w:pStyle w:val="TextoNormal"/>
      </w:pPr>
    </w:p>
    <w:p w:rsidR="00FA0779" w:rsidRDefault="00FA0779" w:rsidP="00FA0779">
      <w:pPr>
        <w:pStyle w:val="TextoNormal"/>
      </w:pPr>
      <w:r w:rsidRPr="00FA0779">
        <w:rPr>
          <w:rStyle w:val="NumeroAFNegritaCaracter"/>
        </w:rPr>
        <w:t>6</w:t>
      </w:r>
      <w:r>
        <w:t>. Por la representación de la solicitante de amparo mediante escrito de 25 de marzo de 1997, se reiteraron los argumentos manifestados en su demanda de amparo, manifestando la lesión constitucional denunciada en el procedimiento judicial de referencia.</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Ministerio Fiscal sostiene que del examen de las actuaciones judiciales se puede afirmar la extemporaneidad de la demanda de amparo. Sin embargo, dicha afirmación no puede ser compartida. Su razonamiento tiene como fundamento el hecho de que la recurrente ha reconocido en su demanda que compareció en el Juzgado de Primera instancia núm. 2 de Collado-Villaba (Madrid) el día 25 de enero de 1996 y en dicha comparecencia entre otras peticiones solicita la nulidad de todo lo actuado por estimar que se había producido indefensión. Esta comparecencia de la actora se produce no como consecuencia del conocimiento de la Sentencia dictada en el proceso de cognición sobre reclamación de cantidad, tal como señala el Ministerio Fiscal, sino por el hecho de la falta de comunicación existente con los profesionales designados para su defensa y representación. El órgano judicial, sin embargo, no da respuesta a la petición de la recurrente, lo que motiva la presentación del escrito de fecha 18 de octubre de 1996, en la que solicita entre otras cosas que se le informe sobre el Abogado y Procurador nombrados, y que se le entregue testimonio de lo actuado en el procedimiento judicial, cosa esta última que no se produce, lo que motiva que a partir del día 26 de noviembre de 1996, que es la fecha en la que reconoce tomar conocimiento efectivo de tales actuaciones cuando formula el presente recurso de amparo, cosa que verdaderamente ocurre el día 17 de diciembre de 1996, dando cumplimiento al art. 44.2 LOTC.</w:t>
      </w:r>
    </w:p>
    <w:p w:rsidR="00FA0779" w:rsidRDefault="00FA0779" w:rsidP="00FA0779">
      <w:pPr>
        <w:pStyle w:val="TextoNormal"/>
      </w:pPr>
    </w:p>
    <w:p w:rsidR="00FA0779" w:rsidRDefault="00FA0779" w:rsidP="00FA0779">
      <w:pPr>
        <w:pStyle w:val="TextoNormal"/>
      </w:pPr>
      <w:r w:rsidRPr="00FA0779">
        <w:rPr>
          <w:rStyle w:val="NumeroAFNegritaCaracter"/>
        </w:rPr>
        <w:t>2</w:t>
      </w:r>
      <w:r>
        <w:t>. La demanda carece manifiestamente de contenido constitucional de acuerdo con el art. 50.1 c) LOTC que justifique una decisión mediante Sentencia, toda vez que no se advierte la vulneración del derecho a la tutela judicial efectiva de la demandante que sea imputable a la actuación del Juzgado de instancia.</w:t>
      </w:r>
    </w:p>
    <w:p w:rsidR="00FA0779" w:rsidRDefault="00FA0779" w:rsidP="00FA0779">
      <w:pPr>
        <w:pStyle w:val="TextoNormal"/>
      </w:pPr>
      <w:r>
        <w:t>Como señala el Ministerio Fiscal, el órgano judicial responde a la pretensión de la demandada, hoy recurrente, procediendo al nombramiento de Abogado y Procurador de los Tribunales del turno de oficio, así como a notificar a este último todos los actos de comunicación y las resoluciones judiciales que han ido recayendo en la tramitación del procedimiento de juicio de cognición, sin que pueda deducirse de lo actuado que haya existido la indefensión denunciada por la recurrente en su demanda de amparo.</w:t>
      </w:r>
    </w:p>
    <w:p w:rsidR="00FA0779" w:rsidRDefault="00FA0779" w:rsidP="00FA0779">
      <w:pPr>
        <w:pStyle w:val="TextoNormal"/>
      </w:pPr>
      <w:r>
        <w:t>Cabe señalar que del examen de los presentes autos se evidencia la presunta falta de conexión entre los profesionales nombrados para la defensa y la representación de la demandante y ella misma, lo que ha producido un notable detrimento a la defensa procesal de los derechos de la recurrente, situación que en modo alguno puede ser reprochada al órgano judicial que ha procedido correctamente a los nombramientos interesados, y a la notificación, como ha quedado dicho de todas y cada una de las resoluciones acordadas. Por ello, en principio cabe atribuir la responsabilidad a los propios profesionales que respectivamente tenían el cometido de proceder a la defensa y representación de la ahora demandante en amparo, y a ésta, en su caso.</w:t>
      </w:r>
    </w:p>
    <w:p w:rsidR="00FA0779" w:rsidRDefault="00FA0779" w:rsidP="00FA0779">
      <w:pPr>
        <w:pStyle w:val="TextoNormal"/>
      </w:pPr>
      <w:r>
        <w:t>Tomando en consideración las circunstancias concurrentes en el caso antes descritas, póngase esta resolución en conocimiento de los Ilustres Colegios de Abogados y de Procuradores de Madrid a los efectos que procedan, sin perjuicio del ejercicio de las acciones de que pudiera verse asistida la demandante de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En virtud de lo expuesto, la Sala acuerda la inadmisión a trámite del recurso de amparo, y el archivo de las presentes actuaciones.</w:t>
      </w:r>
    </w:p>
    <w:p w:rsidR="00FA0779" w:rsidRDefault="00FA0779" w:rsidP="00FA0779">
      <w:pPr>
        <w:pStyle w:val="TextoNormal"/>
      </w:pPr>
    </w:p>
    <w:p w:rsidR="00FA0779" w:rsidRDefault="00FA0779" w:rsidP="00FA0779">
      <w:pPr>
        <w:pStyle w:val="TextoNormal"/>
      </w:pPr>
      <w:r>
        <w:t>Madrid, a cinco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4" w:name="AUTO_1997_131"/>
      <w:r>
        <w:lastRenderedPageBreak/>
        <w:t>AUTO 131/1997, de 5 de mayo de 1997</w:t>
      </w:r>
    </w:p>
    <w:bookmarkEnd w:id="64"/>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ECLI:ES:TC:1997:131A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Acuerda el desistimiento en el recurso de amparo 817/1997, promovido en litigio social.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5" w:name="AUTO_1997_132"/>
      <w:r>
        <w:lastRenderedPageBreak/>
        <w:t>AUTO 132/1997, de 6 de mayo de 1997</w:t>
      </w:r>
    </w:p>
    <w:bookmarkEnd w:id="65"/>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ECLI:ES:TC:1997:132A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acumulación del conflicto positivo de competencia 174/1997 a los ya acumulados 2.959/1992 y 3.284/1996.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6" w:name="AUTO_1997_133"/>
      <w:r>
        <w:lastRenderedPageBreak/>
        <w:t>AUTO 133/1997, de 6 de mayo de 1997</w:t>
      </w:r>
    </w:p>
    <w:bookmarkEnd w:id="66"/>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ECLI:ES:TC:1997:133A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274/1997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7" w:name="AUTO_1997_134"/>
      <w:r>
        <w:lastRenderedPageBreak/>
        <w:t>AUTO 134/1997, de 7 de mayo de 1997</w:t>
      </w:r>
    </w:p>
    <w:bookmarkEnd w:id="67"/>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ECLI:ES:TC:1997:134A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278/1994.</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Procuradora de los Tribunales doña María de los Ángeles Manrique Gutiérrez, en nombre de don Manuel Arbelo Padilla y mediante escrito presentado el 1 de febrero de 1994, interpuso recurso de amparo contra el Auto que la Sala de lo Social del Tribunal Supremo dictó el 5 de noviembre de 1993, inadmitiendo el recurso de casación para la unificación de doctrina que había formulado contra la Sentencia que la Sala de lo Social del Tribunal Superior de Justicia de Canarias pronunció el 20 de enero del mismo año estimando el recurso de suplicación entablado por don José Antonio de León Martín contra Sentencia dictada por el Juez de lo Social núm. 2 de Santa Cruz de Tenerife en proceso sobre reclamación por despido. </w:t>
      </w:r>
    </w:p>
    <w:p w:rsidR="00FA0779" w:rsidRDefault="00FA0779" w:rsidP="00FA0779">
      <w:pPr>
        <w:pStyle w:val="TextoNormal"/>
      </w:pPr>
      <w:r>
        <w:t xml:space="preserve">En su demanda relata el recurrente que, a la vez que interponía el recurso de casación, solicitó de las Salas de lo Social de los Tribunales Superiores de Justicia de Madrid, Valencia y Murcia certificaciones de las Sentencias que estimaba contradictorias con la que recurría, de las que cuatro correspondían a Madrid, dos a Valencia y otras dos a Murcia. El 20 de abril de 1993, la Sala de lo Social del Tribunal Supremo dictó providencia acordando concederle un plazo de diez días para que aportara las certificaciones en cuestión, presentándose por su parte, dentro del plazo conferido, la única certificación que había recibido (correspondiente al Tribunal Superior de Valencia) y el original de la solicitud dirigida al de Madrid, a la vez que interesaba que las cuatro Sentencias de este Tribunal fuesen solicitadas de oficio. La Sala de lo Social del Tribunal Supremo, apreciando la eventual existencia de la causa de inadmisión del recurso consistente en la falta de contradicción entre las Sentencias puestas en contraste, en providencia de 9 de julio le concedió un plazo de tres días para presentar alegaciones, que evacuó en escrito en el que volvió a pedir que las certificaciones de las Sentencias del Tribunal Superior de Justicia de Madrid fuesen reclamadas de oficio. El Alto Tribunal dictó el 5 de noviembre Auto inadmitiendo el recurso por inexistencia de contradicción entre la Sentencia recurrida y las dictadas por los Tribunales Superiores de Justicia de Valencia y Murcia y por no proceder el análisis comparativo con las del Tribunal de Madrid al no ser aportadas en el plazo que le fue conferido al recurrente, por lo que el defecto, inicialmente subsanable, se convirtió con el transcurso de dicho plazo en insubsanable y en determinante de la inadmisión. </w:t>
      </w:r>
    </w:p>
    <w:p w:rsidR="00FA0779" w:rsidRDefault="00FA0779" w:rsidP="00FA0779">
      <w:pPr>
        <w:pStyle w:val="TextoNormal"/>
      </w:pPr>
      <w:r>
        <w:t xml:space="preserve">El demandante de amparo sostiene que la decisión de la Sala Cuarta del Tribunal Supremo vulnera los arts. 14 y 24.1 C.E., porque se ha inadmitido el recurso de casación en contra de lo ordenado por, el art. 221 L.P.L., que obliga al Tribunal Supremo a reclamar </w:t>
      </w:r>
      <w:r>
        <w:lastRenderedPageBreak/>
        <w:t>de oficio las certificaciones de las Sentencias que la parte acredite haberlas solicitado en tiempo oportuno y no habérsele expedido. Las tres solicitudes de certificación fueron presentadas simultáneamente ante las Salas de lo Social de los Tribunales Superiores de Justicia de Madrid, Murcia y Canarias; la falta de expedición de las certificaciones por el primero no es imputable a la parte. Aduce, además, trato discriminatorio, por no haber respondido el Tribunal Superior de Justicia de Madrid de la misma forma que hicieron los de Valencia y Murcia. De acuerdo con lo anterior, solicita en la demanda la nulidad del Auto que combate y, en escrito que presentó el 18 de julio de 1994, su suspensión.</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18 de diciembre de 1996,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demandante de amparo evacuó el traslado en escrito que presentó el 7 de enero de 1997, en el que reitera la solicitud que dedujo en la demanda de amparo y manifiesta que, habiendo cumplido con la debida diligencia los actos que a él le eran exigibles, cuales eran reclamar las certificaciones de las Sentencias en que fundaba su recurso de casación, cualquier acto que no sea coadyuvar a la remisión de las certificaciones constriñe desproporcionadamente el derecho a la tutela judicial efectiva. Él puso de manifiesto a la Sala de lo Social del Tribunal Supremo el hecho de las solicitudes de las referidas certificaciones e instó su auxilio al objeto de que reclamara directamente de los respectivos Tribunales la correspondiente certificación. </w:t>
      </w:r>
    </w:p>
    <w:p w:rsidR="00FA0779" w:rsidRDefault="00FA0779" w:rsidP="00FA0779">
      <w:pPr>
        <w:pStyle w:val="TextoNormal"/>
      </w:pPr>
      <w:r>
        <w:t>La inadmisión decretada por dicho Tribunal desconoce su derecho a la tutela judicial efectiva. Por lo demás, la diferente respuesta de los distintos órganos judiciales a los que se les solicitó las certificaciones (unos librándolas y otros no) no puede repercutir sobre el justiciable. Si el Tribunal Superior de Justicia de Madrid no las emitió, a diferencia de lo que hicieron los de Valencia y Murcia, la decisión no puede ser la inadmisión del recurso de casación; aceptarlo supone incurrir en una discriminación solamente imputable al órgano judicial que no libró las certificaciones.</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fiscal ha solicitado la inadmisión del recurso, con fundamento en el art. 50.1 c) LOTC, en escrito registrado el 16 de enero. Razona que el Auto recurrido es de naturaleza mixta, puesto que rechaza el recurso por razones de fondo y de forma. En cuanto al fondo por entender que las Sentencias de los Tribunales Superiores de Justicia de Valencia y Murcia no contemplan casos similares al resuelto en la Sentencia que el solicitante de amparo trataba de recurrir en casación. Los motivos de forma atañen a las Sentencia del Tribunal Superior de Justicia de Madrid, en este punto el Tribunal Supremo explica su doctrina sobre la interpretación de los arts. 220, 221 y 222 L.P.L., dando razones para entender que no se han cumplido los requisitos en ellos establecidos. Es claramente deducible del Auto recurrido que el Tribunal Supremo no entiende acreditada la solicitud de testimonio de las Sentencias, lo que, por otra parte, es lógico, a la vista de la documentación aportada y de las explicaciones del recurrente, toda vez que el escrito se presentó ante la Sala de lo Social, con sede en Santa Cruz de Tenerife, del Tribunal Superior de Justicia de Canarias y no consta en absoluto que Regara al Tribunal destinatario. El rechazo del recurso de casación por razones de forma obedece, pues, a una causa legal y el razonamiento </w:t>
      </w:r>
      <w:r>
        <w:lastRenderedPageBreak/>
        <w:t>en que se sustenta contiene una interpretación no arbitraria de los hechos y de la norma aplicable.</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demanda de amparo pone el punto de mira en el Auto donde la Sala de lo Social del Tribunal Supremo declaró inadmisible un recurso de casación para unificación de doctrina por no haberse justificado que se pidiera en tiempo oportuno al Tribunal Superior de Justicia de Madrid la certificación de las cuatro Sentencias de su Sala de lo Social sobre las cuales iba a fundar su pretensión. El interesado había cursado, por conducto de la Sala de lo Social del Tribunal Superior de Canarias con sede en Santa Cruz de Tenerife, los escritos dirigidos a los de Murcia, Madrid y Valencia solicitando las certificaciones de las Sentencias que necesitaba. Como quiera que las de los dos últimos no le fueron remitidas, instó del Tribunal Supremo que las recabara de oficio, a lo cual se negó éste (providencia de 20 de abril de 1993) por no acreditar fehacientemente haberlo hecho el recurrente y aun cuando las de Valencia fueron, al fin, recibidas, no ocurrió lo mismo con las de Madrid, circunstancia que, a la postre, determinó la inadmisión del recurso.</w:t>
      </w:r>
    </w:p>
    <w:p w:rsidR="00FA0779" w:rsidRDefault="00FA0779" w:rsidP="00FA0779">
      <w:pPr>
        <w:pStyle w:val="TextoNormal"/>
      </w:pPr>
    </w:p>
    <w:p w:rsidR="00FA0779" w:rsidRDefault="00FA0779" w:rsidP="00FA0779">
      <w:pPr>
        <w:pStyle w:val="TextoNormal"/>
      </w:pPr>
      <w:r w:rsidRPr="00FA0779">
        <w:rPr>
          <w:rStyle w:val="NumeroAFNegritaCaracter"/>
        </w:rPr>
        <w:t>2</w:t>
      </w:r>
      <w:r>
        <w:t>. La decisión del Tribunal Supremo no vulnera el derecho a obtener una efectiva tutela judicial (art. 24.1 C.E.)  y, en consecuencia, la pretensión de amparo carece manifiestamente de contenido constitucional. Efectivamente, por virtud de lo dicho en las SSTC 37/1995 y 46/1995, es competencia privativa de los órganos del Poder Judicial de verificar el cumplimiento de los requisitos exigidos para acceder al sistema de recursos, sin que este Tribunal pueda incidir en esa potestad más allá de las hipótesis de error patente o de arbitrariedad, que no es otra cosa sino la falta de razón o fundamento.  Ninguna de las sobredichas circunstancias se dan en este caso.</w:t>
      </w:r>
    </w:p>
    <w:p w:rsidR="00FA0779" w:rsidRDefault="00FA0779" w:rsidP="00FA0779">
      <w:pPr>
        <w:pStyle w:val="TextoNormal"/>
      </w:pPr>
      <w:r>
        <w:t>El Tribunal Supremo exteriorizó en su Auto, por remisión de una providencia anterior, el por qué de su negativa a recabar ex officio las certificaciones de las Sentencias de contraste dictadas por el Tribunal Superior de Justicia de Madrid, determinante a su vez de la inadmisión. Su criterio está razonado y es razonable.</w:t>
      </w:r>
    </w:p>
    <w:p w:rsidR="00FA0779" w:rsidRDefault="00FA0779" w:rsidP="00FA0779">
      <w:pPr>
        <w:pStyle w:val="TextoNormal"/>
      </w:pPr>
      <w:r>
        <w:t>La Ley Orgánica del Poder Judicial (art. 283, en relación con el 268 y el 272.2), permite llegar a la conclusión de que solamente surten efecto los escritos dirigidos a los Jueces y Tribunales desde su entrada en los respectivos registros, con las únicas excepciones de los presentados en los Juzgados de Guardia de Madrid y Barcelona (núms. 12 y 13 de la Orden ministerial de 19 de junio de 1974), y por aplicación analógica el caso previsto en el art. 45 L.P.L. Carece absolutamente de respaldo normativo la pretensión de que surta plenitud de efectos desde que presentó su escrito dirigido al Tribunal Superior de Justicia de Madrid sin ser el último día hábil del plazo y ante un órgano jurisdiccional distinto del destinatario y del Juzgado de Guardia, sito en el territorio de otra Comunidad Autónoma.</w:t>
      </w:r>
    </w:p>
    <w:p w:rsidR="00FA0779" w:rsidRDefault="00FA0779" w:rsidP="00FA0779">
      <w:pPr>
        <w:pStyle w:val="TextoNormal"/>
      </w:pPr>
      <w:r>
        <w:t>En definitiva, el interesado tenía la carga de indagar en el Tribunal Superior de Justicia de Madrid si había sido recibida allí la instancia cursada por conducto de la Sala de Santa Cruz de Tenerife y, si así hubiere ocurrido, acreditarlo ante el Tribunal Supremo o, alternativamente, llevarle las certificaciones. Por tanto no puede quejarse ahora de un portazo que sólo a él es imputable y que, en definitiva, no menoscaba la efectividad de la tutela judicial, ni el principio de igualdad ante la Ley. Careciendo, pues, el caso de contenido constitucional, conviene al caso la inadmisibilidad.</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 sin que, por ello, resulte menester pronunciarse sobre la solicitud de suspensión.</w:t>
      </w:r>
    </w:p>
    <w:p w:rsidR="00FA0779" w:rsidRDefault="00FA0779" w:rsidP="00FA0779">
      <w:pPr>
        <w:pStyle w:val="TextoNormal"/>
      </w:pPr>
    </w:p>
    <w:p w:rsidR="00FA0779" w:rsidRDefault="00FA0779" w:rsidP="00FA0779">
      <w:pPr>
        <w:pStyle w:val="TextoNormal"/>
      </w:pPr>
      <w:r>
        <w:t>Madrid, a siete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8" w:name="AUTO_1997_135"/>
      <w:r>
        <w:lastRenderedPageBreak/>
        <w:t>AUTO 135/1997, de 7 de mayo de 1997</w:t>
      </w:r>
    </w:p>
    <w:bookmarkEnd w:id="68"/>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ECLI:ES:TC:1997:135A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inadmisión a trámite del recurso de amparo 960/1995.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Mediante escrito presentado el 17 de marzo de 1995, la Procuradora doña Isabel Cañedo Vega, asistida por la Abogada doña Nieves San Vicente Leza, interpuso recurso de amparo contra la Sentencia emitida por el Tribunal Supremo (Sala de lo Contencioso-Administrativo, Sección Cuarta), de 12 de diciembre de 1994 (r. 2085-92), que casó la Sentencia dictada por el Tribunal Superior de Justicia de Madrid (Sala de lo Contencioso-Administrativo, Sección Novena), de 20 de mayo de 1992 (a. 607-90-05), y declaró no ajustadas a Derecho las resoluciones dictadas por la Administración laboral que declararon excepcionalmente penosos los puestos de trabajo de la empresa demandante, «declaración que corresponde a la jurisdicción laboral». </w:t>
      </w:r>
    </w:p>
    <w:p w:rsidR="00FA0779" w:rsidRDefault="00FA0779" w:rsidP="00FA0779">
      <w:pPr>
        <w:pStyle w:val="TextoNormal"/>
      </w:pPr>
      <w:r>
        <w:t>La demanda pide la anulación de las Sentencias contencioso-administrativas, y que se restablezca el derecho del Comité de Empresa a ser oído en el proceso, reponiendo las actuaciones judiciales al momento oportuno.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pretensión de amparo se sustenta en los siguientes hechos: </w:t>
      </w:r>
    </w:p>
    <w:p w:rsidR="00FA0779" w:rsidRDefault="00FA0779" w:rsidP="00FA0779">
      <w:pPr>
        <w:pStyle w:val="TextoNormal"/>
      </w:pPr>
      <w:r>
        <w:t xml:space="preserve">a) Los demandantes forman el Comité de Empresa de la «Fábrica Española de Magnetos S.A.» (FEMSA, posteriormente denominada Femsa-Robert Bosch S.A., y en la actualidad «Robert Bosch, S.A.») en el centro de la calle Hermanos García Noblejas, núm. 19, de Madrid. </w:t>
      </w:r>
    </w:p>
    <w:p w:rsidR="00FA0779" w:rsidRDefault="00FA0779" w:rsidP="00FA0779">
      <w:pPr>
        <w:pStyle w:val="TextoNormal"/>
      </w:pPr>
      <w:r>
        <w:t xml:space="preserve">En noviembre de 1988 el Comité presentó solicitud ante la Dirección Provincial de Trabajo de Madrid para que calificara como penosos, tóxicos o peligrosos determinados puestos de trabajo de la empresa. La autoridad laboral declaró, el 5 de diciembre de 1989 que determinados puestos sufrían ruidos superiores a los normales, declarándolos excepcionalmente penosos. Asimismo requirió a la empresa para que diera cumplimiento a lo previsto en los arts. 31, 141 y 147 de la Ordenanza General de Seguridad e Higiene en el Trabajo. </w:t>
      </w:r>
    </w:p>
    <w:p w:rsidR="00FA0779" w:rsidRDefault="00FA0779" w:rsidP="00FA0779">
      <w:pPr>
        <w:pStyle w:val="TextoNormal"/>
      </w:pPr>
      <w:r>
        <w:t xml:space="preserve">La resolución fue confirmada en alzada por la Dirección General de Trabajo el 18 de junio de 1990. </w:t>
      </w:r>
    </w:p>
    <w:p w:rsidR="00FA0779" w:rsidRDefault="00FA0779" w:rsidP="00FA0779">
      <w:pPr>
        <w:pStyle w:val="TextoNormal"/>
      </w:pPr>
      <w:r>
        <w:t xml:space="preserve">b) FEMSA interpuso recurso contencioso-administrativo contra las mencionadas resoluciones administrativas, sin que el Comité de Empresa se enterara, a pesar de que había sido promotor del expediente administrativo. La demanda afirma enfáticamente que nunca </w:t>
      </w:r>
      <w:r>
        <w:lastRenderedPageBreak/>
        <w:t xml:space="preserve">el Comité tuvo noticia del proceso, ni nada se le notificó, ni se le emplazó en el recurso contencioso-administrativo. </w:t>
      </w:r>
    </w:p>
    <w:p w:rsidR="00FA0779" w:rsidRDefault="00FA0779" w:rsidP="00FA0779">
      <w:pPr>
        <w:pStyle w:val="TextoNormal"/>
      </w:pPr>
      <w:r>
        <w:t xml:space="preserve">El T.S.J. de Madrid dictó la primera Sentencia impugnada, de 20 de mayo de 1992, dando parcialmente la razón a la empresa: declaró que los actos administrativos eran ilegales «en cuanto que califican puestos de trabajo como de excepcionalmente penosos en los que, aplicada la reducción de dos decibelios, no se padece un nivel de ruido de 80 o más decibelios». </w:t>
      </w:r>
    </w:p>
    <w:p w:rsidR="00FA0779" w:rsidRDefault="00FA0779" w:rsidP="00FA0779">
      <w:pPr>
        <w:pStyle w:val="TextoNormal"/>
      </w:pPr>
      <w:r>
        <w:t xml:space="preserve">c) La empresa interpuso recurso de casación ante la Sala de lo Contencioso-Administrativo del Tribunal Supremo. Y nuevamente sin que el Comité de Empresa se enterase, ni fuese notificado o emplazado, la Sala dictó la Sentencia de 12 de noviembre de 1994 impugnada. En ella, en esencia, declaró que la Administración es incompetente para pronunciarse sobre la penosidad de los puestos de trabajo, e indicó que esa labor corresponde a los Tribunales del orden jurisdiccional social. </w:t>
      </w:r>
    </w:p>
    <w:p w:rsidR="00FA0779" w:rsidRDefault="00FA0779" w:rsidP="00FA0779">
      <w:pPr>
        <w:pStyle w:val="TextoNormal"/>
      </w:pPr>
      <w:r>
        <w:t xml:space="preserve">d) Paralelamente, ante el Juzgado de lo Social núm. 9 de Madrid se estaba tramitando un proceso (registrado con el núm. 101-91) instado por un elevado número de empleados de FEMSA contra la empresa, con el fin de que les abonasen diversas cantidades en concepto de complementos por penosidad. La empresa en ningún momento advirtió que las resoluciones administrativas estaban impugnadas. La Sentencia del Juzgado, de 16 de marzo de 1992, fue revocada en suplicación el 17 de enero de 1994, para practicar en igualdad de condiciones una diligencia para mejor proveer. </w:t>
      </w:r>
    </w:p>
    <w:p w:rsidR="00FA0779" w:rsidRDefault="00FA0779" w:rsidP="00FA0779">
      <w:pPr>
        <w:pStyle w:val="TextoNormal"/>
      </w:pPr>
      <w:r>
        <w:t>Fue en el nuevo acto de juicio oral, el 1 de marzo de 1995, cuando la empresa aportó las Sentencias dictadas por los Tribunales Contencioso-Administrativos. Y fue entonces cuando los trabajadores conocieron de la existencia del proceso contencioso interpuesto en su día por la empresa.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alega vulneración del derecho a la tutela judicial sin indefensión (art. 24.1 C.E.), en su, vertiente de inexcusable audiencia previa en el proceso antes de que se dicte la resolución judicial y en su vertiente de derecho a la defensa y al mantenimiento del debate contradictorio con igualdad de armas en el proceso. Tras resumir la doctrina general sobre la cuestión, que «es ya clásica en esta jurisdiccional constitucional», recuerda que el Tribunal ha interpretado el art. 64 L.J.C.A. a la luz de los principios constitucionales, entendiendo no suficiente la notificación a través de los anuncios en los diarios oficiales para garantizar el derecho de defensa (STC 63/1982). </w:t>
      </w:r>
    </w:p>
    <w:p w:rsidR="00FA0779" w:rsidRDefault="00FA0779" w:rsidP="00FA0779">
      <w:pPr>
        <w:pStyle w:val="TextoNormal"/>
      </w:pPr>
      <w:r>
        <w:t>De otra parte, hay que tener en cuenta la enorme trascendencia que en el posible fallo del Tribunal Contencioso-Administratívo tenía la presencia de la representación legal de todos los trabajadores en la empresa. Las resoluciones dictadas por la autoridad laboral, que declaraban la penosidad y peligrosidad de los puestos de trabajo ubicados en determinadas naves o departamentos de la empresa, constituía un elemento jurídico trascendental para las posteriores demandas articuladas por los trabajadores, representados por el Comité de Empresa, solicitando a los órganos de la jurisdicción social que se condenase a la empresa a abonarles determinadas cantidades en concepto de complementos de penosidad y.., peligrosidad, y a que les reconociesen el derecho a cobrar esos complementos en tanto permaneciesen las condiciones de peligrosidad en sus puestos de trabajo.</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Por providencia de 8 de mayo de 1995, la Sección requirió copia del expediente administrativo y de las actuaciones judiciales. El 5 de mayo, la Procuradora doña Amparo Ramírez Plaza pidió que se le tuviera por comparecida en nombre de «Robert Bosch España Financiación y Servicios, S.A.» (antes «Robert Bosch, S.A.»). </w:t>
      </w:r>
    </w:p>
    <w:p w:rsidR="00FA0779" w:rsidRDefault="00FA0779" w:rsidP="00FA0779">
      <w:pPr>
        <w:pStyle w:val="TextoNormal"/>
      </w:pPr>
      <w:r>
        <w:lastRenderedPageBreak/>
        <w:t>Por providencia de 29 de octubre de 1996, la Sección acordó poner en conocimiento de la citada Procuradora que en este momento procesal no se le puede tener por personada, al no haber sido admitido a trámite el recurso, devolviéndole el poder presentado previo cotejo y testimonio en autos, personación que será tenida en cuenta si el recurso fuera admitido. Asimismo, acordó tener por recibidas las actuaciones, y abrir trámite de alegaciones acerca del contenido de la demanda de amparo [art. 50.1 c) LOTC].</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La parte demandante formuló alegaciones el 14 de noviembre, en apoyo de la admisibilidad de su recurso. </w:t>
      </w:r>
    </w:p>
    <w:p w:rsidR="00FA0779" w:rsidRDefault="00FA0779" w:rsidP="00FA0779">
      <w:pPr>
        <w:pStyle w:val="TextoNormal"/>
      </w:pPr>
      <w:r>
        <w:t>El Fiscal informó el siguiente día 15, oponiéndose a la admisión por entender que la indefensión ocasionada ha sido simplemente formal, no material, porque si bien no se les emplazó, la Sentencia se produjo por motivos jurídicos que habían sido plenamente debatidos en el expediente administrativo. Mediante otrosí, indicó que si no se apreciara dicha causa de inadmisión, sería preciso comprobar la legitimación activa de los miembros del Comité de Empresa, y la fecha del acta de conciliación del juicio laboral (sic) en el que afirman haber tenido conocimiento de las Sentencias, por ser ilegible.</w:t>
      </w:r>
    </w:p>
    <w:p w:rsidR="00FA0779" w:rsidRDefault="00FA0779" w:rsidP="00FA0779">
      <w:pPr>
        <w:pStyle w:val="TextoNormal"/>
      </w:pPr>
    </w:p>
    <w:p w:rsidR="00FA0779" w:rsidRDefault="00FA0779" w:rsidP="00FA0779">
      <w:pPr>
        <w:pStyle w:val="TextoNormal"/>
      </w:pPr>
      <w:r w:rsidRPr="00FA0779">
        <w:rPr>
          <w:rStyle w:val="NumeroAFNegritaCaracter"/>
        </w:rPr>
        <w:t>6</w:t>
      </w:r>
      <w:r>
        <w:t>. Por providencia de 25 de noviembre de 1996, la Sección requirió a los demandantes para que acreditasen su condición de miembros del Comité de Empresa, y al Juzgado para que certificase la fecha del acto de conciliación del juicio núm. 101-91. Requerimientos que fueron cumplimentados los días 3 de diciembre de 1996, por la parte, y (previos recordatorios de 23 enero y 18 marzo 1997) el 29 de marzo de 1997, por el Juzgado de lo Social.</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Es obvio que el Comité de Empresa demandante debería haber sido emplazado personalmente en el proceso contencioso-administrativo del que nace el presente recurso de amparo. No obstante, también es obvio que el derecho fundamental a la tutela judicial efectiva y sin indefensión (art. 24.1 C.E.)  no protege el cumplimiento de las normas procesales, sino el derecho a alegar y justificar procesalmente el reconocimiento judicial de derechos o intereses, sin que se produzca una indefensión material. Como ha sintetizado la STC 48/1986, «una indefensión... relevante no tiene lugar siempre que se vulneren cualesquiera normas procesales, sino sólo cuando con esa vulneración se aparejan consecuencias prácticas consistentes en la privación del derecho de defensa y en un perjuicio real y efectivo de los intereses de los afectados por ella» fundamento jurídico 1.1).</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Y es ese perjuicio real y efectivo, unido normalmente a una privación definitiva o consolidada del derecho de defensa, lo que brilla por su ausencia en el presente caso. En efecto, la Sentencia de la Sala Contencioso-Administrativa impugnada en el presente recurso de amparo no se pronuncia definitivamente sobre la penosidad de los puestos de trabajo en litigio, ni les niega el carácter penoso o peligroso que postula el Comité de Empresa. Simplemente se limita a declarar que la apreciación sobre la penosidad de los puestos de trabajo corresponde a los Tribunales del orden social, y no a la Administración laboral. Son los Tribunales sociales los que, en cualquier caso, han sido llamados por los propios trabajadores a pronunciarse sobre los complementos de penosidad; percepciones </w:t>
      </w:r>
      <w:r>
        <w:lastRenderedPageBreak/>
        <w:t>económicas que, como afirma la propia demanda de amparo, son las que cifran los derechos o intereses legítimos que se quieren defender en el proceso contencioso-administrativo. Y no conviene olvidar que el art. 24.1 C.E. no consagra un derecho a la tutela judicial en abstracto, sino siempre referida a la protección de concretos «derechos e intereses legítimos», que son en definitiva los que otorgan su sentido a la tutela judicial cuya efectividad garantiza la Constitución en el apartado 1 de su art. 24.</w:t>
      </w:r>
    </w:p>
    <w:p w:rsidR="00FA0779" w:rsidRDefault="00FA0779" w:rsidP="00FA0779">
      <w:pPr>
        <w:pStyle w:val="TextoNormal"/>
      </w:pPr>
    </w:p>
    <w:p w:rsidR="00FA0779" w:rsidRDefault="00FA0779" w:rsidP="00FA0779">
      <w:pPr>
        <w:pStyle w:val="TextoNormal"/>
      </w:pPr>
      <w:r w:rsidRPr="00FA0779">
        <w:rPr>
          <w:rStyle w:val="NumeroAFNegritaCaracter"/>
        </w:rPr>
        <w:t>3</w:t>
      </w:r>
      <w:r>
        <w:t>. De esta constatación se desprenden dos conclusiones inequívocas. La primera, que los derechos en litigio pueden ser defendidos plenamente en los correspondientes procesos laborales. Procesos que, por lo demás, ya han tenido lugar (aunque se desconozca su resultado, que es irrelevante desde el punto de vista del presente proceso constitucional). Por lo que no resultan perceptibles, en modo alguno, los efectos perjudiciales causados por la Sentencia impugnada, y que la demanda de amparo ignora en su razonamiento. No hay, pues, asomo de la indefensión material que proscribe el art. 24.1 C.E.</w:t>
      </w:r>
    </w:p>
    <w:p w:rsidR="00FA0779" w:rsidRDefault="00FA0779" w:rsidP="00FA0779">
      <w:pPr>
        <w:pStyle w:val="TextoNormal"/>
      </w:pPr>
      <w:r>
        <w:t>Por lo demás, que el Tribunal competente para conocer de una determinada pretensión lo sea, igualmente, para resolverla íntegramente, teniendo en cuenta todos sus aspectos, es perfectamente conforme con el art. 24.1 C.E. Así lo declaramos en la STC 30/1984, donde otorgamos el amparo porque vulnera el derecho a la tutela el Tribunal que, conociendo de una acción, se niega a enjuiciar una excepción. Por lo que la tutela judicial de los derechos de los trabajadores demandantes de amparo está asegurada en los procesos laborales, por los que en cualquier caso deben transitar para obtener la satisfacción de sus pretensiones dinerarias.</w:t>
      </w:r>
    </w:p>
    <w:p w:rsidR="00FA0779" w:rsidRDefault="00FA0779" w:rsidP="00FA0779">
      <w:pPr>
        <w:pStyle w:val="TextoNormal"/>
      </w:pPr>
    </w:p>
    <w:p w:rsidR="00FA0779" w:rsidRDefault="00FA0779" w:rsidP="00FA0779">
      <w:pPr>
        <w:pStyle w:val="TextoNormal"/>
      </w:pPr>
      <w:r w:rsidRPr="00FA0779">
        <w:rPr>
          <w:rStyle w:val="NumeroAFNegritaCaracter"/>
        </w:rPr>
        <w:t>4</w:t>
      </w:r>
      <w:r>
        <w:t>. En segundo lugar, si lo que el Comité de Empresa quisiera defender es la competencia del orden contencioso-administrativo, su recurso sería claramente inadmisible. Sería inviable procesalmente, porque no se puede resolver en amparo un eventual conflicto entre dos jurisdicciones mientras no se plantee en las formas legalmente establecidas, y sea resuelta por el órgano judicial competente para ello (STC 19/198l), en la actualidad la Sala de Conflictos de Competencia del Tribunal Supremo en los términos previstos por el art. 42 y ss. L.O.P.J.</w:t>
      </w:r>
    </w:p>
    <w:p w:rsidR="00FA0779" w:rsidRDefault="00FA0779" w:rsidP="00FA0779">
      <w:pPr>
        <w:pStyle w:val="TextoNormal"/>
      </w:pPr>
      <w:r>
        <w:t>Por lo demás, la demanda de amparo carecería de contenido, pues cuál sea el orden jurisdiccional competente para fallar determinado tipo de asuntos es un problema ajeno a los derechos del art. 24 C.E., como ha declarado firmemente nuestra jurisprudencia desde la STC 43/1985, [fundamento jurídico 1.1 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la inadmisión de la demanda de amparo, y el archivo de las actuaciones.</w:t>
      </w:r>
    </w:p>
    <w:p w:rsidR="00FA0779" w:rsidRDefault="00FA0779" w:rsidP="00FA0779">
      <w:pPr>
        <w:pStyle w:val="TextoNormal"/>
      </w:pPr>
    </w:p>
    <w:p w:rsidR="00FA0779" w:rsidRDefault="00FA0779" w:rsidP="00FA0779">
      <w:pPr>
        <w:pStyle w:val="TextoNormal"/>
      </w:pPr>
      <w:r>
        <w:t>Madrid, a siete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69" w:name="AUTO_1997_136"/>
      <w:r>
        <w:lastRenderedPageBreak/>
        <w:t>AUTO 136/1997, de 7 de mayo de 1997</w:t>
      </w:r>
    </w:p>
    <w:bookmarkEnd w:id="69"/>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ECLI:ES:TC:1997:136A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2.314/1995.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Letrado de los Servicios Jurídicos del Ayuntamiento de San Vicente de Raspeig (Alicante) don Ramón J. Cerdá Parra, mediante escrito que presentó el 22 de junio de 1995, interpuso recurso de amparo contra el Auto que la Sección Cuarta de la Audiencia Provincial de Alicante dictó el 9 de abril de 1995 (confirmado en súplica mediante otro de 22 de mayo del mismo año), por el que denegó el recibimiento a prueba del recurso de apelación interpuesto por dicha Corporación municipal contra la Sentencia que el Juez de Primera Instancia núm. 2 de San Vicente de Raspeig dictó el 6 de mayo de 1994 en el juicio de menor cuantía 33/93. </w:t>
      </w:r>
    </w:p>
    <w:p w:rsidR="00FA0779" w:rsidRDefault="00FA0779" w:rsidP="00FA0779">
      <w:pPr>
        <w:pStyle w:val="TextoNormal"/>
      </w:pPr>
      <w:r>
        <w:t xml:space="preserve">El Ayuntamiento recurrente relata en su demanda que, interpuesto por su parte el recurso de apelación y emplazado para ante la Audiencia Provincial de Alicante, se personó el 9 de febrero de 1995 ante dicho Tribunal en calidad de apelante, solicitando en el día siguiente el recibimiento del recurso a prueba. La Audiencia Provincial dictó el 20 de febrero providencia teniéndole por comparecido y parte y en otra de 9 de marzo dio por recibido su escrito pidiendo la apertura de un período de prueba, reservándole el derecho a hacer esa solicitud en el momento procesal oportuno. El 23 de marzo reiteró la práctica de prueba, solicitud de la que se dio traslado a la parte apelada, que se opuso a la misma. En Auto de 11 de abril, el Tribunal rechazó el recibimiento a prueba del recurso por haber hecho la solicitud fuera de plazo; esta decisión fue confirmada en súplica mediante otro Auto de 22 de mayo, en cuya notificación no se le informó de los recursos que cabían contra el mismo. </w:t>
      </w:r>
    </w:p>
    <w:p w:rsidR="00FA0779" w:rsidRDefault="00FA0779" w:rsidP="00FA0779">
      <w:pPr>
        <w:pStyle w:val="TextoNormal"/>
      </w:pPr>
      <w:r>
        <w:t>Sostiene el Ayuntamiento recurrente que la Audiencia Provincial de Alicante ha desconocido su derecho a la tutela judicial efectiva y a utilizar los medios de prueba pertinentes para la defensa (art. 24 C.E.) y solicita que, con anulación de los Autos recurridos, se reconozca su derecho a que el recurso de apelación sea recibido a prueba.</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12 de febrero de 1996, acordó, de conformidad con lo dispuesto en el art. 50.3 de la LOTC, conceder al Ayuntamiento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El Fiscal, en escrito registrado el 5 de marzo, se opuso a la admisión a trámite del recurso. En primer lugar, porque la demanda de amparo se dirige contra una resolución interlocutoria que deniega, el recibimiento a prueba y que conforme a doctrina reiterada de este Tribunal (SSTC 94/1992 y 147/1994) no agota la vía judicial ordinaria, lo que convierte a aquélla en prematura e impide un pronunciamiento del Tribunal sobre el fondo del asunto. En segundo término, porque la queja referente a la falta de información de los recursos que cabían contra el Auto resolutorio del de súplica carece de contenido constitucional, habida cuenta que el Ayuntamiento estaba dirigido técnicamente por letrado y no acredita ningún perjuicio derivado de tal incumplimiento, que deviene así en una irregularidad procesal carente de trascendencia constitucional. Finalmente porque, a pesar de que el Tribunal le reservó el derecho para solicitar el recibimiento a prueba en el momento procesal oportuno, el Ayuntamiento dedujo su solicitud transcurrido el plazo de seis días a que se refiere el art. 707, en relación con el 705, L.E.C., lo que constituye un error por su parte que ha provocado la denegación del recibimiento a prueba, efecto éste no imputable a ninguna acción u omisión del órgano judicial; así pues, esta última queja también carece de trascendencia constitucional.</w:t>
      </w:r>
    </w:p>
    <w:p w:rsidR="00FA0779" w:rsidRDefault="00FA0779" w:rsidP="00FA0779">
      <w:pPr>
        <w:pStyle w:val="TextoNormal"/>
      </w:pPr>
    </w:p>
    <w:p w:rsidR="00FA0779" w:rsidRDefault="00FA0779" w:rsidP="00FA0779">
      <w:pPr>
        <w:pStyle w:val="TextoNormal"/>
      </w:pPr>
      <w:r w:rsidRPr="00FA0779">
        <w:rPr>
          <w:rStyle w:val="NumeroAFNegritaCaracter"/>
        </w:rPr>
        <w:t>4</w:t>
      </w:r>
      <w:r>
        <w:t>. El Ayuntamiento actor, por su parte, sostuvo en escrito que presentó el 12 de marzo que su demanda sí tiene contenido constitucional y que, por tanto, el recurso debe ser admitido a trámite Tras reiterar los hechos y los fundamentos contenidos en dicho escrito rector, añade que por un posible defecto formal, y no de fondo, consistente al parecer en que un acto de trámite se insta un día después del vencimiento del plazo establecido para ello, se va a ver impedido de utilizar en la apelación los medios de prueba pertinentes para defenderse.</w:t>
      </w:r>
    </w:p>
    <w:p w:rsidR="00FA0779" w:rsidRDefault="00FA0779" w:rsidP="00FA0779">
      <w:pPr>
        <w:pStyle w:val="TextoNormal"/>
      </w:pPr>
    </w:p>
    <w:p w:rsidR="00FA0779" w:rsidRDefault="00FA0779" w:rsidP="00FA0779">
      <w:pPr>
        <w:pStyle w:val="TextoNormal"/>
      </w:pPr>
      <w:r w:rsidRPr="00FA0779">
        <w:rPr>
          <w:rStyle w:val="NumeroAFNegritaCaracter"/>
        </w:rPr>
        <w:t>5</w:t>
      </w:r>
      <w:r>
        <w:t>. La Sección Cuarta, en nueva providencia de 18 de abril de 1996 y en uso de lo dispuesto en el art. 84 LOTC, decidió poner de manifiesto, por término de diez días, al Ayuntamiento recurrente y al Fiscal la posible existencia de la causa de inadmisión prevista en el art. 50.1 a), en relación con el 44.1 a), ambos de la citada Ley Orgánica, por falta de agotamiento de la vía judicial.</w:t>
      </w:r>
    </w:p>
    <w:p w:rsidR="00FA0779" w:rsidRDefault="00FA0779" w:rsidP="00FA0779">
      <w:pPr>
        <w:pStyle w:val="TextoNormal"/>
      </w:pPr>
    </w:p>
    <w:p w:rsidR="00FA0779" w:rsidRDefault="00FA0779" w:rsidP="00FA0779">
      <w:pPr>
        <w:pStyle w:val="TextoNormal"/>
      </w:pPr>
      <w:r w:rsidRPr="00FA0779">
        <w:rPr>
          <w:rStyle w:val="NumeroAFNegritaCaracter"/>
        </w:rPr>
        <w:t>6</w:t>
      </w:r>
      <w:r>
        <w:t>. El Fiscal, en escrito presentado el 8 de mayo, reiteró lo que ya expuso al respecto en el de alegaciones del art. 50.3 LOTC. El Ayuntamiento de San Vicente de Raspeig evacuó el traslado el 6 de junio, sosteniendo que, para entender agotada la vía judicial, en el caso no debe esperarse a que sea dictada Sentencia definitiva en la apelación, porque precisamente de lo que se trata con la interposición del recurso de amparo es de probar en la alzada unos hechos que no pudieron ser acreditados en la primera instancia por encontrarse en situación procesal de rebeldía, cuya acreditación determinaría la desestimación de la demanda contra él dirigida. Siendo ello así, entender que el recurso de amparo sólo puede promoverse a partir de la Sentencia resolutoria del recurso de apelación se compadece bien poco no sólo con el derecho fundamental invocado sino también con los derechos a un proceso público con todas las garantías y a la tutela judicial efectiva.</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más que el Ayuntamiento de San Vicente de Raspeig diga lo contrario, este recurso de amparo es prematuro y, por ello, incurre en la causa de inadmisibilidad configurada en el art. 50.1 a), en relación con el 44.1 a), ambos de nuestra Ley Orgánica. La posibilidad de acudir directamente a esta sede contra resoluciones interlocutorias como la que ahora nos ocupa es excepcional, siendo la regla general que sólo pueden impugnarse con la Sentencia definitiva con la cual se agote la vía jurisdiccional ordinaria. La razón se encuentra en que, mientras no sea dictada aquélla, no puede apreciarse en la constitucional si se ha producido, o no, efectivamente la lesión del derecho fundamental denunciado. En este caso, tan sólo a la vista de la totalidad del proceso y del fallo final será posible ponderar su negativa al recibimiento a prueba en el rollo de apelación ha producido, o no, una real merma de las garantías para la defensa enjuicio del Ayuntamiento. El amparo es el instrumento adecuado para la protección de los derechos fundamentales y las libertades públicas contra las agresiones reales y actuales a los mismos, nunca para las meramente hipotéticas, potenciales o eventuales. Así lo hemos dicho en más de una ocasión (SSTC 94/1992 y 174/1994, así como los AATC 361/1993, 133/1994 y 246/1995).</w:t>
      </w:r>
    </w:p>
    <w:p w:rsidR="00FA0779" w:rsidRDefault="00FA0779" w:rsidP="00FA0779">
      <w:pPr>
        <w:pStyle w:val="TextoNormal"/>
      </w:pPr>
    </w:p>
    <w:p w:rsidR="00FA0779" w:rsidRDefault="00FA0779" w:rsidP="00FA0779">
      <w:pPr>
        <w:pStyle w:val="TextoNormal"/>
      </w:pPr>
      <w:r w:rsidRPr="00FA0779">
        <w:rPr>
          <w:rStyle w:val="NumeroAFNegritaCaracter"/>
        </w:rPr>
        <w:t>2</w:t>
      </w:r>
      <w:r>
        <w:t>. A mayor abundamiento, la demanda incurre también en otra causa de inadmisibilidad [art. 50.1 c) LOTC]. El Ayuntamiento pidió el recibimiento a prueba del recurso de apelación antes de tiempo, por lo que la Audiencia Provincial le reservó el derecho a formular la petición en el momento procesal oportuno, a saber, dentro de los seis días siguientes desde aquel en el cual le fue notificada la providencia teniéndole por personado como apelante (art.  707, en relación con el 705. L.E.C.). Pues bien, cuando instó de nuevo el recibimiento, ya había transcurrido tal plazo.</w:t>
      </w:r>
    </w:p>
    <w:p w:rsidR="00FA0779" w:rsidRDefault="00FA0779" w:rsidP="00FA0779">
      <w:pPr>
        <w:pStyle w:val="TextoNormal"/>
      </w:pPr>
      <w:r>
        <w:t>Siendo ello así, no puede sostenerse que la decisión de la Audiencia Provincial negándole el recibimiento a prueba haya desconocido su derecho a utilizar los medios de prueba conducentes a su defensa. Este Tribunal ha reiterado que para ello es conditio sine qua non que la petición al respecto se haya producido en la forma y el tiempo legalmente establecidos (SSTC 94/1992, 1/1996 y 169/1996). Por lo demás, tal y como destaca el Fiscal, la circunstancia de que en la notificación del Auto resolutorio de la súplica se omitiera la indicación de los recursos contra él utilizables no trasciende el plano de la legalidad para alcanzar una dimensión constitucional, ya que esa irregularidad formal no ha ido acompañada de un menoscabo de las posibilidades de defensa del Ayuntamiento, que ha tenido en todo momento -no se olvide- la asistencia de un Abogado.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siete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0" w:name="AUTO_1997_137"/>
      <w:r>
        <w:lastRenderedPageBreak/>
        <w:t>AUTO 137/1997, de 7 de mayo de 1997</w:t>
      </w:r>
    </w:p>
    <w:bookmarkEnd w:id="70"/>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ECLI:ES:TC:1997:137A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2.758/1995.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Procurador de los Tribunales don Carmelo Olmos Gómez, en nombre de la compañía «Pujol, Verdaguer y Cía, S.A.», y mediante escrito que presentó el 19 de julio de 1995, interpuso recurso de amparo contra la Sentencia que la Sección Segunda de la Audiencia Provincial de Girona dictó el 17 de junio de 1995 estimando el recurso de apelación deducido por la Cámara de Comercio, Industria y Navegación de Girona contra la Sentencia que el Juez de Primera Instancia e Instrucción núm. 6 de dicha ciudad dictó el 5 de diciembre de 1994 y, por ello, estimando la demanda deducida por dicha entidad contra la sociedad actora en reclamación del importe de las cuotas camerales adeudadas por ésta a aquélla. La sociedad actora sostiene en su demanda que la Sentencia que combate infringe los arts. 9. 1, 24.1 y 164.1 C.E. y solicita que, otorgando el amparo, sea dictada Sentencia anulando la recurrida.</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16 de octubre de 1995, acordó, de conformidad con lo dispuesto en el art. 50.3 de la LOTC, conceder a la sociedad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3</w:t>
      </w:r>
      <w:r>
        <w:t>. La demandante evacuó el traslado en escrito presentado el 8 de noviembre de 1995, en el que reprodujo las alegaciones vertidas en el escrito de demanda. El Fiscal formuló las suyas en igual fecha, sosteniendo la procedencia de inadmitir el recurso.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En este proceso se plantea una cuestión idéntica a la que fue objeto de otro, cuya respuesta desestimatoria se dio por la Sala Segunda de este Tribunal en su STC 22/1996. La doctrina que allí se sentó ha sido después recogida en la STC 125/1996 y, por ello, nuestra respuesta aquí y ahora no puede ser distinta, si bien dé lugar en este caso a la inadmisibilidad de la pretensión [art. 50.1 c) LOTC] por razón de la fase procesal donde se detecta.  Dicho esto, bastaría en principio con una escueta remisión a la doctrina contenida </w:t>
      </w:r>
      <w:r>
        <w:lastRenderedPageBreak/>
        <w:t>en aquéllas si no fuera por consideraciones encuadrables en lo que hemos llamado alguna vez (STC 249/1994) cortesía forense como exteriorización del talante propio del Juez, dialogante en el estrado y reflexivo en su escritorio y en la motivación de sus decisiones, sin perjuicio de la potestas o imperium en que consiste el pronunciamiento final de la Sentencia. Quien recurre en este caso y su Abogado tiene el mismo derecho que quienes lo hicieron en los anteriores a conocer directamente, aquí y ahora, las razones determinantes de la resolución de su pleito, aunque lo sea de forma sintética y resumida.</w:t>
      </w:r>
    </w:p>
    <w:p w:rsidR="00FA0779" w:rsidRDefault="00FA0779" w:rsidP="00FA0779">
      <w:pPr>
        <w:pStyle w:val="TextoNormal"/>
      </w:pPr>
    </w:p>
    <w:p w:rsidR="00FA0779" w:rsidRDefault="00FA0779" w:rsidP="00FA0779">
      <w:pPr>
        <w:pStyle w:val="TextoNormal"/>
      </w:pPr>
      <w:r w:rsidRPr="00FA0779">
        <w:rPr>
          <w:rStyle w:val="NumeroAFNegritaCaracter"/>
        </w:rPr>
        <w:t>2</w:t>
      </w:r>
      <w:r>
        <w:t>. La Sentencia de la Audiencia Provincial contra la eficacia retroactiva de la STC 179/1994 a los supuestos de aquellas liquidaciones de las cuotas camerales que hubieran sido impugnadas en tiempo y forma, Sin extenderla a las consentidas y, por tanto, firmes, consolidando así esa situación jurídica. Tal interpretación judicial del fundamento jurídico 12 de nuestra Sentencia es razonable y aparece suficientemente razonada, no cabiendo achacarle el haber redundado en menoscabo de la tutela judicial por haberse limitado a aplicar al caso concreto, sin asomo de arbitrariedad, lo dicho en el mencionado fundamento como respaldo de su decisión. No hay, pues, infracción alguna del art. 24 C.E. y, por otra parte, las que se denuncian de los arts. 9.1 y 164.1 C.E. están fuera de lugar, quedando extramuros del proceso, pues en ellos no se reconoce derecho fundamental alguno. La pretensión carece en definitiva de contenido, una vez comprobado que, en una parte, la ratio petendi fue desestimada con anterioridad en supuestos idénticos y, en lo demás, aparece desprovista de soporte constitucional, siendo en consecuencia inadmisible [arts. 53.2 y 161.1 b) C.E. y 41.1 LOTC].</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 la pretensión de amparo y el archivo de las actuaciones.</w:t>
      </w:r>
    </w:p>
    <w:p w:rsidR="00FA0779" w:rsidRDefault="00FA0779" w:rsidP="00FA0779">
      <w:pPr>
        <w:pStyle w:val="TextoNormal"/>
      </w:pPr>
    </w:p>
    <w:p w:rsidR="00FA0779" w:rsidRDefault="00FA0779" w:rsidP="00FA0779">
      <w:pPr>
        <w:pStyle w:val="TextoNormal"/>
      </w:pPr>
      <w:r>
        <w:t>Madrid, a siete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1" w:name="AUTO_1997_138"/>
      <w:r>
        <w:lastRenderedPageBreak/>
        <w:t>AUTO 138/1997, de 7 de mayo de 1997</w:t>
      </w:r>
    </w:p>
    <w:bookmarkEnd w:id="71"/>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ECLI:ES:TC:1997:138A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Declarando la falta de competencia del Tribunal Constitucional para conocer de la impugnación de la previa denegación del beneficio de pobreza solicitado por el actor en el recurso de amparo 3.033/1996.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escrito registrado el día 25 de julio de 1996, don Nicolás Iglesias García, en su propio nombre y derecho, y tras exponer las alegaciones que estimó convenientes, solicitó de este Tribunal que tuviera por formulado en tiempo y forma recurso de amparo contra la Sentencia de la Sala de lo Contencioso-Administrativo de la Audiencia Nacional, de 11 de junio de 1996 (notificada el posterior 4 de julio). </w:t>
      </w:r>
    </w:p>
    <w:p w:rsidR="00FA0779" w:rsidRDefault="00FA0779" w:rsidP="00FA0779">
      <w:pPr>
        <w:pStyle w:val="TextoNormal"/>
      </w:pPr>
    </w:p>
    <w:p w:rsidR="00FA0779" w:rsidRDefault="00FA0779" w:rsidP="00FA0779">
      <w:pPr>
        <w:pStyle w:val="TextoNormal"/>
      </w:pPr>
      <w:r>
        <w:t>En dicho escrito, y a través de un otrosí, manifestó lo siguiente: «Que por carecer de medios económicos, solicito Abogado y Procurador de Oficio».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Secretario de Justicia de la Sala Segunda, mediante diligencia de ordenación fechada el 7 de octubre de 1996, requirió al recurrente para que «acredite haber solicitado la concesión del beneficio de justicia gratuita ante el Colegio de Abogados de Madrid o ante el Juzgado Decano de su domicilio, aportando copia sellada de tal solicitud, conforme determina el art. 8 del Acuerdo del Pleno de este Tribunal de 18 de junio pasado». </w:t>
      </w:r>
    </w:p>
    <w:p w:rsidR="00FA0779" w:rsidRDefault="00FA0779" w:rsidP="00FA0779">
      <w:pPr>
        <w:pStyle w:val="TextoNormal"/>
      </w:pPr>
    </w:p>
    <w:p w:rsidR="00FA0779" w:rsidRDefault="00FA0779" w:rsidP="00FA0779">
      <w:pPr>
        <w:pStyle w:val="TextoNormal"/>
      </w:pPr>
      <w:r>
        <w:t xml:space="preserve">A raíz de la formulación de dicho requerimiento, quedaron sucesivamente registrados en este Tribunal los siguientes documentos: </w:t>
      </w:r>
    </w:p>
    <w:p w:rsidR="00FA0779" w:rsidRDefault="00FA0779" w:rsidP="00FA0779">
      <w:pPr>
        <w:pStyle w:val="TextoNormal"/>
      </w:pPr>
    </w:p>
    <w:p w:rsidR="00FA0779" w:rsidRDefault="00FA0779" w:rsidP="00FA0779">
      <w:pPr>
        <w:pStyle w:val="TextoNormal"/>
      </w:pPr>
      <w:r>
        <w:t xml:space="preserve">a) El 21 de octubre de 1996, la copia de la «Solicitud de Asistencia Jurídica Gratuita», según modelo normalizado, cursada por el recurrente ante el Ilustre Colegio de Abogados de Madrid el 18 de octubre de 1996. </w:t>
      </w:r>
    </w:p>
    <w:p w:rsidR="00FA0779" w:rsidRDefault="00FA0779" w:rsidP="00FA0779">
      <w:pPr>
        <w:pStyle w:val="TextoNormal"/>
      </w:pPr>
    </w:p>
    <w:p w:rsidR="00FA0779" w:rsidRDefault="00FA0779" w:rsidP="00FA0779">
      <w:pPr>
        <w:pStyle w:val="TextoNormal"/>
      </w:pPr>
      <w:r>
        <w:t xml:space="preserve">b) El 28 de octubre de 1996, la negativa de dicha Corporación a efectuar en favor del recurrente el nombramiento provisional de Abogado de Oficio, «por entender este Ilustre Colegio de Abogados que no cumple las condiciones establecidas en la Ley 1/1996, habiéndose trasladado la misma a la Comisión de Asistencia Jurídica Gratuita». </w:t>
      </w:r>
    </w:p>
    <w:p w:rsidR="00FA0779" w:rsidRDefault="00FA0779" w:rsidP="00FA0779">
      <w:pPr>
        <w:pStyle w:val="TextoNormal"/>
      </w:pPr>
    </w:p>
    <w:p w:rsidR="00FA0779" w:rsidRDefault="00FA0779" w:rsidP="00FA0779">
      <w:pPr>
        <w:pStyle w:val="TextoNormal"/>
      </w:pPr>
      <w:r>
        <w:t>c) El día 11 de noviembre de 1996, por último, la resolución dictada por la referida Comisión de Asistencia Jurídica Gratuita (C.A.J.G., en lo sucesivo), de fecha 6 de no</w:t>
      </w:r>
      <w:r>
        <w:lastRenderedPageBreak/>
        <w:t xml:space="preserve">viembre, en la que se acuerda confirmar la decisión provisional adoptada por el Colegio de Abogados y, en su consecuencia, «DENEGAR el reconocimiento del derecho a la asistencia jurídica gratuita instado por el/la solicitante, por haber quedado acreditado que: los recursos e ingresos económicos del solicitante superan los establecidos en el art. 3 de la Ley 1/1996». </w:t>
      </w:r>
    </w:p>
    <w:p w:rsidR="00FA0779" w:rsidRDefault="00FA0779" w:rsidP="00FA0779">
      <w:pPr>
        <w:pStyle w:val="TextoNormal"/>
      </w:pPr>
    </w:p>
    <w:p w:rsidR="00FA0779" w:rsidRDefault="00FA0779" w:rsidP="00FA0779">
      <w:pPr>
        <w:pStyle w:val="TextoNormal"/>
      </w:pPr>
      <w:r>
        <w:t>En el último apartado de la citada resolución se dice que la misma «podrá ser impugnada, dentro del plazo de los cinco días siguientes a su notificación, ante el órgano judicial que esté tramitando el proceso para el cual se solicitó el derecho a la asistencia gratuita, o ante el Juez Decano de la localidad si el proceso no se hubiera iniciado (art. 20 de la Ley 1/1996). El escrito de interposición del recurso podrá ser presentado ante la Secretaría de la Comisión de Asistencia Jurídica Gratuita»</w:t>
      </w:r>
    </w:p>
    <w:p w:rsidR="00FA0779" w:rsidRDefault="00FA0779" w:rsidP="00FA0779">
      <w:pPr>
        <w:pStyle w:val="TextoNormal"/>
      </w:pPr>
    </w:p>
    <w:p w:rsidR="00FA0779" w:rsidRDefault="00FA0779" w:rsidP="00FA0779">
      <w:pPr>
        <w:pStyle w:val="TextoNormal"/>
      </w:pPr>
      <w:r w:rsidRPr="00FA0779">
        <w:rPr>
          <w:rStyle w:val="NumeroAFNegritaCaracter"/>
        </w:rPr>
        <w:t>3</w:t>
      </w:r>
      <w:r>
        <w:t>. Mediante providencia de 25 de noviembre de 1996, la Sección acordó, a la vista de la anterior resolución, y no constando que la misma hubiere sido recurrida, «conceder al recurrente en amparo un plazo de diez días para que comparezca Procurador de Madrid, con poder al efecto, y asistido de Abogado, ambos de su libre designación y a su costa, apercibiéndole que de no comparecer con tal carácter y dentro del plazo antes citado, se declarará terminado este procedimiento, archivándose las actuaciones.»</w:t>
      </w:r>
    </w:p>
    <w:p w:rsidR="00FA0779" w:rsidRDefault="00FA0779" w:rsidP="00FA0779">
      <w:pPr>
        <w:pStyle w:val="TextoNormal"/>
      </w:pPr>
    </w:p>
    <w:p w:rsidR="00FA0779" w:rsidRDefault="00FA0779" w:rsidP="00FA0779">
      <w:pPr>
        <w:pStyle w:val="TextoNormal"/>
      </w:pPr>
      <w:r w:rsidRPr="00FA0779">
        <w:rPr>
          <w:rStyle w:val="NumeroAFNegritaCaracter"/>
        </w:rPr>
        <w:t>4</w:t>
      </w:r>
      <w:r>
        <w:t>. El 20 de diciembre de 1996 se registró nuevo escrito del recurrente en el que, en su propio nombre y derecho, y tras exponer que la decisión denegatoria de la C.A.J.G. había sido impugnada el día 13 de noviembre, solicitó de este Tribunal que tenga «por efectuado en tiempo y forma recurso de amparo contra el acuerdo de fecha 25 de noviembre pasado, declarándolo nulo por estar pendiente hasta la fecha de resolución definitiva de la Comisión de Asistencia Jurídica Gratuita.»</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10 de enero de 1997, la C.A.J.G. remitió a este Tribunal Constitucional un documento del siguiente tenor: </w:t>
      </w:r>
    </w:p>
    <w:p w:rsidR="00FA0779" w:rsidRDefault="00FA0779" w:rsidP="00FA0779">
      <w:pPr>
        <w:pStyle w:val="TextoNormal"/>
      </w:pPr>
    </w:p>
    <w:p w:rsidR="00FA0779" w:rsidRDefault="00FA0779" w:rsidP="00FA0779">
      <w:pPr>
        <w:pStyle w:val="TextoNormal"/>
      </w:pPr>
      <w:r>
        <w:t xml:space="preserve">«Habiéndose recibido escrito por el que se impugna la resolución adoptada por esta Comisión respecto a la solicitud de asistencia jurídica gratuita instada por don Nicolás Iglesias García, se remite el expediente original para que según se determina en el art. 20 de la Ley 1/1996, ese órgano Judicial resuelva lo que en derecho proceda. </w:t>
      </w:r>
    </w:p>
    <w:p w:rsidR="00FA0779" w:rsidRDefault="00FA0779" w:rsidP="00FA0779">
      <w:pPr>
        <w:pStyle w:val="TextoNormal"/>
      </w:pPr>
    </w:p>
    <w:p w:rsidR="00FA0779" w:rsidRDefault="00FA0779" w:rsidP="00FA0779">
      <w:pPr>
        <w:pStyle w:val="TextoNormal"/>
      </w:pPr>
      <w:r>
        <w:t xml:space="preserve">Ruego comunique a esta Comisión la resolución que se adopte.» </w:t>
      </w:r>
    </w:p>
    <w:p w:rsidR="00FA0779" w:rsidRDefault="00FA0779" w:rsidP="00FA0779">
      <w:pPr>
        <w:pStyle w:val="TextoNormal"/>
      </w:pPr>
    </w:p>
    <w:p w:rsidR="00FA0779" w:rsidRDefault="00FA0779" w:rsidP="00FA0779">
      <w:pPr>
        <w:pStyle w:val="TextoNormal"/>
      </w:pPr>
      <w:r>
        <w:t>Al transcrito documento se acompañó la totalidad del expediente administrativo a que había dado lugar la inicial solicitud de asistencia jurídica gratuita del recurrente.</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Mediante nueva providencia de 16 de enero de 1997, la Sección acordó «dejar sin efecto el requerimiento efectuado en anterior providencia de 25 de noviembre último y, conforme a lo dispuesto en el art. 20 de la Ley 1/1996, de 12 de enero, y art. 10 del Acuerdo del Pleno de este Tribunal, de 18 de junio pasado, dar vista de dicho expediente al Abogado del Estado por el plazo de tres días dentro de los cuales deberá formular las alegaciones. que estime pertinentes conforme a lo dispuesto en el art. 10.2 del indicado Acuerdo». </w:t>
      </w:r>
    </w:p>
    <w:p w:rsidR="00FA0779" w:rsidRDefault="00FA0779" w:rsidP="00FA0779">
      <w:pPr>
        <w:pStyle w:val="TextoNormal"/>
      </w:pPr>
    </w:p>
    <w:p w:rsidR="00FA0779" w:rsidRDefault="00FA0779" w:rsidP="00FA0779">
      <w:pPr>
        <w:pStyle w:val="TextoNormal"/>
      </w:pPr>
      <w:r>
        <w:t>El Abogado del Estado formuló sus alegaciones a través de escrito registrado el 29 de enero de 1997, en el cual consideró que la resolución denegatoria del derecho a la asistencia jurídica es correcta y, tras hacerse eco de la regulación contenida en la, Ley 1/1996 y evidenciar que el recurrente no cumple con los requisitos en ella establecidos en lo relativo a su nivel de ingresos declarados, terminó postulando la desestimación de la impugnación.</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Por medio de nueva providencia de 26 de febrero de 1996, la Sección acordó «conceder un plazo de tres días al recurrente y al Abogado del Estado para que se pronuncien sobre la falta de competencia de este Tribunal en las presentes actuaciones, para conocer del recurso previsto en el art. 20 de la Ley 1/96, de 10 de enero a la vista de lo dispuesto en los arts. 9 y 10 del Acuerdo de 18 de junio de 1996, del Pleno del Tribunal Constitucional.» </w:t>
      </w:r>
    </w:p>
    <w:p w:rsidR="00FA0779" w:rsidRDefault="00FA0779" w:rsidP="00FA0779">
      <w:pPr>
        <w:pStyle w:val="TextoNormal"/>
      </w:pPr>
    </w:p>
    <w:p w:rsidR="00FA0779" w:rsidRDefault="00FA0779" w:rsidP="00FA0779">
      <w:pPr>
        <w:pStyle w:val="TextoNormal"/>
      </w:pPr>
      <w:r>
        <w:t>En dicho trámite el Abogado del Estado, mediante escrito registrado el 5 de marzo de 1997, consideró, en primer término, que la impugnación prevista en el art. 20 de la Ley sólo puede plantearse ante el Tribunal en el caso de insuficiencia económica sobrevenida (arts. 8.3, 9 y 10 C.A.J.G.), no en el supuesto de que dicha insuficiencia sea originaria. Sin embargo, se mostró finalmente partidario de desestimar la impugnación en lugar de declarar la falta de competencia del Tribunal, pues, según afirma, «competencia la tiene la Sala desde el momento en que, con o sin fundamento, el impugnante ha solicitado el reconocimiento del derecho de a.j.g. (sic) ante la Comisión correspondiente con referencia al presente recurso de amparo, y ese derecho le ha sido denegado por no acreditar insuficiencia económica.</w:t>
      </w:r>
    </w:p>
    <w:p w:rsidR="00FA0779" w:rsidRDefault="00FA0779" w:rsidP="00FA0779">
      <w:pPr>
        <w:pStyle w:val="TextoNormal"/>
      </w:pPr>
    </w:p>
    <w:p w:rsidR="00FA0779" w:rsidRDefault="00FA0779" w:rsidP="00FA0779">
      <w:pPr>
        <w:pStyle w:val="TextoNormal"/>
      </w:pPr>
      <w:r>
        <w:t>El escrito de alegaciones del recurrente quedó registrado el 11 de marzo de 1997, y en él, tras ratificarse en sus anteriores escritos, se limitó a solicitar de este Tribunal la concesión del beneficio de justicia gratuita.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Tal y como ha quedado suficientemente reseñado en los antecedentes de la presente resolución, don Nicolás Iglesias García se dirigió a este Tribunal solicitando que le fuese nombrado Abogado y Procurador del turno de oficio con el fin de interponer demanda de amparo contra la Sentencia dictada por la Sala de lo Contencioso-Administrativo de la Audiencia Nacional, de fecha 11 de junio de 1996.</w:t>
      </w:r>
    </w:p>
    <w:p w:rsidR="00FA0779" w:rsidRDefault="00FA0779" w:rsidP="00FA0779">
      <w:pPr>
        <w:pStyle w:val="TextoNormal"/>
      </w:pPr>
      <w:r>
        <w:t>El procedimiento administrativo tendente a la obtención del reconocimiento en su favor del derecho a litigar gratuitamente finalizó mediante resolución denegatoria dictada por la C.A.J.G. de Madrid. Frente a dicha decisión, que fundamenta la negativa al reconocimiento del derecho en la obtención por parte del recurrente de un volumen de ingresos declarados superior al limite máximo fijado por la normativa vigente, éste interpuso la «impugnación» a que se refiere el art. 20 de la Ley 1/1996.</w:t>
      </w:r>
    </w:p>
    <w:p w:rsidR="00FA0779" w:rsidRDefault="00FA0779" w:rsidP="00FA0779">
      <w:pPr>
        <w:pStyle w:val="TextoNormal"/>
      </w:pPr>
      <w:r>
        <w:t>La Comisión remitió entonces a este Tribunal la totalidad del expediente, por entender que la competencia para enjuiciar dicha impugnación nos corresponde, atribución competencial ésta a cuyo favor también se han pronunciado, en el trámite de alegaciones habilitado por la Sección al efecto, tanto el Abogado del Estado como el propio recurrente.</w:t>
      </w:r>
    </w:p>
    <w:p w:rsidR="00FA0779" w:rsidRDefault="00FA0779" w:rsidP="00FA0779">
      <w:pPr>
        <w:pStyle w:val="TextoNormal"/>
      </w:pPr>
      <w:r>
        <w:lastRenderedPageBreak/>
        <w:t>En consecuencia, y con carácter previo a emitir cualquier pronunciamiento acerca del contenido de la impugnación formalizada por este último, ha de determinarse si el Tribunal Constitucional, a la luz de la Ley 1/1996 y de nuestro Acuerdo de 18 de junio de 1996, ostenta o no la competencia requerida para llevar a cabo en el presente caso dicho enjuiciamiento.</w:t>
      </w:r>
    </w:p>
    <w:p w:rsidR="00FA0779" w:rsidRDefault="00FA0779" w:rsidP="00FA0779">
      <w:pPr>
        <w:pStyle w:val="TextoNormal"/>
      </w:pPr>
    </w:p>
    <w:p w:rsidR="00FA0779" w:rsidRDefault="00FA0779" w:rsidP="00FA0779">
      <w:pPr>
        <w:pStyle w:val="TextoNormal"/>
      </w:pPr>
      <w:r w:rsidRPr="00FA0779">
        <w:rPr>
          <w:rStyle w:val="NumeroAFNegritaCaracter"/>
        </w:rPr>
        <w:t>2</w:t>
      </w:r>
      <w:r>
        <w:t>. Es sabido que la Ley 1/1996, de 10 de enero, de Asistencia Jurídica Gratuita (L.A.J.G., en adelante), en radical contraste con el régimen netamente judicialista que se plasmaba en la ya derogada regulación de la Ley de Enjuiciamiento Civil (arts. 13 a 50), diseña un nuevo sistema de reconocimiento del derecho a litigar gratuitamente de carácter eminentemente administrativo, tanto por la naturaleza del procedimiento que ha de seguirse para la obtención de dicho reconocimiento -el cual se rige supletoriamente por la Ley 30/1992, de Régimen Jurídico de las Administraciones Públicas y del Procedimiento Administrativo Común (art. 11.1 L.A.J.G.)-, como fundamentalmente por la composición de unos órganos de nuevo cuño -las Comisiones de Asistencia Jurídica Gratuita (art. 10 L.A.J.G.)- a los que el legislador ha conferido la competencia para pronunciarse definitivamente sobre todas las solicitudes que se promuevan al respecto.</w:t>
      </w:r>
    </w:p>
    <w:p w:rsidR="00FA0779" w:rsidRDefault="00FA0779" w:rsidP="00FA0779">
      <w:pPr>
        <w:pStyle w:val="TextoNormal"/>
      </w:pPr>
      <w:r>
        <w:t>La propia Exposición de Motivos de la Ley así lo pone de manifiesto en su apartado 5, al afirmar que el esencial propósito perseguido por el legislador en este campo ha sido el de la «desjudicialización» del procedimiento para reconocer el derecho a la asistencia jurídica gratuita, propósito que, sin embargo, y como no podía ser de otro modo a la luz del categórico mandato constitucional contenido en el art. 106.1 C.E., no ha impedido la instauración en la L.A.J.G. de un específico mecanismo de control judicial de la legalidad de las decisiones administrativas que dicten las Comisiones de Asistencia Jurídica Gratuita reconociendo o denegando el reconocimiento de este derecho asistencial.</w:t>
      </w:r>
    </w:p>
    <w:p w:rsidR="00FA0779" w:rsidRDefault="00FA0779" w:rsidP="00FA0779">
      <w:pPr>
        <w:pStyle w:val="TextoNormal"/>
      </w:pPr>
      <w:r>
        <w:t>Dicho mecanismo de control, al que se denomina simple y llanamente «impugnación», se encuentra regulado en el art. 20 L.A.J.G., precepto cuyos dos primeros párrafos rezan así:</w:t>
      </w:r>
    </w:p>
    <w:p w:rsidR="00FA0779" w:rsidRDefault="00FA0779" w:rsidP="00FA0779">
      <w:pPr>
        <w:pStyle w:val="TextoNormal"/>
      </w:pPr>
      <w:r>
        <w:t>«Quienes sean titulares de un derecho o de un interés legítimo podrán impugnar las resoluciones que, de modo definitivo, reconozcan o denieguen el derecho a la asistencia jurídica gratuita.</w:t>
      </w:r>
    </w:p>
    <w:p w:rsidR="00FA0779" w:rsidRDefault="00FA0779" w:rsidP="00FA0779">
      <w:pPr>
        <w:pStyle w:val="TextoNormal"/>
      </w:pPr>
      <w:r>
        <w:t>Tal impugnación, para la que no será preceptiva la intervención de Letrado, habrá de realizarse por escrito y de forma motivada, en el plazo de cinco días desde la notificación de la resolución o desde que haya sido conocida por cualquiera de los legitimados para interponerla, ante el Secretario de la Comisión de Asistencia Jurídica Gratuita. Este remitirá el escrito de impugnación, junto con el expediente correspondiente a la resolución impugnada y una certificación de ésta, al Juzgado o Tribunal competente o al Juez Decano para su reparto, si el procedimiento no se hubiera iniciado.»</w:t>
      </w:r>
    </w:p>
    <w:p w:rsidR="00FA0779" w:rsidRDefault="00FA0779" w:rsidP="00FA0779">
      <w:pPr>
        <w:pStyle w:val="TextoNormal"/>
      </w:pPr>
      <w:r>
        <w:t>De conformidad, pues, con lo dispuesto en la transcrita norma, en lo relativo al reconocimiento o denegación del derecho a la asistencia jurídica gratuita las Comisiones administrativas del mismo nombre ostentan únicamente la «primera palabra», pues sus decisiones siempre podrán ser revisadas por un órgano judicial.</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el presente caso, en el que el reconocimiento del derecho a la asistencia jurídica gratuita se ha solicitado con la exclusiva finalidad de interponer un recurso de amparo, la C.A.J.G. de Madrid ha entendido que el Tribunal Constitucional es, a los efectos del art. 20 L.A.J.G., el «Tribunal competente» para resolver la impugnación promovida frente a la </w:t>
      </w:r>
      <w:r>
        <w:lastRenderedPageBreak/>
        <w:t>denegación de la solicitud de justicia gratuita, postura que también comparten el Abogado del Estado y el propio recurrente.</w:t>
      </w:r>
    </w:p>
    <w:p w:rsidR="00FA0779" w:rsidRDefault="00FA0779" w:rsidP="00FA0779">
      <w:pPr>
        <w:pStyle w:val="TextoNormal"/>
      </w:pPr>
      <w:r>
        <w:t>Este Tribunal, sin embargo, por las razones que a continuación se detallan, carece de competencia para enjuiciar dicha concreta impugnación:</w:t>
      </w:r>
    </w:p>
    <w:p w:rsidR="00FA0779" w:rsidRDefault="00FA0779" w:rsidP="00FA0779">
      <w:pPr>
        <w:pStyle w:val="TextoNormal"/>
      </w:pPr>
      <w:r>
        <w:t>a) El art. 20 L.A.J.G., como con evidencia se desprende de su lectura, no ha otorgado la competencia judicial para conocer de las impugnaciones en él reguladas, ni a los Juzgados de lo Contencioso-Administrativo, ni tampoco al Juzgado o Tribunal que vaya a conocer del asunto principal para cuya incoación se solicita el reconocimiento del derecho a litigar gratuitamente.</w:t>
      </w:r>
    </w:p>
    <w:p w:rsidR="00FA0779" w:rsidRDefault="00FA0779" w:rsidP="00FA0779">
      <w:pPr>
        <w:pStyle w:val="TextoNormal"/>
      </w:pPr>
      <w:r>
        <w:t>Antes al contrario, la norma distingue en función de si el procedimiento principal se hubiere o no iniciado, asignando la competencia para revisar la decisión de la C.A.J.G., en el primer caso, al órgano judicial que ya esté conociendo del proceso para cuyo seguimiento se haya instado la concesión del derecho a la asistencia gratuita, y en el segundo, al Juzgado de Primera Instancia que por turno de reparto corresponda, al que el Juez Decano de la capital de provincia donde tenga su sede la C.A.J.G. autora de la resolución impugnada remitirá el expediente administrativo.</w:t>
      </w:r>
    </w:p>
    <w:p w:rsidR="00FA0779" w:rsidRDefault="00FA0779" w:rsidP="00FA0779">
      <w:pPr>
        <w:pStyle w:val="TextoNormal"/>
      </w:pPr>
      <w:r>
        <w:t>b) El problema planteado, por tanto, se centra en establecer si, en el presente caso, el escrito que don Nicolás Iglesias García remitió a este Tribunal, en el que, en su propio nombre y derecho, se limita a anunciar su intención de interponer demanda de amparo frente a una determinada Sentencia dictada por la Audiencia Nacional, y a solicitar que le sean nombrados Abogado y Procurador del turno de oficio, posee o no la virtualidad suficiente para iniciar el procedimiento de amparo.</w:t>
      </w:r>
    </w:p>
    <w:p w:rsidR="00FA0779" w:rsidRDefault="00FA0779" w:rsidP="00FA0779">
      <w:pPr>
        <w:pStyle w:val="TextoNormal"/>
      </w:pPr>
      <w:r>
        <w:t>La contestación al referido interrogante ha de ser forzosamente negativa. De acuerdo con lo que establece el art. 49.1 LOTC, «El recurso de amparo constitucional se iniciará mediante demanda en la que se expondrá con claridad y concisión los hechos que la fundamenten, se citarán los preceptos constitucionales que se estimen infringidos y se fijará con precisión el amparo que se solicita para preservar o restablecer el, derecho o libertad que se considere vulnerado», demanda que habrá de formularse dentro de plazos de caducidad legalmente previstos (arts. 42, 43.2 y 44.2 LOTC), a la que deberán acompañarse determinados documentos (art. 49.2 LOTC), y que. en todo caso, tendrá que ir firmada por Abogado y Procurador (art. 81.1 LOTC).</w:t>
      </w:r>
    </w:p>
    <w:p w:rsidR="00FA0779" w:rsidRDefault="00FA0779" w:rsidP="00FA0779">
      <w:pPr>
        <w:pStyle w:val="TextoNormal"/>
      </w:pPr>
      <w:r>
        <w:t>Es, pues, la interposición de un escrito de demanda en el que concurran los requisitos establecidos por la Ley Orgánica del Tribunal Constitucional el único acto procesal capaz de producir la iniciación del procedimiento de amparo.</w:t>
      </w:r>
    </w:p>
    <w:p w:rsidR="00FA0779" w:rsidRDefault="00FA0779" w:rsidP="00FA0779">
      <w:pPr>
        <w:pStyle w:val="TextoNormal"/>
      </w:pPr>
      <w:r>
        <w:t>Así se desprende igualmente de los arts. 9 y 10.1 del antes citado Acuerdo Plenario de 18 de junio de 1996, preceptos que determinan la competencia de este Tribunal para conocer de la impugnación contra la denegación del reconocimiento del derecho a litigar gratuitamente en el exclusivo supuesto en que la situación de insuficiencia económica sobrevenga con posterioridad a la interposición del recurso de amparo.</w:t>
      </w:r>
    </w:p>
    <w:p w:rsidR="00FA0779" w:rsidRDefault="00FA0779" w:rsidP="00FA0779">
      <w:pPr>
        <w:pStyle w:val="TextoNormal"/>
      </w:pPr>
      <w:r>
        <w:t>c) En el asunto que ahora nos ocupa, pues, al no revestir el escrito formulado por el recurrente los caracteres y requisitos de una auténtica demanda en el sentido de los arts. 49 y concordantes de la LOTC, es evidente que el procedimiento de amparo aún no ha sido iniciado... Dicho escrito, a lo sumo, podría equivaler a un mero «anuncio» del recurso, cuya única virtualidad, tal y como se ha declarado en constante jurisprudencia respecto de los escritos dirigidos por los propios interesados a este Tribunal y que se limitan a solicitar el nombramiento de Abogado y Procurador (vgr. STC 270/1993 o ATC 633/1987, entre otras muchas), es la de interrumpir el plazo de caducidad legalmente previsto para el ejercicio de la acción de amparo, pero no conllevar su ejercicio mismo.</w:t>
      </w:r>
    </w:p>
    <w:p w:rsidR="00FA0779" w:rsidRDefault="00FA0779" w:rsidP="00FA0779">
      <w:pPr>
        <w:pStyle w:val="TextoNormal"/>
      </w:pPr>
    </w:p>
    <w:p w:rsidR="00FA0779" w:rsidRDefault="00FA0779" w:rsidP="00FA0779">
      <w:pPr>
        <w:pStyle w:val="TextoNormal"/>
      </w:pPr>
      <w:r w:rsidRPr="00FA0779">
        <w:rPr>
          <w:rStyle w:val="NumeroAFNegritaCaracter"/>
        </w:rPr>
        <w:t>4</w:t>
      </w:r>
      <w:r>
        <w:t>. En consecuencia, no habiéndose iniciado el procedimiento de amparo, este Tribunal, de conformidad con lo dispuesto en el art. 20 L.A.J.G., carece de competencia para enjuiciar la «impugnación» interpuesta por el recurrente contra la denegación de la solicitud de reconocimiento del derecho a la asistencia jurídica gratuita dictada por la C.A.J.G. de Madrid.</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w:t>
      </w:r>
    </w:p>
    <w:p w:rsidR="00FA0779" w:rsidRDefault="00FA0779" w:rsidP="00FA0779">
      <w:pPr>
        <w:pStyle w:val="TextoNormal"/>
      </w:pPr>
      <w:r>
        <w:t>1.º Declararse incompetente para el enjuiciamiento de la impugnación interpuesta por don Nicolás Iglesias García contra la resolución de la Comisión de Asistencia Jurídica Gratuita de Madrid, de 6 de noviembre de 1996.</w:t>
      </w:r>
    </w:p>
    <w:p w:rsidR="00FA0779" w:rsidRDefault="00FA0779" w:rsidP="00FA0779">
      <w:pPr>
        <w:pStyle w:val="TextoNormal"/>
      </w:pPr>
      <w:r>
        <w:t>2.º Devolver a dicha Comisión las actuaciones que en su día fueron remitidas por la misma a este Tribunal.</w:t>
      </w:r>
    </w:p>
    <w:p w:rsidR="00FA0779" w:rsidRDefault="00FA0779" w:rsidP="00FA0779">
      <w:pPr>
        <w:pStyle w:val="TextoNormal"/>
      </w:pPr>
    </w:p>
    <w:p w:rsidR="00FA0779" w:rsidRDefault="00FA0779" w:rsidP="00FA0779">
      <w:pPr>
        <w:pStyle w:val="TextoNormal"/>
      </w:pPr>
      <w:r>
        <w:t>Madrid, a siete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2" w:name="AUTO_1997_139"/>
      <w:r>
        <w:lastRenderedPageBreak/>
        <w:t>AUTO 139/1997, de 7 de mayo de 1997</w:t>
      </w:r>
    </w:p>
    <w:bookmarkEnd w:id="72"/>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ECLI:ES:TC:1997:139A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condicionada de la ejecución del acto que origina el recurso de amparo 66/1997.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3" w:name="AUTO_1997_140"/>
      <w:r>
        <w:lastRenderedPageBreak/>
        <w:t>AUTO 140/1997, de 8 de mayo de 1997</w:t>
      </w:r>
    </w:p>
    <w:bookmarkEnd w:id="73"/>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ECLI:ES:TC:1997:140A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832/1997.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28 de febrero de 1997 tuvo entrada en el Registro de este Tribunal escrito del Presidente de la Sección Segunda de la Audiencia Provincial de Las Palmas al que se adjuntaba testimonio de las actuaciones pertenecientes al rollo núm. 1/96 correspondiente a la causa 2/96 del procedimiento de la Ley del Jurado, del Juzgado de Instrucción núm. 7 de aquella capital, por el que se acordaba plantear cuestión de inconstitucionalidad en relación con los arts. 6, 7.2 y 39.2 de la Ley Orgánica 5/1995, de 22 de mayo, del Tribunal del Jurado, por infracción de los arts. 117.3 y 125 de la Constitución.</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FA0779" w:rsidRDefault="00FA0779" w:rsidP="00FA0779">
      <w:pPr>
        <w:pStyle w:val="TextoNormal"/>
      </w:pPr>
      <w:r>
        <w:t xml:space="preserve">A) Una de las personas citadas por la Audiencia Provincial para comparecer a los efectos de la selección de un Tribunal del Jurado hizo caso omiso del requerimiento. Requerida para dar razón de su incomparecencia, alegó que «no acudió porque se le olvidó, pero no porque no tuviera intención de no comparecer». </w:t>
      </w:r>
    </w:p>
    <w:p w:rsidR="00FA0779" w:rsidRDefault="00FA0779" w:rsidP="00FA0779">
      <w:pPr>
        <w:pStyle w:val="TextoNormal"/>
      </w:pPr>
      <w:r>
        <w:t xml:space="preserve">B) La Sección Segunda de la Audiencia, a la vista de que las razones alegadas no merecían la calificación de justa causa para la incomparecencia, entendió que, a la vista de lo dispuesto en el art. 39.2 de la Ley Orgánica 5/1995, del Tribunal del Jurado, procedía imponer una sanción económica. Pero, como quiera que la sanción resultaba del incumplimiento de un deber legal que podría ser contrario a la Constitución, el órgano judicial, por providencia de 12 de febrero de 1996, acordó, de conformidad con lo previsto en el art. 35.2 LOTC, requerir al Ministerio Fiscal y a la parte para que alegaran lo que estimasen pertinente sobre la posibilidad de plantear cuestión de inconstitucionalidad en relación con los arts. 6, 7.2 y 39 de la meritada L.O. 5/1995, por posible infracción de los arts. 117.3 y 125 de la Constitución. El requerimiento sólo fue atendido por el Ministerio Fiscal, que no se opuso al planteamiento, aunque apuntó la posibilidad de que el momento procesal no fuera el oportuno a tales fines. </w:t>
      </w:r>
    </w:p>
    <w:p w:rsidR="00FA0779" w:rsidRDefault="00FA0779" w:rsidP="00FA0779">
      <w:pPr>
        <w:pStyle w:val="TextoNormal"/>
      </w:pPr>
      <w:r>
        <w:lastRenderedPageBreak/>
        <w:t>C) La Sección, por Auto de 25 de febrero de 1997, acuerda el planteamiento de la presente cuestión de inconstitucionalidad.</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opinión del órgano judicial proponente, los arts. 6, 7.2 y 39.2 de la L.O. 5/1995, del Tribunal del Jurado pueden ser contrarios a los arts. 117.3 y 125 de la Constitución. </w:t>
      </w:r>
    </w:p>
    <w:p w:rsidR="00FA0779" w:rsidRDefault="00FA0779" w:rsidP="00FA0779">
      <w:pPr>
        <w:pStyle w:val="TextoNormal"/>
      </w:pPr>
      <w:r>
        <w:t xml:space="preserve">A su juicio, con la expresión «los ciudadanos podrán participar en la Administración de Justicia mediante la institución del Jurado» (art. 125 C.E.) «se recoge un derecho que, para compatibilizarse plenamente con lo dispuesto en el art. 117.3 de la Constitución Española, que atribuye la exclusividad del ejercicio de la función jurisdiccional a los Juzgados y Tribunales, no puede suponer que por una norma de rango inferior, en este caso una ley orgánica, se convierta en un deber inexcusable que acarree, además, muy graves consecuencias para los ciudadanos que, cumpliendo los requisitos legales, no deseen participar en una determinada causa a enjuiciar por el Tribunal del Jurado» (fundamento jurídico 2.º). </w:t>
      </w:r>
    </w:p>
    <w:p w:rsidR="00FA0779" w:rsidRDefault="00FA0779" w:rsidP="00FA0779">
      <w:pPr>
        <w:pStyle w:val="TextoNormal"/>
      </w:pPr>
      <w:r>
        <w:t xml:space="preserve">El Auto de planteamiento se extiende, a continuación, en una serie de consideraciones acerca del libre ejercicio de los derechos políticos, para destacar, seguidamente, que, «con mucho mayor motivo, el ejercicio de la función ejecutiva, legislativa o judicial, atribuida en principio a personas que voluntariamente han decidido tomar parte en ellas, tampoco puede imponerse a nadie, y, desde luego, estimo de dudosa constitucionalidad imponer sanciones por decidir, en uso de la libertad, valor superior del ordenamiento ( ... ), no participar en tales poderes» (fundamento jurídico 3.º). Para el órgano judicial, así como resultara «grotesco» obligar a alguien a ser concejal o ministro, a ejercer el derecho de sufragio activo o la iniciativa legislativa popular, tanto más ha de serlo obligarle a formar parte de un jurado. </w:t>
      </w:r>
    </w:p>
    <w:p w:rsidR="00FA0779" w:rsidRDefault="00FA0779" w:rsidP="00FA0779">
      <w:pPr>
        <w:pStyle w:val="TextoNormal"/>
      </w:pPr>
      <w:r>
        <w:t xml:space="preserve">«Otra cosa -continúa el órgano judicial- es que, haciendo uso del derecho que le confiere el art. 125 de la Constitución ( ... ), un ciudadano opte por ser candidato a jurado y, si resulta elegido para una determinada causa, se vea obligado a cumplir las obligaciones de asistencia, juramento o guardar secreto (...)» (fundamento jurídico 4.º). Ahora bien, siendo consciente la Sección de que hay supuestos en los que, como sucede con la obligación de formar parte de una mesa electoral, el Ordenamiento impone la participación de los ciudadanos en el ejercicio de funciones públicas, alega que en esos casos sólo se exigen del individuo «prestaciones que en absoluto alcanzan el nivel de sustituir a un Poder del Estado en su función natural; por eso la ( ... ) difícil compatibilidad de la obligatoriedad de ser jurado con el reconocimiento del principio de exclusividad para el ejercicio de la función jurisdiccional de Jueces y Magistrados, que establece el art. 117.3 de la Constitución Española» (fundamento jurídico 4.1). </w:t>
      </w:r>
    </w:p>
    <w:p w:rsidR="00FA0779" w:rsidRDefault="00FA0779" w:rsidP="00FA0779">
      <w:pPr>
        <w:pStyle w:val="TextoNormal"/>
      </w:pPr>
      <w:r>
        <w:t xml:space="preserve">En el Auto de planteamiento se deja sentado que «tampoco se trata aquí de discutir la existencia de un supuesto derecho de objeción al jurado, pues la cuestión que se plantea se sitúa en una fase anterior, en la posible inconstitucionalidad de unas normas legales que convierten en derecho o derecho-deber lo que la Constitución configura como un derecho de participación en una función del Estado y, en consecuencia, renunciable sin correlativa sanción por quien lisa y llanamente no desee, en uso de su libertad (art. 1.1 de la Constitución Española), tomar parte en una concreta causa de jurado en la que haya sido elegido tras la práctica del sorteo previsto en el art. 18 de la Ley Orgánica del Tribunal del Jurado» (fundamento jurídico 4.1). </w:t>
      </w:r>
    </w:p>
    <w:p w:rsidR="00FA0779" w:rsidRDefault="00FA0779" w:rsidP="00FA0779">
      <w:pPr>
        <w:pStyle w:val="TextoNormal"/>
      </w:pPr>
      <w:r>
        <w:t xml:space="preserve">«En definítiva -concluye el Auto de planteamiento- estimamos que en el caso de la función jurisdiccional es perfectamente comprensible y debe atenderse que un ciudadano no desee, porque no le interese o simplemente no quiera, formar parte de un Tribunal del Jurado. La especialidad responsabilidad que se contrae con ello no parece muy coherente </w:t>
      </w:r>
      <w:r>
        <w:lastRenderedPageBreak/>
        <w:t xml:space="preserve">que pueda serle impuesta a nadie que no la haya asumido voluntariamente, pues en la soberanía nacional ( ... ) se incluye el derecho de la ciudadanía, y por tanto de los ciudadanos, tanto a ejercer como a no ejercer manifestaciones concretas de los diversos poderes del Estado, ya que otra interpretación, entendemos, conculcaría el superior valor del Ordenamiento Jurídico que es la libertad de los titulares remotos de la soberanía del Estado que son los concretos miembros del pueblo español» (fundamento jurídico 4.º). </w:t>
      </w:r>
    </w:p>
    <w:p w:rsidR="00FA0779" w:rsidRDefault="00FA0779" w:rsidP="00FA0779">
      <w:pPr>
        <w:pStyle w:val="TextoNormal"/>
      </w:pPr>
      <w:r>
        <w:t>En consecuencia, se plantea cuestión de inconstitucionalidad respecto de los arts. 6, 7.2 y 39.2 de la L.O. 5/1995, de 22 de mayo, del Tribunal del Jurado, por posible infracción de los arts. 117.3 y 125 de la Constitución.</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12 de marzo de 1997, la Sección Primera de este Tribunal acordó, de conformidad con lo dispuesto en el art. 37 LOTC, conceder un plazo de diez días al Fiscal General del Estado para que alegara lo que estimase pertinente en relación con la posible falta de las condiciones procesales exigidas para la admisión a trámite de la presente cuestión de inconstitucionalidad, en orden a la naturaleza jurisdiccional del procedimiento en el que se ha planteado la misma.</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escrito de alegaciones del Fiscal General del Estado se registró en este Tribunal el 8 de abril de 1997. En él se sostiene que, según reiterada doctrina constitucional, son requisitos ineludibles para el planteamiento de la cuestión de inconstitucionalidad que la norma legal cuestionada resulte aplicable al caso y que de su validez dependa la decisión del proceso. Requisitos éstos que se encuentran en estrecha relación y que tienden a preservar el carácter de control concreto de constitucionalidad que la cuestión tiene en nuestro ordenamiento. Es doctrina de este Tribunal, específicamente, que corresponde, en principio, al Juez promotor de la cuestión determinar cuáles son efectivamente las normas aplicables al caso y que sólo procederá la inadmisión cuando de manera evidente la norma cuestionada no sea aplicable en modo alguno para resolver el litigio. </w:t>
      </w:r>
    </w:p>
    <w:p w:rsidR="00FA0779" w:rsidRDefault="00FA0779" w:rsidP="00FA0779">
      <w:pPr>
        <w:pStyle w:val="TextoNormal"/>
      </w:pPr>
      <w:r>
        <w:t xml:space="preserve">Analizando el supuesto de autos -continúa el Fiscal General del Estado-, puede advertirse que: </w:t>
      </w:r>
    </w:p>
    <w:p w:rsidR="00FA0779" w:rsidRDefault="00FA0779" w:rsidP="00FA0779">
      <w:pPr>
        <w:pStyle w:val="TextoNormal"/>
      </w:pPr>
      <w:r>
        <w:t xml:space="preserve">A) En primer lugar, la incomparecencia del candidato a jurado preseleccionado no impidió la válida constitución del Tribunal del Jurado, pues comparecieron otros candidatos en número suficiente. </w:t>
      </w:r>
    </w:p>
    <w:p w:rsidR="00FA0779" w:rsidRDefault="00FA0779" w:rsidP="00FA0779">
      <w:pPr>
        <w:pStyle w:val="TextoNormal"/>
      </w:pPr>
      <w:r>
        <w:t xml:space="preserve">B) Como consecuencia de lo anterior, tampoco la incomparecencia impidió la celebración del juicio oral, la emisión de veredicto y la conclusión del proceso mediante sentencia. </w:t>
      </w:r>
    </w:p>
    <w:p w:rsidR="00FA0779" w:rsidRDefault="00FA0779" w:rsidP="00FA0779">
      <w:pPr>
        <w:pStyle w:val="TextoNormal"/>
      </w:pPr>
      <w:r>
        <w:t xml:space="preserve">C) En tercer lugar, ni siquiera el motivo de la incomparecencia se debió a razón alguna invocada por el candidato incomparecido que cuestionara la configuración legal de la condición de jurado como un derecho/deber. </w:t>
      </w:r>
    </w:p>
    <w:p w:rsidR="00FA0779" w:rsidRDefault="00FA0779" w:rsidP="00FA0779">
      <w:pPr>
        <w:pStyle w:val="TextoNormal"/>
      </w:pPr>
      <w:r>
        <w:t xml:space="preserve">A la vista de todo lo anterior, entiende el Fiscal General del Estado que la cuestión debe ser inadmitida, toda vez que las normas cuestionadas -esto es, los preceptos de la L.O.T.J. que imponen sanciones por incomparecencia- no eran de aplicación al supuesto de autos. En efecto, continúa el escrito de alegaciones, en ningún momento el candidato alegó que su incomparecencia hubiera sido motivada por razones que hubieran podido guardar relación con la naturaleza de derecho/deber de la obligación de ser jurado. Tal incomparecencia se debió, según consta acreditado, a un simple olvido. En consecuencia, el órgano judicial pretende que este Tribunal emita un juicio de inconstitucionalidad en abstracto, totalmente desvinculado del caso particular. Así las cosas, de conformidad con reiterada </w:t>
      </w:r>
      <w:r>
        <w:lastRenderedPageBreak/>
        <w:t>doctrina, la cuestión es a todas luces improcedente. Por todo lo expuesto, el Fiscal General del Estado interesa la inadmisión de la presente cuestión de inconstitucionalidad.</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Procede inadmitir la presente cuestión de inconstitucionalidad por incumplimiento de los requisitos procesales que, para su planteamiento, exigen la Constitución y la Ley Orgánica de este Tribunal.</w:t>
      </w:r>
    </w:p>
    <w:p w:rsidR="00FA0779" w:rsidRDefault="00FA0779" w:rsidP="00FA0779">
      <w:pPr>
        <w:pStyle w:val="TextoNormal"/>
      </w:pPr>
      <w:r>
        <w:t>A este respecto es obligado señalar que el primer requisito que imponen los arts. 163 C.E. y 35.1 LOTC para la formalización de una cuestión de inconstitucionalidad es que la duda del órgano jurisdiccional surja en el curso de «algún proceso», y sea relevante para la emisión del «fallo».</w:t>
      </w:r>
    </w:p>
    <w:p w:rsidR="00FA0779" w:rsidRDefault="00FA0779" w:rsidP="00FA0779">
      <w:pPr>
        <w:pStyle w:val="TextoNormal"/>
      </w:pPr>
      <w:r>
        <w:t>Pues, bien, es claro ninguno de los presupuestos procesales concurren en el presente caso en el que, ni la resolución que pretende dictar el órgano jurisdiccional ha emanado en el curso de un proceso, ni participa de aquella naturaleza.</w:t>
      </w:r>
    </w:p>
    <w:p w:rsidR="00FA0779" w:rsidRDefault="00FA0779" w:rsidP="00FA0779">
      <w:pPr>
        <w:pStyle w:val="TextoNormal"/>
      </w:pPr>
      <w:r>
        <w:t>En efecto, las sanciones que el Magistrado-Presidente puede imponer al amparo del art. 39.2 de la L.O. 5/1995 son multas dirigidas a obtener la efectiva comparecencia de los candidatos a jurado incluidos en la lista preparatoria de la sesión a la que hayan sido citados personalmente y no exonerados judicialmente del cumplimiento de su deber de comparecencia (obligación que tiene su fundamento en el art. 118 C.E.), tras haber planteado, en su momento.  una causa de excusa o motivo de incumplimiento de los requisitos exigidos para el desempeño del oficio de jurado.</w:t>
      </w:r>
    </w:p>
    <w:p w:rsidR="00FA0779" w:rsidRDefault="00FA0779" w:rsidP="00FA0779">
      <w:pPr>
        <w:pStyle w:val="TextoNormal"/>
      </w:pPr>
      <w:r>
        <w:t>Partiendo, pues, del carácter gubernativo de dicha sanción, resulta obligado afirmar que, ni el procedimiento previo a su imposición puede ser asimilado al de «proceso» a los efectos de estimar cumplido el art. 163 C.E., ni esta resolución participa de la naturaleza de los «fallos» a los que se refiere el citado precepto, ya que, aun cuando la interpretación que de este último concepto ha llevado a cabo este Tribunal ha sido muy flexible, extendiéndola, no sólo a las sentencias, sino a todas las resoluciones definitivas que pueda poner término al proceso (SSTC 76/1982, 54/1983 y 186/1990) o incluso a las que puedan suponer un cambio de la competencia objetiva (STC 55/1990), esta amplia interpretación no puede alcanzar, por vedarlo tanto la Constitución como nuestra Ley Orgánica, a las actuaciones judiciales gubernativas.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el Pleno del Tribunal Constitucional acuerda inadmitir la cuestión de inconstitucionalidad núm. 832/97.</w:t>
      </w:r>
    </w:p>
    <w:p w:rsidR="00FA0779" w:rsidRDefault="00FA0779" w:rsidP="00FA0779">
      <w:pPr>
        <w:pStyle w:val="TextoNormal"/>
      </w:pPr>
    </w:p>
    <w:p w:rsidR="00FA0779" w:rsidRDefault="00FA0779" w:rsidP="00FA0779">
      <w:pPr>
        <w:pStyle w:val="TextoNormal"/>
      </w:pPr>
      <w:r>
        <w:t>Madrid, a ocho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4" w:name="AUTO_1997_141"/>
      <w:r>
        <w:lastRenderedPageBreak/>
        <w:t>AUTO 141/1997, de 19 de mayo de 1997</w:t>
      </w:r>
    </w:p>
    <w:bookmarkEnd w:id="74"/>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ECLI:ES:TC:1997:141A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1.255/1995.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que tuvo su entrada en este Tribunal el día 6 de abril de 1995, doña Beatriz Ruano Casanova, Procuradora de los Tribunales y de la mercantil «Metrovacesa, SA», interpone demanda de amparo frente a la Sentencia de la Sala Tercera del Tribunal Supremo de 16 de febrero de 1995, que confirmó la anteriormente dictada por la Audiencia Nacional, el 2 de marzo de 1993, declarando ajustada a derecho una liquidación aprobada por el Tribunal Económico-Administrativo Central, sobre Impuesto de Sociedades (renta de capital), correspondiente a los ejercicios de 1974-1977.</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antecedentes de hecho: </w:t>
      </w:r>
    </w:p>
    <w:p w:rsidR="00FA0779" w:rsidRDefault="00FA0779" w:rsidP="00FA0779">
      <w:pPr>
        <w:pStyle w:val="TextoNormal"/>
      </w:pPr>
      <w:r>
        <w:t xml:space="preserve">a) Por Sentencia de la Audiencia Nacional, de 2 de marzo de 1993, se declaró ajustada a derecho la liquidación aprobada por el Tribunal Económico-Administrativo Central, que fue recurrida por el ahora demandante en amparo. </w:t>
      </w:r>
    </w:p>
    <w:p w:rsidR="00FA0779" w:rsidRDefault="00FA0779" w:rsidP="00FA0779">
      <w:pPr>
        <w:pStyle w:val="TextoNormal"/>
      </w:pPr>
      <w:r>
        <w:t>b) Contra dicha Sentencia interpuso recurso de casación ante el Tribunal Supremo. Este Tribunal dictó Sentencia el 16 de febrero de 1995, confirmando la dictada por la Audiencia. Nacional.</w:t>
      </w:r>
    </w:p>
    <w:p w:rsidR="00FA0779" w:rsidRDefault="00FA0779" w:rsidP="00FA0779">
      <w:pPr>
        <w:pStyle w:val="TextoNormal"/>
      </w:pPr>
    </w:p>
    <w:p w:rsidR="00FA0779" w:rsidRDefault="00FA0779" w:rsidP="00FA0779">
      <w:pPr>
        <w:pStyle w:val="TextoNormal"/>
      </w:pPr>
      <w:r w:rsidRPr="00FA0779">
        <w:rPr>
          <w:rStyle w:val="NumeroAFNegritaCaracter"/>
        </w:rPr>
        <w:t>3</w:t>
      </w:r>
      <w:r>
        <w:t>. El recurrente entiende vulnerado el derecho a la tutela judicial efectiva (art. 24.1 C.E.) por no dar la Sentencia del Tribunal Supremo respuesta a varias cuestiones de las que se plantearon en el recurso de casación.</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 de octubre de 1995, la Sección Cuarta acordó admitir a trámite la demanda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Por escrito que tuvo entrada en este Tribunal el 24 de marzo de 1997, la parte recurrente solicita la suspensión de la ejecución del acto que motiva el presente recurso de amparo. Manifiesta que en el proceso contencioso-administrativo se dispuso la suspensión del acto administrativo, manteniéndose la suspensión que había sido decidida en la vía económico-administrativa, en virtud de garantía bancaria, sin que existan motivos para </w:t>
      </w:r>
      <w:r>
        <w:lastRenderedPageBreak/>
        <w:t>cambiar esta situación en esta nueva fase del proceso impugnatorio ya que la retroacción de actuaciones inherente al recurso de amparo, si fuera estimado, debería producirse en la misma situación en que se encontraba el procedimiento antes de la vulneración del derecho objeto de amparo y por tanto también con la suspensión del acto administrativo que fue en su momento concedida.</w:t>
      </w:r>
    </w:p>
    <w:p w:rsidR="00FA0779" w:rsidRDefault="00FA0779" w:rsidP="00FA0779">
      <w:pPr>
        <w:pStyle w:val="TextoNormal"/>
      </w:pPr>
    </w:p>
    <w:p w:rsidR="00FA0779" w:rsidRDefault="00FA0779" w:rsidP="00FA0779">
      <w:pPr>
        <w:pStyle w:val="TextoNormal"/>
      </w:pPr>
      <w:r w:rsidRPr="00FA0779">
        <w:rPr>
          <w:rStyle w:val="NumeroAFNegritaCaracter"/>
        </w:rPr>
        <w:t>6</w:t>
      </w:r>
      <w:r>
        <w:t>. La Sección Tercera, por providencia de 3 de abril de 1997, acordó formar pieza para la tramitación del incidente sobre suspensión y conforme determina el art. 56 de la Ley Orgánica de este Tribunal, conceder un plazo común de tres días a la parte recurrente, al Abogado del Estado y al Ministerio Fiscal para que alegasen lo que estimasen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7</w:t>
      </w:r>
      <w:r>
        <w:t>. Por escrito registrado en este Tribunal el 11 de abril de 1997, la parte recurrente reitera, en síntesis, lo manifestado en su escrito de solicitud de suspensión.</w:t>
      </w:r>
    </w:p>
    <w:p w:rsidR="00FA0779" w:rsidRDefault="00FA0779" w:rsidP="00FA0779">
      <w:pPr>
        <w:pStyle w:val="TextoNormal"/>
      </w:pPr>
    </w:p>
    <w:p w:rsidR="00FA0779" w:rsidRDefault="00FA0779" w:rsidP="00FA0779">
      <w:pPr>
        <w:pStyle w:val="TextoNormal"/>
      </w:pPr>
      <w:r w:rsidRPr="00FA0779">
        <w:rPr>
          <w:rStyle w:val="NumeroAFNegritaCaracter"/>
        </w:rPr>
        <w:t>8</w:t>
      </w:r>
      <w:r>
        <w:t>. Por escrito que tuvo entrada en este Tribunal el 8 de abril de 1997, el Abogado del Estado interesa que no se otorgue la suspensión solicitada, pues entiende que se trata de un acto administrativo de contenido meramente económico el que se recurre, lo que implica que según constante doctrina constitucional debe preservarse en estos casos la eficacia ejecutiva inherente a las Sentencias firmes. En la interpretación del art. 56 LOTC no deben seguirse los criterios positivados para la vía económico-administrativa ni la oscilante jurisprudencia contencioso-administrativa respecto al art. 122.1 L.J.C.A., pues el amparo constitucional, según el Abogado del Estado, no controla la legalidad de un acto de gestión tributaría sino que tiene por fin proteger los derechos fundamentales, y en el presente caso esos derechos no se plantea que puedan ser lesionados por el acto administrativo sino por una Sentencia judicial tachada de incongruente.</w:t>
      </w:r>
    </w:p>
    <w:p w:rsidR="00FA0779" w:rsidRDefault="00FA0779" w:rsidP="00FA0779">
      <w:pPr>
        <w:pStyle w:val="TextoNormal"/>
      </w:pPr>
    </w:p>
    <w:p w:rsidR="00FA0779" w:rsidRDefault="00FA0779" w:rsidP="00FA0779">
      <w:pPr>
        <w:pStyle w:val="TextoNormal"/>
      </w:pPr>
      <w:r w:rsidRPr="00FA0779">
        <w:rPr>
          <w:rStyle w:val="NumeroAFNegritaCaracter"/>
        </w:rPr>
        <w:t>9</w:t>
      </w:r>
      <w:r>
        <w:t xml:space="preserve">. El Ministerio Fiscal por escrito que tuvo entrada en este Tribunal el 14 de abril de 1997, se opone a la suspensión interesada. </w:t>
      </w:r>
    </w:p>
    <w:p w:rsidR="00FA0779" w:rsidRDefault="00FA0779" w:rsidP="00FA0779">
      <w:pPr>
        <w:pStyle w:val="TextoNormal"/>
      </w:pPr>
      <w:r>
        <w:t>Manifiesta que es de aplicación la doctrina de este Tribunal en el sentido de que las resoluciones de contenido económico no deben ser suspendidas, pues son fácilmente reparables, sin que quepa acordar o denegar la suspensión por causas distintas a las establecidas en el art. 56 LOTC, es decir, en normas juridico-administrativas o tributarías.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Establece el art. 56.1 LOTC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lo cual, podrá denegarse la suspensión cuando de ésta pudiera seguirse perturbación grave de los intereses generales o de los derechos fundamentales o libertades públicas de un tercero.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En aplicación de dicho precepto, es doctrina constante de este Tribunal que no procede, en general, la suspensión de las resoluciones judiciales consistentes en la condena al abono de determinada cantidad, en cuanto su ejecución no provoca ningún perjuicio de </w:t>
      </w:r>
      <w:r>
        <w:lastRenderedPageBreak/>
        <w:t>imposible reparación que pudiera convertir en inútil la tutela otorgada por la eventual estimación de la demanda de amparo. Esta doctrina no se ve alterada por la circunstancia de que en vía administrativa y, posteriormente, en la jurisdicción contencioso-administrativa se suspendiera la ejecución del acto administrativo impugnado. En efecto, los criterios sobre suspensión contenidos en las normas que regulan la vía económico-administrativa o en la jurisprudencia contencioso administrativa (por ejemplo los concernientes al art. 122.1 L.J.C.A.)  no son trasladables al amparo constitucional. Además, en el presente caso la vulneración de derechos fundamentales no se derivaría del acto administrativo impugnado sino de la posible incongruencia omisiva de una Sentencia.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denegar la suspensión solicitada.</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5" w:name="AUTO_1997_142"/>
      <w:r>
        <w:lastRenderedPageBreak/>
        <w:t>AUTO 142/1997, de 19 de mayo de 1997</w:t>
      </w:r>
    </w:p>
    <w:bookmarkEnd w:id="75"/>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ECLI:ES:TC:1997:142A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TtuloResolucin"/>
      </w:pPr>
      <w:r>
        <w:t>*Este auto no incorpora doctrina constitucional.</w:t>
      </w:r>
    </w:p>
    <w:p w:rsidR="00FA0779" w:rsidRDefault="00FA0779">
      <w:pPr>
        <w:rPr>
          <w:rFonts w:ascii="Times New Roman" w:eastAsia="Times New Roman" w:hAnsi="Times New Roman" w:cs="Times New Roman"/>
          <w:b/>
          <w:sz w:val="24"/>
          <w:szCs w:val="24"/>
          <w:lang w:eastAsia="es-ES"/>
        </w:rPr>
      </w:pPr>
      <w:r>
        <w:br w:type="page"/>
      </w:r>
    </w:p>
    <w:p w:rsidR="00FA0779" w:rsidRDefault="00FA0779" w:rsidP="00FA0779">
      <w:pPr>
        <w:pStyle w:val="TtuloResolucin"/>
      </w:pPr>
      <w:bookmarkStart w:id="76" w:name="AUTO_1997_143"/>
      <w:r>
        <w:lastRenderedPageBreak/>
        <w:t>AUTO 143/1997, de 19 de mayo de 1997</w:t>
      </w:r>
    </w:p>
    <w:bookmarkEnd w:id="76"/>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ECLI:ES:TC:1997:143A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1.944/1996.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13 de mayo de 1996, tuvo entrada en el Registro de este Tribunal escrito de la representación procesal de don Enrique Pablo Juan Román, por medio del cual se interpone recurso de amparo frente a la Sentencia de la Sala Primera del Tribunal Supremo núm. 236/96, de 28 de marzo, dictada en recurso de casación núm. 2.886/92 sobre la de la Sección Sexta de la Audiencia Provincial de Valencia, de 23 de junio de 1992, en rollo de apelación 370/91, que tuvo a su vez por objeto la Sentencia del Juzgado de Primera Instancia núm. 14 de Valencia, de 23 de abril de 1991, en autos núm. 468/90 sobre protección de derechos fundamentales.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que fundamentan la demanda de amparo, brevemente expuestos, son los siguientes: </w:t>
      </w:r>
    </w:p>
    <w:p w:rsidR="00FA0779" w:rsidRDefault="00FA0779" w:rsidP="00FA0779">
      <w:pPr>
        <w:pStyle w:val="TextoNormal"/>
      </w:pPr>
      <w:r>
        <w:t xml:space="preserve">a) El hoy demandante de amparo lo fue a su vez en el referido procedimiento sobre protección de derechos fundamentales, que tuvo por objeto se declarase la lesión que alega haber padecido en su honor personal, y más concretamente en su honorabilidad profesional, por causa de sucesivos escritos dirigidos a una pluralidad de sujetos por el demandado don Vicente Martínez-Pujalte López. </w:t>
      </w:r>
    </w:p>
    <w:p w:rsidR="00FA0779" w:rsidRDefault="00FA0779" w:rsidP="00FA0779">
      <w:pPr>
        <w:pStyle w:val="TextoNormal"/>
      </w:pPr>
      <w:r>
        <w:t xml:space="preserve">b) Concretamente, la supuesta vulneración nace del cuestionamiento de su capacidad y honradez profesional como Administrador de Fincas Urbanas, profesión que asimismo desarrolla el demandado, causada por diversos escritos dirigidos a varias Comunidades de Propietarios de fincas situadas en la calle Bélgica, de la ciudad de Valencia y en los que se recogen las siguientes afirmaciones que el recurrente reputa como vejatorias: </w:t>
      </w:r>
    </w:p>
    <w:p w:rsidR="00FA0779" w:rsidRDefault="00FA0779" w:rsidP="00FA0779">
      <w:pPr>
        <w:pStyle w:val="TextoNormal"/>
      </w:pPr>
      <w:r>
        <w:t xml:space="preserve">1.º En escrito de febrero de 1990 en el que se contiene un estudio comparativo de las fincas administradas por el demandado y el actor, por el que se quería demostrar que las compañías suministradoras repercutían a las fincas administradas por el actor mayores costes que los cargados a fincas administradas por el Sr. Martínez-Pujalte, se contiene la siguiente afirmación: «No es difícil sacar la conclusión que puede estar sucediendo que, para esas compañías, el cliente no sea Bélgica sino el Administrador». </w:t>
      </w:r>
    </w:p>
    <w:p w:rsidR="00FA0779" w:rsidRDefault="00FA0779" w:rsidP="00FA0779">
      <w:pPr>
        <w:pStyle w:val="TextoNormal"/>
      </w:pPr>
      <w:r>
        <w:t>2.º En otro escrito de febrero de 1990, dirigido a varias comunidades administradas por el recurrente, se ofrece una propuesta de administración en la que se afirma: «Los intere</w:t>
      </w:r>
      <w:r>
        <w:lastRenderedPageBreak/>
        <w:t xml:space="preserve">ses de la Comunidad son de la Comunidad, lo mismo que las comisiones y descuentos que frecuentemente se pueden obtener de los suministradores, ya que el cliente, en ambos casos es la Comunidad, no el Administrador». </w:t>
      </w:r>
    </w:p>
    <w:p w:rsidR="00FA0779" w:rsidRDefault="00FA0779" w:rsidP="00FA0779">
      <w:pPr>
        <w:pStyle w:val="TextoNormal"/>
      </w:pPr>
      <w:r>
        <w:t xml:space="preserve">3.º En marzo del mismo año, el mismo demandado se dirigió a los vecinos de varias fincas manifestando de que den «orden a sus respectivos Bancos de que no atiendan ningún recibo presentado por el anterior Administrador ya que, a falta de la liquidación final el próximo recibo se cancelaría sobradamente con la provisión de fondos que mantenía de 8.000 pesetas». Tal manifestación, que el recurrente califica de «increíble», resultó a la postre, al parecer, incierta, produciendo un descubierto en las cuentas del Administrador-demandante de 322.351 pesetas. En idéntico sentido, una circular ulterior insistía en advertir a los propietarios de que no pagaran más recibos expedidos por la administración de que es titular el recurrente. </w:t>
      </w:r>
    </w:p>
    <w:p w:rsidR="00FA0779" w:rsidRDefault="00FA0779" w:rsidP="00FA0779">
      <w:pPr>
        <w:pStyle w:val="TextoNormal"/>
      </w:pPr>
      <w:r>
        <w:t xml:space="preserve">c) Con independencia del proceso civil, el Colegio de Administradores de Fincas de Valencia abrió expediente disciplinario a quien fuera demandado en el proceso, concluido con resolución sancionatoria luego recurrida, y cuyo destino final no consta en la documentación remitida. </w:t>
      </w:r>
    </w:p>
    <w:p w:rsidR="00FA0779" w:rsidRDefault="00FA0779" w:rsidP="00FA0779">
      <w:pPr>
        <w:pStyle w:val="TextoNormal"/>
      </w:pPr>
      <w:r>
        <w:t xml:space="preserve">d) Seguido el juicio por sus trámites oportunos, la Sentencia de primera instancia desestimó la demanda, por no apreciar intencionalidad difamatoria alguna en el proceder del demandado, sino tan sólo la de ofrecer un mejor servicio profesional a los destinatarios de tales misivas, con ánimo puramente informativo. Instada apelación, la Audiencia confirmó en todos sus términos el anterior pronunciamiento, considerando que no se produjo daño alguno a la estima, buen nombre o merecimiento que en el concepto público mereciera el actor, considerando como prueba suficiente de este extremo el que seis de las once comunidades a que se dirigieron tales escritos prefirieron seguir con la administración del Sr. Juan Román. Asimismo se afirma literalmente en dicha Sentencia (fundamento jurídico 3º): «... nadie puede considerarse dañado en su honor porque haya otra persona capaz de realizar, para los terceros a quienes vaya dirigido, un trabajo mejor, ya que todo es perfeccionable. Cuestión distinta es que los hechos que se expongan como mejora de servicios no sean verdad, y con ello se hubiese conseguido el fin propuesto de hacerle perder clientes al accionante, pero en este caso tampoco sería adecuada esta vía de protección jurisdiccional de derechos fundamentales ...» (cursiva del recurrente). </w:t>
      </w:r>
    </w:p>
    <w:p w:rsidR="00FA0779" w:rsidRDefault="00FA0779" w:rsidP="00FA0779">
      <w:pPr>
        <w:pStyle w:val="TextoNormal"/>
      </w:pPr>
      <w:r>
        <w:t>e) La Sentencia de casación, objeto formal del presente recurso, confirma las conclusiones anteriormente sentadas -incluida la posible tutela de los intereses del demandante a través de «la vía resarcitoria adecuada»-, al considerar que la conducta enjuiciada «no es posible reconducirla sino al ejercicio de la libertad de expresión», libertad que entiende prevalente sobre el derecho al honor del recurrente sin más límite que la ausencia de expresiones inequívocamente injuriosas, innecesarias para la exposición que se pretenda, «campo de acción que se amplía aún más en el supuesto de que el ejercicio de las libertades de expresión afecta al ámbito de la libertad ideológica garantizada por el art. 16.1», con cita de la doctrina sentada por la Sala Primera del Tribunal Constitucional en el caso Violeta Friedman c. Léon Degrelle.</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Además de alegar la supuesta vulneración del derecho contenido en el art. 14 C.E., fundada en no haber sido aplicada al caso la doctrina sentada en la STC 223/1992, se centra la demanda de amparo en la insuficiente protección del derecho al honor del recurrente, por estimar que las expresiones vertidas por quien fuera demandado en el proceso civil, claramente vejatorias a su juicio, no se realizaron en el ejercicio de una inexistente libertad de expresión, sino, todo lo más en el ejercicio de la libertad de información -cuestión </w:t>
      </w:r>
      <w:r>
        <w:lastRenderedPageBreak/>
        <w:t xml:space="preserve">abiertamente omitida en la Sentencia de casación-, cuyos límites en el caso aquí debatido, serían a su juicio más estrictos que los referidos a la libertad de expresión, e incluirían desde luego los de veracidad de la información y la completa ausencia de «invenciones, rumores o meras insidias», afirmando además, con cita de la doctrina constitucional que entiende aplicable, que esa libertad de información declina cuando su ejercicio no se realiza por los cauces formales de formación de la opinión pública. </w:t>
      </w:r>
    </w:p>
    <w:p w:rsidR="00FA0779" w:rsidRDefault="00FA0779" w:rsidP="00FA0779">
      <w:pPr>
        <w:pStyle w:val="TextoNormal"/>
      </w:pPr>
      <w:r>
        <w:t xml:space="preserve">4.. Por sendas providencias de 15 de abril de 1997, la Sección Tercera del Tribunal acordó admitir a trámite el recurso y formar la oportuna pieza separada de suspensión, concediendo al recurrente y al Ministerio Fiscal plazo común de tres días para que formularan cuantas alegaciones estimasen pertinentes respecto a la suspensión solicitada. </w:t>
      </w:r>
    </w:p>
    <w:p w:rsidR="00FA0779" w:rsidRDefault="00FA0779" w:rsidP="00FA0779">
      <w:pPr>
        <w:pStyle w:val="TextoNormal"/>
      </w:pPr>
      <w:r>
        <w:t xml:space="preserve">5. El 22 de abril de 1997 tuvieron entrada en el Registro de este Tribunal las alegaciones del recurrente, con las que se reitera la solicitud de suspensión por entender que la ejecución de los actos recurridos no tiene una mera proyección patrimonial, sino que inciden en la consideración social y profesional del demandante, al resultar infringido su derecho al honor. Asimismo, entiende que la sanción económica que se le impuso -imposición de costas- puede ser suspendida por aplicación analógica de lo dispuesto en el art. 7.5 de la Ley 62/1978 de Protección Jurisdiccional de los Derechos Fundamentales (ATC 395/1982). Cita por último alguna resolución anterior en la que el Tribunal ha suspendido la ejecución de las resoluciones impugnadas cuando el amparo se fundaba en la vulneración del derecho a la intimidad personal y familiar (ATC 529/1983). </w:t>
      </w:r>
    </w:p>
    <w:p w:rsidR="00FA0779" w:rsidRDefault="00FA0779" w:rsidP="00FA0779">
      <w:pPr>
        <w:pStyle w:val="TextoNormal"/>
      </w:pPr>
      <w:r>
        <w:t>6. El 30 de abril siguiente presentó las suyas el Fiscal, oponiéndose a la suspensión conforme a la doctrina constante de este Tribunal, que la viene denegando cuando la ejecución posee efectos meramente económicos, pues el amparo no perdería su finalidad al ser resarcibles los posibles perjuicios económicos; tal doctrina la entiende específicamente referible al supuesto de condena al pago de costas, con cita del ATC 245/1996, concluyendo con la afirmación de que ese contenido o posible perjuicio meramente económico, y el interés general en el cumplímiento de las resoluciones judiciales abogan por la conclusión desestimatoria.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Establece el art. 56.1 de la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FA0779" w:rsidRDefault="00FA0779" w:rsidP="00FA0779">
      <w:pPr>
        <w:pStyle w:val="TextoNormal"/>
      </w:pPr>
      <w:r>
        <w:t>De ello resulta, como regla general, que la interposición de un recurso de amparo no suspende la ejecución de los actos recurridos más que en el supuesto excepcional de la pérdida de la finalidad del amparo, y aun en este caso condicionada a que no se produzcan las perturbaciones aludidas en dicho precepto.</w:t>
      </w:r>
    </w:p>
    <w:p w:rsidR="00FA0779" w:rsidRDefault="00FA0779" w:rsidP="00FA0779">
      <w:pPr>
        <w:pStyle w:val="TextoNormal"/>
      </w:pPr>
      <w:r>
        <w:t>Asimismo, también como regla general, debe partirse del criterio de que existe un interés general en que las resoluciones judiciales sean ejecutadas y cumplidas 1 (AATC 17/1980 y 57/1980, luego múltiples veces reiterados), pues la suspensión de dicha ejecución supone una perturbación de la función jurisdiccional, que comprende la potestad de hacer ejecutar lo juzgado, a la vez que afecta al derecho a la efectividad de la tutela judicial del colitigante, cuyo interés radica, justamente, en la efectividad del fallo obtenido.</w:t>
      </w:r>
    </w:p>
    <w:p w:rsidR="00FA0779" w:rsidRDefault="00FA0779" w:rsidP="00FA0779">
      <w:pPr>
        <w:pStyle w:val="TextoNormal"/>
      </w:pPr>
    </w:p>
    <w:p w:rsidR="00FA0779" w:rsidRDefault="00FA0779" w:rsidP="00FA0779">
      <w:pPr>
        <w:pStyle w:val="TextoNormal"/>
      </w:pPr>
      <w:r w:rsidRPr="00FA0779">
        <w:rPr>
          <w:rStyle w:val="NumeroAFNegritaCaracter"/>
        </w:rPr>
        <w:t>2</w:t>
      </w:r>
      <w:r>
        <w:t>. Conforme a estos criterios interpretativos, el Tribunal viene ponderando en cada caso los intereses en conflicto y la naturaleza de la resolución judicial que se trate, para determinar si su ejecución puede originar al recurrente un perjuicio irreparable o de tan difícil reparación que haría perder al amparo su finalidad. Pues bien, salvo algunos supuestos altamente excepcionales, es doctrina constante la de considerar inexistente esa irreparabilidad cuando de resoluciones judiciales de efectos meramente económicos se trata, por la propia naturaleza de tales efectos (AATC 573/1985, 574/1985, ó 275/1990, entre otros muchos), conclusión que también hemos alcanzado reiteradamente cuando se pretende la suspensión de la condena a las costas procesales, como acertadamente nos recuerda el Fiscal, pues éstas no entrañan si no un pago de cantidad dineraria fácilmente resarcible en caso de que se otorgara el amparo solicitado (AATC 244/1991, 202/1992 y 245/1996, por ejemplo).</w:t>
      </w:r>
    </w:p>
    <w:p w:rsidR="00FA0779" w:rsidRDefault="00FA0779" w:rsidP="00FA0779">
      <w:pPr>
        <w:pStyle w:val="TextoNormal"/>
      </w:pPr>
    </w:p>
    <w:p w:rsidR="00FA0779" w:rsidRDefault="00FA0779" w:rsidP="00FA0779">
      <w:pPr>
        <w:pStyle w:val="TextoNormal"/>
      </w:pPr>
      <w:r w:rsidRPr="00FA0779">
        <w:rPr>
          <w:rStyle w:val="NumeroAFNegritaCaracter"/>
        </w:rPr>
        <w:t>3</w:t>
      </w:r>
      <w:r>
        <w:t>. Con tales premisas es claro que la solicitud de suspensión debe ser rechazada en el caso presente. Nada obsta a esta conclusión la argumentación del recurrente tendente a imputar a las resoluciones impugnadas un carácter atentatorio de su derecho al honor que se vendría perpetuando de no suspenderse su ejecución; pero es claro que tal supuesta vulneración -que es justamente lo debatido en el fondo del presente proceso y que deberá resolverse en la correspondiente Sentencia- en nada se agrava o se mantiene por el hecho de que se lleve a cabo la ejecución del único extremo de las resoluciones impugnadas -puramente desestimatorias de las pretensiones sustentadas por el ahora demandante de amparo- que posee ese efecto ejecutivo, la imposición de las costas. Tampoco el que en alguna ocasión se haya suspendido la ejecución de una sanción administrativa de orden público de carácter pecuniario (ATC 395/1982), es demostrativo de regla general alguna -aparte la muy notable diferencia fáctica entre tal supuesto y la mera condena en costas cuando éstas se imponen conforme al principio objetivo de vencimiento-, siendo la doctrina de este Tribunal ampliamente mayoritaria en el sentido de no suspender sanciones meramente pecuniarias (AATC 88/1981, 610/1989, 20/1990, 116/1990, y muchos otros), salvo circunstancias altamente excepcionales (ATC 172/1990: Sanción que compromete la continuidad de las actividades económicas de una empresa, ATC 144/1992: Sanción que compromete el mínimo vital necesario para la subsistencia del interesado, por ejemplo), y correspondiendo al recurrente acreditar las mismas (AATC 104/1982 ó 364/1990, entre otros).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no acceder a la suspensión interesada por el recurrente.</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7" w:name="AUTO_1997_144"/>
      <w:r>
        <w:lastRenderedPageBreak/>
        <w:t>AUTO 144/1997, de 19 de mayo de 1997</w:t>
      </w:r>
    </w:p>
    <w:bookmarkEnd w:id="77"/>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ECLI:ES:TC:1997:144A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1.994/1996.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con fecha 14 de mayo de 1996 la representación procesal de los demandantes ha interpuesto recurso de amparo contra la resolución reseñada anteriormente. En la demanda se solicita también la suspensión de la ejecución de la resolución recurrida.</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de que trae causa la demanda de amparo y que son relevantes para la resolución sobre la petición de suspensión, son, en síntesis, los siguientes: </w:t>
      </w:r>
    </w:p>
    <w:p w:rsidR="00FA0779" w:rsidRDefault="00FA0779" w:rsidP="00FA0779">
      <w:pPr>
        <w:pStyle w:val="TextoNormal"/>
      </w:pPr>
      <w:r>
        <w:t>a) Los recurrentes fueron absueltos en primera instancia por el Juzgado de lo Penal de los delitos de estafa y apropiación indebida de que se les acusaba. b) La Audiencia, en Sentencia de apelación instada por la acusación particular, revocó los hechos probados y el fallo absolutorio, y condenó a los recurrentes a las penas de cuatro meses y un día de arresto mayor al primero, y un mes y un día de arresto mayor al segundo, como autores de un delito de estafa. El fallo incluía el pago de la mitad de las costas de la primera instancia, incluidas las de la acusación particular.</w:t>
      </w:r>
    </w:p>
    <w:p w:rsidR="00FA0779" w:rsidRDefault="00FA0779" w:rsidP="00FA0779">
      <w:pPr>
        <w:pStyle w:val="TextoNormal"/>
      </w:pPr>
    </w:p>
    <w:p w:rsidR="00FA0779" w:rsidRDefault="00FA0779" w:rsidP="00FA0779">
      <w:pPr>
        <w:pStyle w:val="TextoNormal"/>
      </w:pPr>
      <w:r w:rsidRPr="00FA0779">
        <w:rPr>
          <w:rStyle w:val="NumeroAFNegritaCaracter"/>
        </w:rPr>
        <w:t>3</w:t>
      </w:r>
      <w:r>
        <w:t>. La demanda de amparo, que articula su queja en virtud del art. 44 LOTC, imputa a la resolución judicial recurrida la vulneración del art. 24 CE -presunción de inocencia- al entender que sin practicarse prueba en segunda instancia ni considerar que existiera error en la apreciación de la prueba por parte del Juez de lo Penal, se alteraron los hechos probados. La queja se extiende a la falta de indicación de los indicios probados y del razonamiento lógico conducente a afirmar la realización de la conducta que se atribuye a los recurrentes.</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Cuarta (Sala Segunda), mediante providencia de fecha 15 de abril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Mediante sendos escritos de fecha 22 y 28 de abril el recurrente en amparo </w:t>
      </w:r>
    </w:p>
    <w:p w:rsidR="00FA0779" w:rsidRDefault="00FA0779" w:rsidP="00FA0779">
      <w:pPr>
        <w:pStyle w:val="TextoNormal"/>
      </w:pPr>
      <w:r>
        <w:t>Ministerio Fiscal han presentado sus alegaciones en el incidente de suspensión, reiterando aquél lo expuesto en su escrito de demanda y manifestando éste su no oposición al otorgamiento de la suspensión instada de la Sentencia impugnada en lo que se refiere a la pena privativa de libertad.</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Dispone el art. 56.1 LOTC que la Sala del Tribunal Constitucional que conozca 4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00FA0779" w:rsidRDefault="00FA0779" w:rsidP="00FA0779">
      <w:pPr>
        <w:pStyle w:val="TextoNormal"/>
      </w:pPr>
      <w:r>
        <w:t>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00FA0779" w:rsidRDefault="00FA0779" w:rsidP="00FA0779">
      <w:pPr>
        <w:pStyle w:val="TextoNormal"/>
      </w:pPr>
      <w:r>
        <w:t>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Cuando se impugnan resoluciones limitativas o privativas de libertad (sea con alegación del derecho a la libertad personal o de otros derechos fundamentales) la no suspensión de la resolución impugnada, y por tanto el mantenimiento 0 la ejecución de la privación de libertad acordada, ocasiona siempre perjuicios que pueden hacer perder su finalidad al amparo, si éste fuera finalmente otorgado, ya que la situación de limitación o privación de libertad se mantiene hasta tal momento produciendo perjuicios irreparables. En estos supuestos parece que nos hallamos siempre en la excepción a la regla general antes predicada y hemos considerado por ello que en principio procede la suspensión (AATC 98/1983, 179/1984, 574/1985, 116/1990, 169/1992, 252/1992, 120/1993 ó 169/1995). </w:t>
      </w:r>
      <w:r>
        <w:lastRenderedPageBreak/>
        <w:t>Ahora bien, la aplicación en todo caso de tal criterio puede también suponer en muchas ocasiones -sustancialmente en los casos de medidas cautelares privativas de libertad- la resolución anticipada del fondo del recurso,,</w:t>
      </w:r>
    </w:p>
    <w:p w:rsidR="00FA0779" w:rsidRDefault="00FA0779" w:rsidP="00FA0779">
      <w:pPr>
        <w:pStyle w:val="TextoNormal"/>
      </w:pPr>
      <w:r>
        <w:t>Por consiguiente, en casos como el que nos ocupa, hay que valorar, de una parte el interés específico en la ejecución de la condena y, de otra, la libertad personal, cuya protección se solicita</w:t>
      </w:r>
    </w:p>
    <w:p w:rsidR="00FA0779" w:rsidRDefault="00FA0779" w:rsidP="00FA0779">
      <w:pPr>
        <w:pStyle w:val="TextoNormal"/>
      </w:pPr>
      <w:r>
        <w:t>Para conciliar ambos valores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w:t>
      </w:r>
    </w:p>
    <w:p w:rsidR="00FA0779" w:rsidRDefault="00FA0779" w:rsidP="00FA0779">
      <w:pPr>
        <w:pStyle w:val="TextoNormal"/>
      </w:pPr>
      <w:r>
        <w:t>Por el contrario, hemos señalado que, como regla general, las resoluciones judiciales con efectos meramente patrimoniales o económicos no causan perjuicios irreparables, por lo que no procede su suspensión (AATC 573/1985, 574/1985 ó 275/1990), y que las penas privativas de derechos, impuestas como accesorias, siguen la suerte de las principales (AATC 144/1984, 244/1991 ó 96/1993).</w:t>
      </w:r>
    </w:p>
    <w:p w:rsidR="00FA0779" w:rsidRDefault="00FA0779" w:rsidP="00FA0779">
      <w:pPr>
        <w:pStyle w:val="TextoNormal"/>
      </w:pPr>
    </w:p>
    <w:p w:rsidR="00FA0779" w:rsidRDefault="00FA0779" w:rsidP="00FA0779">
      <w:pPr>
        <w:pStyle w:val="TextoNormal"/>
      </w:pPr>
      <w:r w:rsidRPr="00FA0779">
        <w:rPr>
          <w:rStyle w:val="NumeroAFNegritaCaracter"/>
        </w:rPr>
        <w:t>3</w:t>
      </w:r>
      <w:r>
        <w:t>. En este caso, de conformidad con lo interesado por el Ministerio Fiscal, procede acordar la suspensión parcial de la resolución impugnada pues no se aprecia ninguna circunstancia excepcional que pueda justificar un sacrificio anticipado de la libertad personal.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la resolución en lo que se refiere al pago de las costas ya que, en este aspecto, al tratarse de condenas meramente pecuniarias, debe prevalecer el interés general que se halla en el cumplimiento de las resoluciones judiciales, que hace eficaz el derecho a la tutela judicial.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acceder parcialmente a la solicitud de don Luis Sagaste Abadía y don Guillermo Ezquerra Cortés, de suspensión de la ejecución de la Sentencia 139/96, de 9 de abril, de la Audiencia Provincial de Zaragoza (Sección Tercera,</w:t>
      </w:r>
    </w:p>
    <w:p w:rsidR="00FA0779" w:rsidRDefault="00FA0779" w:rsidP="00FA0779">
      <w:pPr>
        <w:pStyle w:val="TextoNormal"/>
      </w:pPr>
      <w:r>
        <w:t>procedimiento abreviado 145/95), condenatoria en apelación por delito de estafa, en lo que concierne a la pena privativa de libertad impuesta y sus accesorias, no suspendiéndose el resto de pronunciamientos de la misma.</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8" w:name="AUTO_1997_145"/>
      <w:r>
        <w:lastRenderedPageBreak/>
        <w:t>AUTO 145/1997, de 19 de mayo de 1997</w:t>
      </w:r>
    </w:p>
    <w:bookmarkEnd w:id="78"/>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ECLI:ES:TC:1997:145A</w:t>
      </w:r>
    </w:p>
    <w:p w:rsidR="00FA0779" w:rsidRDefault="00FA0779" w:rsidP="00FA0779">
      <w:pPr>
        <w:pStyle w:val="SntesisDescriptiva"/>
      </w:pPr>
    </w:p>
    <w:p w:rsidR="00FA0779" w:rsidRDefault="00FA0779" w:rsidP="00FA0779">
      <w:pPr>
        <w:pStyle w:val="SntesisDescriptiva"/>
      </w:pPr>
      <w:r>
        <w:t>Excms. Srs. don Álvaro Rodríguez Bereijo,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2.681/1996.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los solicitantes de amparo se interpuso la correspondiente demanda en reclamación del mismo, la cual tenía como antecedentes, los hechos que a continuación se describen: </w:t>
      </w:r>
    </w:p>
    <w:p w:rsidR="00FA0779" w:rsidRDefault="00FA0779" w:rsidP="00FA0779">
      <w:pPr>
        <w:pStyle w:val="TextoNormal"/>
      </w:pPr>
      <w:r>
        <w:t xml:space="preserve">A) El día 10 de marzo de 1996 el Juzgado de lo Penal núm. 22 de Madrid dictó Sentencia en el juicio oral núm. 212/95, por la que se condenaba a don Joaquín Sarmiento Carricondo y a don Miguel García Bordallo Martín-Romo como autores responsables de dos delitos contra la propiedad intelectual, a la pena de dos meses de arresto mayor y multa de 200.000 pesetas, con veinte días de arresto sustitutorio a cada uno de ellos en caso de impago de dicha pena de multa; el pago de las costas por mitad entre ambos, incluidas las de las acusaciones particulares. « y a que indemnicen conjunta y solidariamente a EGEDA, ADICAN y al representante legal de la entidad CIC Video RCA Columbia Pictures Video, no integrada en ADICAN en el importe que se fije en ejecución de Sentencia por los daños y perjuicios sufridos, acordándose el cese de la actividad ilícita prohibiendo reanudar la explotación y dando el destino legal previsto en la Ley de Propiedad Intelectual y Código Penal de los efectos intervenidos, declarando la responsabilidad civil subsidiaria de la Mancomunidad de Propietarios de la Urbanización Villajuventus I, de Parla (Madrid). </w:t>
      </w:r>
    </w:p>
    <w:p w:rsidR="00FA0779" w:rsidRDefault="00FA0779" w:rsidP="00FA0779">
      <w:pPr>
        <w:pStyle w:val="TextoNormal"/>
      </w:pPr>
      <w:r>
        <w:t xml:space="preserve">B) Con fecha 19 de abril de 1996 se interpuso contra dicha resolución recurso de apelación. </w:t>
      </w:r>
    </w:p>
    <w:p w:rsidR="00FA0779" w:rsidRDefault="00FA0779" w:rsidP="00FA0779">
      <w:pPr>
        <w:pStyle w:val="TextoNormal"/>
      </w:pPr>
      <w:r>
        <w:t xml:space="preserve">C) El día 31 de mayo de 1996 se dictó providencia por la Sección Decimosexta de la Audiencia Provincial de Madrid, por la que se acusó recibo de la causa, y se señala para la práctica de la diligencia de deliberación y fallo el día 3 de junio de 1996. </w:t>
      </w:r>
    </w:p>
    <w:p w:rsidR="00FA0779" w:rsidRDefault="00FA0779" w:rsidP="00FA0779">
      <w:pPr>
        <w:pStyle w:val="TextoNormal"/>
      </w:pPr>
      <w:r>
        <w:t>D) Con fecha 3 de junio de 1996 se dictó Sentencia resolutoria del recurso de apelación, desestimando el mismo, y confirmando en su integridad la Sentencia dictada en la instancia.</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Por los recurrentes en amparo se alega la vulneración en el procedimiento judicial del derecho a la tutela judicial efectiva (art. 24.1 C.E.), como consecuencia de la falta de motivación de la Sentencia impugnada que se concreta por los recurrentes en su ambigüedad, generalidad y abstracción. Igualmente se denuncia la celeridad con que dicha Sentencia fue dictada, sin que se haya tomado en consideración suficiente la solicitud de justicia </w:t>
      </w:r>
      <w:r>
        <w:lastRenderedPageBreak/>
        <w:t>expuesta por los recurrentes en su escrito de recurso. Por último, manifiestan la falta de aplicación de oficio de la norma más beneficiosa para los imputados como consecuencia de la aplicación del nuevo Código Penal, así como la falta de traslado a tales efectos a los litigantes para que pudieran manifestar al respecto, cuál era la norma penal que más les favoreciera.</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21 de abril de 1997 se acordó formar pieza separada de suspensión con el precedente testimonio, y a tenor de lo dispuesto en el artículo 56 de la LOTC, se acordó conceder un plazo de tres días al Ministerio Fiscal, y a los solicitantes de amparo, para que formularan las alegaciones que estimaran pertinentes sobre la suspensión solicitada.,</w:t>
      </w:r>
    </w:p>
    <w:p w:rsidR="00FA0779" w:rsidRDefault="00FA0779" w:rsidP="00FA0779">
      <w:pPr>
        <w:pStyle w:val="TextoNormal"/>
      </w:pPr>
    </w:p>
    <w:p w:rsidR="00FA0779" w:rsidRDefault="00FA0779" w:rsidP="00FA0779">
      <w:pPr>
        <w:pStyle w:val="TextoNormal"/>
      </w:pPr>
      <w:r w:rsidRPr="00FA0779">
        <w:rPr>
          <w:rStyle w:val="NumeroAFNegritaCaracter"/>
        </w:rPr>
        <w:t>4</w:t>
      </w:r>
      <w:r>
        <w:t>. Por los recurrentes en amparo se presentó escrito ante el Registro de este Tribunal el día 8 de mayo de 1997, en el que solicitaron la suspensión de la resolución impugnada.</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por escrito registrado el día 8 de mayo de 1997, manifestó la no procedencia de la suspensión solicitada, a excepción de la pena de dos meses de arresto mayor impuesta a dos de los recurrentes.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FA0779" w:rsidRDefault="00FA0779" w:rsidP="00FA0779">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2</w:t>
      </w:r>
      <w:r>
        <w:t>. En el presente caso, teniendo en consideración la anterior doctrina, se hace necesario afirmar la procedencia de la suspensión de las penas privativas de libertad impuestas a don Joaquín Sarmiento Carricondo y a don Miguel García Bordallo Martín-Romo, como autores responsables de un delito contra la propiedad intelectual consistente en la condena a dos meses de arresto mayor.  Del mismo modo, procede igualmente la suspensión de los veinte días de arresto sustitutorio de la pena de multa, en el caso del impago de la misma, toda vez que tales penas afectan a derechos de los recurrentes de imposible restitución a su estado anterior, como ya quedó indicado.</w:t>
      </w:r>
    </w:p>
    <w:p w:rsidR="00FA0779" w:rsidRDefault="00FA0779" w:rsidP="00FA0779">
      <w:pPr>
        <w:pStyle w:val="TextoNormal"/>
      </w:pPr>
    </w:p>
    <w:p w:rsidR="00FA0779" w:rsidRDefault="00FA0779" w:rsidP="00FA0779">
      <w:pPr>
        <w:pStyle w:val="TextoNormal"/>
      </w:pPr>
      <w:r w:rsidRPr="00FA0779">
        <w:rPr>
          <w:rStyle w:val="NumeroAFNegritaCaracter"/>
        </w:rPr>
        <w:t>3</w:t>
      </w:r>
      <w:r>
        <w:t>. Por el contrario, no procede la suspensión de la Sentencia de la Audiencia Provincial impugnada en lo que atañe a los restantes pronunciamientos condenatorios.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ello, la Sala acuerda suspender de la Sentencia de la Audiencia Provincial de Madrid de 3 de junio de 1996 en lo que se refiere a la pena de dos meses de arresto mayor, así como los veinte días de arresto sustitutorio impuestos a don Joaquín</w:t>
      </w:r>
    </w:p>
    <w:p w:rsidR="00FA0779" w:rsidRDefault="00FA0779" w:rsidP="00FA0779">
      <w:pPr>
        <w:pStyle w:val="TextoNormal"/>
      </w:pPr>
      <w:r>
        <w:t>Sarmiento Carricondo y a don Miguel García Bordallo Martín-Romo.</w:t>
      </w:r>
    </w:p>
    <w:p w:rsidR="00FA0779" w:rsidRDefault="00FA0779" w:rsidP="00FA0779">
      <w:pPr>
        <w:pStyle w:val="TextoNormal"/>
      </w:pPr>
      <w:r>
        <w:t>Por el contrario, procede denegar la suspensión solicitada en todos los demás pronunciamientos condenatorios contenidos en la resolución impugnada.</w:t>
      </w:r>
    </w:p>
    <w:p w:rsidR="00FA0779" w:rsidRDefault="00FA0779" w:rsidP="00FA0779">
      <w:pPr>
        <w:pStyle w:val="TextoNormal"/>
      </w:pPr>
      <w:r>
        <w:t>Denegar la suspensión en todos los demás pronunciamientos.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79" w:name="AUTO_1997_146"/>
      <w:r>
        <w:lastRenderedPageBreak/>
        <w:t>AUTO 146/1997, de 19 de mayo de 1997</w:t>
      </w:r>
    </w:p>
    <w:bookmarkEnd w:id="79"/>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ECLI:ES:TC:1997:146A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Acordando el archivo de las actuaciones en el procedimiento 2.771/1996.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0" w:name="AUTO_1997_147"/>
      <w:r>
        <w:lastRenderedPageBreak/>
        <w:t>AUTO 147/1997, de 19 de mayo de 1997</w:t>
      </w:r>
    </w:p>
    <w:bookmarkEnd w:id="80"/>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ECLI:ES:TC:1997:147A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2.905/1996.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18 de julio de 1996, el Procurador de los Tribunales don Albito Martínez Díaz, en nombre y representación. de las compañías «Cifuentes 2.000, S.L.», «Las Jaras de San Luis, S.A.», «Aprovechamientos Agropecuarios Las Jaras de San Luis, S.L.», «Santa Cruz de Bujedo, S.A.» y «San Antón del Espino, S.A.», bajo la dirección de los Letrados don Jesús Castillo Aladro y doña Ana Palacio Vallelersundi, interpuso recurso de amparo contra el Auto de apertura del juicio oral, de 27 de mayo de 1996, y contra el Auto de, aclaración del anterior, de 4 de junio de 1996, dictados por el Juzgado Central de Instrucción núm. 3 (bis) en las diligencias previas núm. 234/94, en causa seguida contra don Mario Conde y otros, por delitos de estafa, apropiación indebida y falsedad.</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más relevantes que se desprenden de la demanda son, en síntesis, los siguientes: </w:t>
      </w:r>
    </w:p>
    <w:p w:rsidR="00FA0779" w:rsidRDefault="00FA0779" w:rsidP="00FA0779">
      <w:pPr>
        <w:pStyle w:val="TextoNormal"/>
      </w:pPr>
      <w:r>
        <w:t xml:space="preserve">a) En el ámbito de las diligencias previas núm. 234/94-M, incoadas a raíz de la querella interpuesta por e! Ministerio Fiscal contra don Mario Conde y otros, el Juzgado Central de Instrucción núm. 3 (bis) decidió, mediante Auto de 8 de abril de 1996, la conversión de las diligencias previas en procedimiento abreviado, sin que citara a las recurrentes de amparo. </w:t>
      </w:r>
    </w:p>
    <w:p w:rsidR="00FA0779" w:rsidRDefault="00FA0779" w:rsidP="00FA0779">
      <w:pPr>
        <w:pStyle w:val="TextoNormal"/>
      </w:pPr>
      <w:r>
        <w:t xml:space="preserve">b) El mismo Juzgado, mediante el Auto de apertura de juicio oral, de 27 de mayo de 1996, incluyó por primera vez a la demandante «Cifuentes 2.000 S.L.» en concepto de responsable civil subsidiaria de don Rafael Pérez Escolar, sin mencionar a las demás entidades recurrentes. </w:t>
      </w:r>
    </w:p>
    <w:p w:rsidR="00FA0779" w:rsidRDefault="00FA0779" w:rsidP="00FA0779">
      <w:pPr>
        <w:pStyle w:val="TextoNormal"/>
      </w:pPr>
      <w:r>
        <w:t xml:space="preserve">c) A instancia de las partes acusadoras Banesto y Fondo de Garantía de Depósitos, el Juzgado dictó Auto, de 4 de junio del mismo año, de aclaración del anterior, por el que se dispuso, entre otras cuestiones, «subsanar la omisión padecida tanto en los hechos como en la parte dispositiva del Auto de fecha 27 de mayo de 1996, incluyéndose en los mismos la responsabilidad civil subsidiaria de las sociedades Las Jaras de San Luis, Aprovechamientos Agropecuarios, Santa Cruz de Bujedo y San Antón del Espino». </w:t>
      </w:r>
    </w:p>
    <w:p w:rsidR="00FA0779" w:rsidRDefault="00FA0779" w:rsidP="00FA0779">
      <w:pPr>
        <w:pStyle w:val="TextoNormal"/>
      </w:pPr>
      <w:r>
        <w:t xml:space="preserve">d) Según certificación de la Secretaria del Juzgado, tales Autos no fueron notificados al Procurador Sr. Martínez Díez, sino a doña Carmen Olías Rubio, representante legal de las recurrentes; «apareciendo únicamente una comparecencia efectuada en fecha 1 de julio de 1996, y obrante al folio 13.584 del tomo XLIV de las actuaciones, por el Procurador antes </w:t>
      </w:r>
      <w:r>
        <w:lastRenderedPageBreak/>
        <w:t xml:space="preserve">mencionado, en la que acepta la representación procesal efectuada por la representante legal de las sociedades antes relacionadas, en el momento del emplazamiento». </w:t>
      </w:r>
    </w:p>
    <w:p w:rsidR="00FA0779" w:rsidRDefault="00FA0779" w:rsidP="00FA0779">
      <w:pPr>
        <w:pStyle w:val="TextoNormal"/>
      </w:pPr>
      <w:r>
        <w:t>e) Mediante escrito de 4 de julio de 1996 dirigido al Juzgado, las mercantiles recurrentes, además de invocar la lesión del art. 24 de la C.E., solicitaron, para evitar el bloqueo del tráfico mercantil normal de las sociedades, tener por designados bienes para cubrir la responsabilidad dictada contra las mismas.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Las entidades recurrentes. solicitan la declaración de nulidad de las dos resoluciones impugnadas por entender que han sido vulnerados los derechos a la tutela judicial efectiva, a no sufrir indefensión, a ser informadas de la acusación formulada contra ellas, y a un proceso con todas las garantías, reconocidos todos ellos en el art. 24.1 y 2 de la C.E. </w:t>
      </w:r>
    </w:p>
    <w:p w:rsidR="00FA0779" w:rsidRDefault="00FA0779" w:rsidP="00FA0779">
      <w:pPr>
        <w:pStyle w:val="TextoNormal"/>
      </w:pPr>
      <w:r>
        <w:t xml:space="preserve">Todas estas presuntas lesiones de derechos fundamentales se asientan sobre la base de las garantías reconocidas por la STC 186/1990 al imputado, que para ser tal y poder ejercitar su defensa debe adquirir esa condición en el período de instrucción. Según la demanda, esas garantías deben ser aplicables al responsable civil subsidiario por existir identidad de razón con el imputado, ya que aquél es también parte en el proceso penal y ostenta legitimación pasiva. Según este criterio, el responsable civil subsidiario tiene derecho a comparecer ante el Instructor para ser interrogado, a proveer a su defensa, a que el Juez efectúe un «juicio de relevancia» sobre la verosimilitud de la imputación, a que el Juez acote objetiva y subjetivamente la acusación mediante el trámite del art. 789.5.4.ª, siendo además imposible que el Auto de apertura del juicio oral pueda proyectarse respecto de hechos o personas no incluidos en el Auto de derivación al procedimiento abreviado. </w:t>
      </w:r>
    </w:p>
    <w:p w:rsidR="00FA0779" w:rsidRDefault="00FA0779" w:rsidP="00FA0779">
      <w:pPr>
        <w:pStyle w:val="TextoNormal"/>
      </w:pPr>
      <w:r>
        <w:t xml:space="preserve">Puesto que las recurrentes no fueron citadas para nada durante la instrucción y estuvieron al margen del procedimiento de la forma más absoluta, siéndoles atribuida la responsabilidad civil subsidiaria sólo a partir de los Autos de apertura del juicio oral y de aclaración de éste, el Juez Instructor ha lesionado los derechos anteriormente mencionados. </w:t>
      </w:r>
    </w:p>
    <w:p w:rsidR="00FA0779" w:rsidRDefault="00FA0779" w:rsidP="00FA0779">
      <w:pPr>
        <w:pStyle w:val="TextoNormal"/>
      </w:pPr>
      <w:r>
        <w:t>El recurso añade que don Rafael Pérez Escolar no tiene con las sociedades actoras ninguna de las relaciones contempladas en el art. 120 del C.P. (de 1995), y que estas entidades no se han beneficiado a título lucrativo de los efectos del delito, como exige el art. 122 del mismo C.P.</w:t>
      </w:r>
    </w:p>
    <w:p w:rsidR="00FA0779" w:rsidRDefault="00FA0779" w:rsidP="00FA0779">
      <w:pPr>
        <w:pStyle w:val="TextoNormal"/>
      </w:pPr>
    </w:p>
    <w:p w:rsidR="00FA0779" w:rsidRDefault="00FA0779" w:rsidP="00FA0779">
      <w:pPr>
        <w:pStyle w:val="TextoNormal"/>
      </w:pPr>
      <w:r w:rsidRPr="00FA0779">
        <w:rPr>
          <w:rStyle w:val="NumeroAFNegritaCaracter"/>
        </w:rPr>
        <w:t>4</w:t>
      </w:r>
      <w:r>
        <w:t>. Mediante providencia de 14 de noviembre de 1996 la Sección Tercera de este Tribunal requirió a las recurrentes que acreditaran fehacientemente la fecha de notificación del Auto de aclaración de 4 de junio de 1996, lo que cumplimentaron por escrito del 28 de noviembre siguiente.</w:t>
      </w:r>
    </w:p>
    <w:p w:rsidR="00FA0779" w:rsidRDefault="00FA0779" w:rsidP="00FA0779">
      <w:pPr>
        <w:pStyle w:val="TextoNormal"/>
      </w:pPr>
    </w:p>
    <w:p w:rsidR="00FA0779" w:rsidRDefault="00FA0779" w:rsidP="00FA0779">
      <w:pPr>
        <w:pStyle w:val="TextoNormal"/>
      </w:pPr>
      <w:r w:rsidRPr="00FA0779">
        <w:rPr>
          <w:rStyle w:val="NumeroAFNegritaCaracter"/>
        </w:rPr>
        <w:t>5</w:t>
      </w:r>
      <w:r>
        <w:t>. La misma Sección Tercera, a través de providencia de 24 de febrero de 1997, concedió a las demandantes de amparo y al Ministerio Fiscal un plazo común de diez días para que formularan, con las aportaciones documentales que procediesen, las alegaciones que estimaran pertinentes en relación con la carencia manifiesta de contenido constitucional de la demanda, en virtud del art. 50.1 c) de la LOTC.</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Las sociedades actoras presentaron su escrito de alegaciones el 11 de marzo de 1997. Con recuerdo de la doctrina de este Tribunal (SSTC 231/1991, 23/1994, 27/1994, 57/1995, 106/1995 y 208/1996), se argumenta que un Auto de aclaración es compatible con el principio de inmutabilidad de las resoluciones judiciales en la medida en que sólo consista en la aclaración de algún concepto oscuro, en suplir omisiones o en rectificar o </w:t>
      </w:r>
      <w:r>
        <w:lastRenderedPageBreak/>
        <w:t>corregir errores materiales o aritméticos, pero sin alterar sustancialmente lo que constituye la parte esencial de la resolución, bien su fundamentación bien su parte dispositiva. La inclusión de Las Jaras de San Luis, Aprovechamientos Agropecuarios Las Jaras de San Luis y Santa Cruz de Bujedo como responsables civiles subsidiarias en el Auto de aclaración infringe tal doctrina, pues supone una modificación en lo sustancial del Auto de apertura del juicio oral. Y por lo.. que se refiere a la sociedad «Cifuentes 2.000» se reitera la idea de que, durante la instrucción, no tuvo oportunidad de defenderse, lo que supuso una transgresión de los principios de contradicción e igualdad de armas que también rigen para las partes que ostentan la condición de responsable civil subsidiario.</w:t>
      </w:r>
    </w:p>
    <w:p w:rsidR="00FA0779" w:rsidRDefault="00FA0779" w:rsidP="00FA0779">
      <w:pPr>
        <w:pStyle w:val="TextoNormal"/>
      </w:pPr>
    </w:p>
    <w:p w:rsidR="00FA0779" w:rsidRDefault="00FA0779" w:rsidP="00FA0779">
      <w:pPr>
        <w:pStyle w:val="TextoNormal"/>
      </w:pPr>
      <w:r w:rsidRPr="00FA0779">
        <w:rPr>
          <w:rStyle w:val="NumeroAFNegritaCaracter"/>
        </w:rPr>
        <w:t>7</w:t>
      </w:r>
      <w:r>
        <w:t>. Mediante escrito registrado el 18 de marzo de 1997, el Fiscal interesa la inadmisión de la demanda, por entender que no se ha agotado la vía judicial previa al recurso subsidiario de amparo. Las resoluciones impugnadas son de carácter incidental y recaídas en un proceso penal que aún no ha concluido, de modo que las vulneraciones pueden ser alegadas en el trámite de audiencia preliminar a la celebración del juicio oral, en el propio acto del juicio y, en el supuesto de que se dictara Sentencia condenatoria, en el eventual recurso de casación. Por otro lado, ambas resoluciones impugnadas no han generado hasta el momento indefensión material a las recurrentes, toda vez que su declaración como responsables civiles subsidiarias no ha implicado la constitución de traba alguna sobre el patrimonio de dichas sociedades, y que ni siquiera se haya determinado la insolvencia del declarado responsable civil directo, don Rafael Pérez Escolar, presupuesto indispensable para poder perseguir los bienes de las entidades declaradas responsables civiles subsidiarias de aquél.</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Interpuesto el recurso de amparo contra el Auto del Juzgado de Instrucción núm. 3 (bis), que decidió convertir las diligencias previas en procedimiento abreviado, y contra el subsiguiente Auto de aclaración, procede su inadmisión a trámite por</w:t>
      </w:r>
    </w:p>
    <w:p w:rsidR="00FA0779" w:rsidRDefault="00FA0779" w:rsidP="00FA0779">
      <w:pPr>
        <w:pStyle w:val="TextoNormal"/>
      </w:pPr>
      <w:r>
        <w:t>incurrir en el defecto de no haber agotado todos los recursos utilizables dentro de la vía judicial [art. 50.1 a) en relación con el art. 44.1 a) de la LOTC], como sostiene el Ministerio Fiscal.</w:t>
      </w:r>
    </w:p>
    <w:p w:rsidR="00FA0779" w:rsidRDefault="00FA0779" w:rsidP="00FA0779">
      <w:pPr>
        <w:pStyle w:val="TextoNormal"/>
      </w:pPr>
      <w:r>
        <w:t xml:space="preserve">En efecto, en el ámbito del procedimiento abreviado, las resoluciones impugnadas son de carácter interlocutorio y no resuelven de manera definitiva las cuestiones planteadas por las sociedades recurrentes. Si se han producido o no las vulneraciones alegadas en el recurso de amparo, todavía podrán ser reparadas por los órganos judiciales que son los llamados a dispensar la primera tutela en lo que a derechos fundamentales se refiere. Las lesiones aducidas pueden ser planteadas y resueltas en el curso del procedimiento no sólo en el escrito de defensa a que alude el penúltimo párrafo del art. 790.6 de la L.E.Crím., sino además durante el turno de intervenciones con el que da comienzo el acto del juicio oral, según lo dispuesto por el art. 793.2 de la misma Ley, con el fin de que el órgano judicial pueda conocer y, en su caso, restablecer, los derechos invocados por las recurrentes. Sin olvidar la posibilidad de interponer recurso de casación, si es que recayera Sentencia contraria a los derechos que alegan. La naturaleza subsidiaria del recurso de amparo, que resulta del art. 53.2 C.E. y del art. 41.1 de la LOTC, determina que corresponda a este Tribunal la última palabra en materia de garantías constitucionales (art. 123 C.E.)  y, por tanto, es improcedente su intervención en tanto no resulte agotada la vía judicial [art. 44.1 a) </w:t>
      </w:r>
      <w:r>
        <w:lastRenderedPageBreak/>
        <w:t>de la LOTC], según las SSTC 32/1994, 147/1994 y 174/1994, entre otras muchas. Pero es que, además, como señala el Ministerio Fiscal en sus alegaciones, no se da la circunstancia de que se haya declarado insolvente al responsable civil directo, don Rafael Pérez Escolar, lo que es presupuesto ineludible para que pueda operar la responsabilidad civil subsidiaria.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anteriormente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1" w:name="AUTO_1997_148"/>
      <w:r>
        <w:lastRenderedPageBreak/>
        <w:t>AUTO 148/1997, de 19 de mayo de 1997</w:t>
      </w:r>
    </w:p>
    <w:bookmarkEnd w:id="81"/>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ECLI:ES:TC:1997:148A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3.023/1996.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día 25 de julio de 1996, don Federico Olivares Santiago, Procurador de los Tribunales y de don José Manuel García García y del Colegio Nacional de Registradores de la Propiedad y Mercantiles de España, interpuso recurso de amparo contra Auto de 12 de junio de 1996, de la Audiencia Provincial de Barcelona, que revocó el dictado por el Juzgado de Primera Instancia núm. 43 de esa ciudad.</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hechos: </w:t>
      </w:r>
    </w:p>
    <w:p w:rsidR="00FA0779" w:rsidRDefault="00FA0779" w:rsidP="00FA0779">
      <w:pPr>
        <w:pStyle w:val="TextoNormal"/>
      </w:pPr>
      <w:r>
        <w:t xml:space="preserve">a) Por el Notario don Josep Alfons López Tena, se acudió, ante el Juzgado de Primera Instancia núm. 43, en queja al amparo de lo previsto en el art. 416, párrafo 4.º del Reglamento Hipotecario, el cual establece que «siempre que el Registrador se negare a practicar el asiento de presentación por imposibilidad material o por otro motivo y el interesado no se conformare con la manifestación de aquél, podrá acudir en queja al Juez de Primera Instancia y, en su defecto, a la autoridad judicial de la localidad, quienes oyendo al Registrador, resolverán lo procedente ... », ya que tras comunicaciones por telefax con el Registro de la Propiedad núm. 8 de Barcelona, su titular don José Manuel García García, le comunicó su decisión de no practicar el asiento de presentación por «faltar las cantidades de capital, intereses y costas», relativas a la escritura de hipoteca autorizadas por aquél. </w:t>
      </w:r>
    </w:p>
    <w:p w:rsidR="00FA0779" w:rsidRDefault="00FA0779" w:rsidP="00FA0779">
      <w:pPr>
        <w:pStyle w:val="TextoNormal"/>
      </w:pPr>
      <w:r>
        <w:t xml:space="preserve">b) El Registrador, una vez dado traslado del escrito expuso una serie de alegaciones. Una la referente a la falta de legitimación del Notario, por ser cuestión de previo pronunciamiento, y otra, la correspondiente a la inadecuación del procedimiento seguido por el Notario ante el Juzgado. </w:t>
      </w:r>
    </w:p>
    <w:p w:rsidR="00FA0779" w:rsidRDefault="00FA0779" w:rsidP="00FA0779">
      <w:pPr>
        <w:pStyle w:val="TextoNormal"/>
      </w:pPr>
      <w:r>
        <w:t xml:space="preserve">c) En cuanto al primero de los puntos, legitimación del Notario, manifestó el Juzgado que el art. 416 del Reglamento Hipotecario, habla de «interesados», sin hacer mayor especificación, pero por legitimación hay que entender el que la actora, en este caso el Notario, se halla asistido de la capacidad de obrar, necesaria para actuar como sujeto activo en una relación jurídico-procesal determinada que le atañe de manera fundamental. Dicho concepto lo entendió el Juzgado en un sentido amplio, como interés «directo, principal y esencial», en la acción ejercitada. Analizando la situación jurídica que generaba la queja, resolvió el Juzgado que la misma atañía de manera fundamental al Notario y lo fundamentó en el art. 22 de la Ley Hipotecaria, el cual determina la responsabilidad del Notario por omisiones que impidan la inscripción de un acto o contrato, y en los arts. 146 y 172 del </w:t>
      </w:r>
      <w:r>
        <w:lastRenderedPageBreak/>
        <w:t xml:space="preserve">Reglamento Notarial. Y si el art. 122 del Reglamento Hipotecario autoriza al Notario a interponer recurso gubernativo es evidente, según el Juzgado, que también estará facultado para interponer como «interesado» la queja ante el Juez de Primera Instancia. Razonamientos que hicieron decaer la excepción formulada. </w:t>
      </w:r>
    </w:p>
    <w:p w:rsidR="00FA0779" w:rsidRDefault="00FA0779" w:rsidP="00FA0779">
      <w:pPr>
        <w:pStyle w:val="TextoNormal"/>
      </w:pPr>
      <w:r>
        <w:t xml:space="preserve">d) En cuanto a la adecuación o inadecuación del procedimiento empleado por el Notario resolvió el Juzgado que el mismo no era el adecuado. Razonó que el art. 416 del Reglamento Hipotecario estaba previsto para aquellos supuestos en que el Registrador de forma «arbitraria o caprichosa se niegue a la práctica de un asiento, pero no para aquellos supuestos en los que la denegación sea motivada, con razón jurídica o sin ella, en virtud de la facultad de la que el Registrador es titular en cuanto a la calificación e idoneidad de los documentos que se le presentan (art. 420 R.), pudiendo establecer, en estos supuestos, los interesados los correspondientes recursos gubernativos». Para el Juzgado, el Juez de Primera Instancia no es un órgano revisor o fiscalizador de las cuestiones motivadas de los Registradores, ya que de entenderse así, se podría llegar al absurdo, consistente en que estimándose la queja y obligando al Registrador a la práctica del asiento éste hiciera uso de la facultad prevista en el art. 136 del Reglamento Hipotecario, por lo que dicho apremio carecería de virtualidad práctica. Por ello si un Registrador puede negarse a practicar un asiento por orden de un Juzgado, es de todo punto incongruente que a través del art. 416 del mismo cuerpo legal se le obligare a la práctica del mismo pues no tendría, al ser motivada, obligación de cumplir con dicho apremio, concluye el Juzgado. </w:t>
      </w:r>
    </w:p>
    <w:p w:rsidR="00FA0779" w:rsidRDefault="00FA0779" w:rsidP="00FA0779">
      <w:pPr>
        <w:pStyle w:val="TextoNormal"/>
      </w:pPr>
      <w:r>
        <w:t xml:space="preserve">En conclusión, por Auto de 14 de septiembre de 1995, el Juzgado desestimó la queja del Notario. </w:t>
      </w:r>
    </w:p>
    <w:p w:rsidR="00FA0779" w:rsidRDefault="00FA0779" w:rsidP="00FA0779">
      <w:pPr>
        <w:pStyle w:val="TextoNormal"/>
      </w:pPr>
      <w:r>
        <w:t xml:space="preserve">e) Sin embargo, la Audiencia Provincial de Barcelona por Auto de 12 de junio de 1996 revocó el Auto del Juzgado declarando el deber del Registrador de extender el asiento previsto en el art. 418.4 del Reglamento Hipotecario. Este Auto se recurre ahora en amparo. </w:t>
      </w:r>
    </w:p>
    <w:p w:rsidR="00FA0779" w:rsidRDefault="00FA0779" w:rsidP="00FA0779">
      <w:pPr>
        <w:pStyle w:val="TextoNormal"/>
      </w:pPr>
      <w:r>
        <w:t xml:space="preserve">La primera cuestión que se sometió a la consideración de la Audiencia Provincial era de naturaleza procesal, a fin de determinar si el recurso de queja interpuesto era el cauce procedimental idóneo para impugnar la resolución negativa del Registrador de la Propiedad a extender el asiento de presentación solicitada o si, por contra, dado que dicha decisión se adopta en forma razonada y motivada, la vía idónea para solventar la contienda, claramente de índole profesional, surgida entre Notario-Registrador, lo era el recurso gubernativo tal y como entiende el Juzgador de instancia, e incluso un Auto de fecha 20 de febrero de 1996, dictado por la Sección Decimocuarta de la Audiencia Provincial. </w:t>
      </w:r>
    </w:p>
    <w:p w:rsidR="00FA0779" w:rsidRDefault="00FA0779" w:rsidP="00FA0779">
      <w:pPr>
        <w:pStyle w:val="TextoNormal"/>
      </w:pPr>
      <w:r>
        <w:t xml:space="preserve">La Audiencia Provincial, discrepando abiertamente de las resoluciones anteriormente reseñadas, entendió que efectivamente el recurso procedente era el de queja. </w:t>
      </w:r>
    </w:p>
    <w:p w:rsidR="00FA0779" w:rsidRDefault="00FA0779" w:rsidP="00FA0779">
      <w:pPr>
        <w:pStyle w:val="TextoNormal"/>
      </w:pPr>
      <w:r>
        <w:t xml:space="preserve">Razona la Audiencia que el art. 416 del Reglamento Hipotecario al regular el asiento de presentación a extender en el libro diario, en su párrafo 4.º prevé expresamente que siempre que el Registrador se negare a practicar el asiento de presentación, bien por imposibilidad material, o por otro motivo, y el interesado no esté conforme con la manifestación de aquél, podrá acudir en queja al Juez de Primera Instancia. En realidad, continúa la Audiencia, la previsión de un recurso de queja en tales supuestos no es algo caprichoso o arbitrario, sino que obedece a la propia lógica y naturaleza del asiento de presentación el cual se limita a dejar constancia, dar publicidad frente a terceros del día y hora en que accede al Registro un documento susceptible de causar otro tipo de asiento registral, con independencia de que a posteriori llegue o no a motivar el asiento definitivo solicitado. </w:t>
      </w:r>
    </w:p>
    <w:p w:rsidR="00FA0779" w:rsidRDefault="00FA0779" w:rsidP="00FA0779">
      <w:pPr>
        <w:pStyle w:val="TextoNormal"/>
      </w:pPr>
      <w:r>
        <w:t>Según la Audiencia, dada la finalidad perseguida con el asiento de presentación, el cual en ocasiones en las que se discute la preferencia de derechos posee especial relevancia, conforme al principio romano de prior temporis potior iuris, se exige que frente a la nega</w:t>
      </w:r>
      <w:r>
        <w:lastRenderedPageBreak/>
        <w:t xml:space="preserve">tiva del Registrador se dé un recurso que por su escasa complejidad formal y su al menos teórica rapidez, solvente de forma inmediata la cuestión debatida, acudiendo al recurso de queja, en lugar del trámite más dilatado y complejo que supondría el recurso gubernativo. </w:t>
      </w:r>
    </w:p>
    <w:p w:rsidR="00FA0779" w:rsidRDefault="00FA0779" w:rsidP="00FA0779">
      <w:pPr>
        <w:pStyle w:val="TextoNormal"/>
      </w:pPr>
      <w:r>
        <w:t xml:space="preserve">Para la Audiencia Provincial lo primero que se evidencia es que la resolución que se dicte en el mismo tiene más bien un carácter testimonial, y únicamente caso de que se estimase procedente lo sería a los efectos previstos en el art. 573 del Reglamento Hipotecario, pues según deduce de los escritos aportados por ambas partes, el asiento de presentación fue extendido al haber subsanado el particular aquellos defectos u omisiones denunciados por el Registrador de la Propiedad y en los que fundamentaba su resolución denegatoria. </w:t>
      </w:r>
    </w:p>
    <w:p w:rsidR="00FA0779" w:rsidRDefault="00FA0779" w:rsidP="00FA0779">
      <w:pPr>
        <w:pStyle w:val="TextoNormal"/>
      </w:pPr>
      <w:r>
        <w:t xml:space="preserve">Además, para la Audiencia la cuestión debatida debía encuadrarse dentro de la reforma de determinados artículos tanto del Reglamento Notarial como del Hipotecario, realizada por Real Decreto 2.537/1994, de 29 de diciembre. Dicha reforma legislativa obedece a la finalidad de evitar fraudes en la contratación inmobiliaria, tratando de conseguir la máxima seguridad jurídica, y procurando que la buena fe de los contratantes, especialmente el adquirente del dominio u otro derecho real sobre un bien inmueble no se vea sorprendida como consecuencia de la posible ignorancia de su situación registral. Con tal finalidad se trata de potenciar la colaboración Notario-Registrador de la Propiedad, a fin de conseguir que las realidades registral y extrarregistral sean lo más acordes posibles. </w:t>
      </w:r>
    </w:p>
    <w:p w:rsidR="00FA0779" w:rsidRDefault="00FA0779" w:rsidP="00FA0779">
      <w:pPr>
        <w:pStyle w:val="TextoNormal"/>
      </w:pPr>
      <w:r>
        <w:t xml:space="preserve">Por tal motivo, dice la Audiencia, el art. 175 del Reglamento Notarial obliga a todo Notario que vaya a autorizar el otorgamiento de una escritura de adquisición de bienes inmuebles o de constitución de un derecho real sobre ellos, a recabar del Registrador de la Propiedad que corresponda la información adecuada. Recibida tal información, el Notario deberá otorgar la escritura correspondiente dentro de los diez días naturales siguientes. </w:t>
      </w:r>
    </w:p>
    <w:p w:rsidR="00FA0779" w:rsidRDefault="00FA0779" w:rsidP="00FA0779">
      <w:pPr>
        <w:pStyle w:val="TextoNormal"/>
      </w:pPr>
      <w:r>
        <w:t xml:space="preserve">Dicha obligación se ve complementada para la Audiencia con la recogida en el art. 249 del Reglamento Notarial, que a fin de conseguir que la nota informativa suministrada por el Registrador de la Propiedad sea lo más exacta posible impone al Notario el deber de remitir, el mismo día del otorgamiento bien por telefax o por cualquier otro medio, al Registrador de la Propiedad competente, comunicación suscrita y sellada de haber autorizado escritura susceptible de ser inscrita que dará lugar al correspondiente asiento de presentación y en la que constarán testimoniados en relación, al menos los siguientes datos: </w:t>
      </w:r>
    </w:p>
    <w:p w:rsidR="00FA0779" w:rsidRDefault="00FA0779" w:rsidP="00FA0779">
      <w:pPr>
        <w:pStyle w:val="TextoNormal"/>
      </w:pPr>
      <w:r>
        <w:t xml:space="preserve">a) La fecha de la escritura matriz y su número de protocolo. </w:t>
      </w:r>
    </w:p>
    <w:p w:rsidR="00FA0779" w:rsidRDefault="00FA0779" w:rsidP="00FA0779">
      <w:pPr>
        <w:pStyle w:val="TextoNormal"/>
      </w:pPr>
      <w:r>
        <w:t xml:space="preserve">b) La identificación de los otorgantes y el concepto en el que intervienen. </w:t>
      </w:r>
    </w:p>
    <w:p w:rsidR="00FA0779" w:rsidRDefault="00FA0779" w:rsidP="00FA0779">
      <w:pPr>
        <w:pStyle w:val="TextoNormal"/>
      </w:pPr>
      <w:r>
        <w:t xml:space="preserve">c) El derecho a que se refiera el título que se pretende inscribir. </w:t>
      </w:r>
    </w:p>
    <w:p w:rsidR="00FA0779" w:rsidRDefault="00FA0779" w:rsidP="00FA0779">
      <w:pPr>
        <w:pStyle w:val="TextoNormal"/>
      </w:pPr>
      <w:r>
        <w:t xml:space="preserve">d) La reseña identificadora del inmueble, haciendo constar su naturaleza y el término municipal de su situación con expresión, según los casos del sitio o lugar en que se hallase si es rústica, nombre de la localidad, calle, plaza o barrio, el número si lo tuviera y el piso o local si es urbano, y salvo en el supuesto de inmatriculación, los datos registrales. </w:t>
      </w:r>
    </w:p>
    <w:p w:rsidR="00FA0779" w:rsidRDefault="00FA0779" w:rsidP="00FA0779">
      <w:pPr>
        <w:pStyle w:val="TextoNormal"/>
      </w:pPr>
      <w:r>
        <w:t xml:space="preserve">Si dicha comunicación es recibida por el Registrador de la Propiedad en horas de despacho extenderá el asiento en el correspondiente libro diario (asiento de presentación) y si se recibe fuera de esas horas se extenderá el siguiente día hábil, art. 418 en relación con el 422 del Reglamento Hipotecario. </w:t>
      </w:r>
    </w:p>
    <w:p w:rsidR="00FA0779" w:rsidRDefault="00FA0779" w:rsidP="00FA0779">
      <w:pPr>
        <w:pStyle w:val="TextoNormal"/>
      </w:pPr>
      <w:r>
        <w:t xml:space="preserve">En el presente caso, remitida por el Notario apelante la comunicación reseñada en el art. 249 del Reglamento Notarial, en relación con la constitución de un derecho de hipoteca, el Registrador de la Propiedad denegó la extensión del asiento en el libro diario, al considerar menciones indispensables de la misma la reseña del capital, intereses y costas garantizadas con la hipoteca. </w:t>
      </w:r>
    </w:p>
    <w:p w:rsidR="00FA0779" w:rsidRDefault="00FA0779" w:rsidP="00FA0779">
      <w:pPr>
        <w:pStyle w:val="TextoNormal"/>
      </w:pPr>
      <w:r>
        <w:lastRenderedPageBreak/>
        <w:t xml:space="preserve">Para la Audiencia Provincial dichas menciones no son exigidas por el art. 249 del Reglamento Notarial, ni por el 249 de la Ley Hipotecaria en el que se reseñan los datos que han de hacerse constar en el asiento de presentación. Además, entiende que dicha resolución vulnera el espíritu de la reforma legislativa y la redacción del art. 418, núm. 4, del Reglamento Hipotecario, en el que se regula más bien una especie de preasiento de vigencia muy limitada, al caducar a los diez días si no se presenta en el Registro copia auténtica de la escritura, siendo a partir de este momento que comienzan a computarse los plazos de calificación y despacho, y no antes. </w:t>
      </w:r>
    </w:p>
    <w:p w:rsidR="00FA0779" w:rsidRDefault="00FA0779" w:rsidP="00FA0779">
      <w:pPr>
        <w:pStyle w:val="TextoNormal"/>
      </w:pPr>
      <w:r>
        <w:t xml:space="preserve">Finalmente, para la Audiencia, la resolución del Juzgado vulneraba lo dispuesto en el art. 420 del Reglamento Hipotecario, en el que se limita la denegación del asiento de presentación a casos muy concretos, por su evidencia de que nunca podrán tener acceso al Registro de la Propiedad, tales como documentos privados no inscribibles o que afecte a bienes o derechos no susceptibles de acceder al registro, o por incompetencia territorial. Concluye la Audiencia que el Registrador de la Propiedad se ha extralimitado en su análisis de la notificación recibida, evacuando un examen y calificación propia de una inscripción registral y no del preasiento de presentación. </w:t>
      </w:r>
    </w:p>
    <w:p w:rsidR="00FA0779" w:rsidRDefault="00FA0779" w:rsidP="00FA0779">
      <w:pPr>
        <w:pStyle w:val="TextoNormal"/>
      </w:pPr>
      <w:r>
        <w:t>A la vista de lo anteriormente expuesto la Audiencia Provincial de Barcelona revocó la resolución apelada, y comunicó a la Dirección General de los Registros y del Notariado la negativa del Registrador a extender el preasiento reseñado, a los efectos pertinentes.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Para la parte recurrente en amparo ha existido vulneración del derecho a la tutela judicial efectiva por haberse privado al Registrador demandante del derecho a las instancias reconocidas y a un auténtico recurso de apelación (art. 24.1 C.E.). </w:t>
      </w:r>
    </w:p>
    <w:p w:rsidR="00FA0779" w:rsidRDefault="00FA0779" w:rsidP="00FA0779">
      <w:pPr>
        <w:pStyle w:val="TextoNormal"/>
      </w:pPr>
      <w:r>
        <w:t xml:space="preserve">Manifiesta que la Audiencia Provincial ha privado al recurrente del derecho que las disposiciones procesales le otorgan a dos instancias, es decir, a obtener dos resoluciones sobre el problema discutido. En efecto, lo que debería haber acordado la Audiencia Provincial, respetuosa con ese derecho del recurrente era, una vez modificado el criterio del Juzgado sobre la inadecuación del procedimiento, remitir los autos a dicho Juzgado de Primera Instancia para que éste se pronunciara sobre el fondo del asunto, pronunciamiento que posteriormente podría ser o no objeto de recurso. </w:t>
      </w:r>
    </w:p>
    <w:p w:rsidR="00FA0779" w:rsidRDefault="00FA0779" w:rsidP="00FA0779">
      <w:pPr>
        <w:pStyle w:val="TextoNormal"/>
      </w:pPr>
      <w:r>
        <w:t xml:space="preserve">Al no haberlo hecho así, dice el recurrente, el Auto de la Sección Decimosexta de la Audiencia Provincial de Barcelona ha infringido el derecho a la tutela judicial efectiva del recurrente en dos sentidos: </w:t>
      </w:r>
    </w:p>
    <w:p w:rsidR="00FA0779" w:rsidRDefault="00FA0779" w:rsidP="00FA0779">
      <w:pPr>
        <w:pStyle w:val="TextoNormal"/>
      </w:pPr>
      <w:r>
        <w:t xml:space="preserve">a) En primer lugar, porque le ha privado de las dos instancias que le reconocen las disposiciones reglamentarias. Porque si bien el derecho al recurso no está constitucionalizado, una vez que el mismo está previsto legalmente, pasa a formar parte del derecho a la tutela (SSTC 54/1984, 112/1987 y 151/1987, entre otras muchas). </w:t>
      </w:r>
    </w:p>
    <w:p w:rsidR="00FA0779" w:rsidRDefault="00FA0779" w:rsidP="00FA0779">
      <w:pPr>
        <w:pStyle w:val="TextoNormal"/>
      </w:pPr>
      <w:r>
        <w:t xml:space="preserve">b) En segundo lugar, porque se le ha privado de un verdadero recurso de apelación puesto que éste es, por definición, un recurso que se plantea contra una resolución previa del órgano inferior. Y en el presente caso, además de escamoteársele al recurrente una primera resolución de fondo sobre la cuestión planteada por parte del Juzgado de Primera Instancia, se le ha privado además de la posibilidad de disponer de un auténtico recurso de apelación porque ni ha conocido cuál habría sido la resolución del Juzgado de Primera Instancia ni cuáles habrían sido sus razonamientos que por consiguiente no ha podido discutir. </w:t>
      </w:r>
    </w:p>
    <w:p w:rsidR="00FA0779" w:rsidRDefault="00FA0779" w:rsidP="00FA0779">
      <w:pPr>
        <w:pStyle w:val="TextoNormal"/>
      </w:pPr>
      <w:r>
        <w:t xml:space="preserve">Es claro por tanto, según el recurrente, que el Auto recurrido le ha privado de su derecho a la tutela judicial efectiva. Por un lado le ha privado de las dos instancias a que tenía derecho escamoteándole una resolución, la del Juzgado de Primera Instancia y por otro, le </w:t>
      </w:r>
      <w:r>
        <w:lastRenderedPageBreak/>
        <w:t xml:space="preserve">ha impedido disponer de un auténtico recurso de apelación que no ha podido ejercer ya que desconocía -porque no ha existido- la resolución previa contra la que recurrir y por tanto, también la fundamentación de la misma, esencial para poder mantener adecuadamente un recurso de apelación que consiste, precisamente, en poder discutir la corrección de una primera resolución. </w:t>
      </w:r>
    </w:p>
    <w:p w:rsidR="00FA0779" w:rsidRDefault="00FA0779" w:rsidP="00FA0779">
      <w:pPr>
        <w:pStyle w:val="TextoNormal"/>
      </w:pPr>
      <w:r>
        <w:t xml:space="preserve">También ha existido para el recurrente vulneración del art. 23.2 de la C.E. en cuanto el Auto impugnado obstaculiza gravemente el legítimo ejercicio de una función pública al interesar la incoación de un expediente disciplinario por su mero desempeño. </w:t>
      </w:r>
    </w:p>
    <w:p w:rsidR="00FA0779" w:rsidRDefault="00FA0779" w:rsidP="00FA0779">
      <w:pPr>
        <w:pStyle w:val="TextoNormal"/>
      </w:pPr>
      <w:r>
        <w:t xml:space="preserve">El Registrador de la Propiedad recurrente, según se desprende del Auto de la Audiencia Provincial de Barcelona que se recurre, puesto en relación con el art. 573 del Reglamento Hipotecario, va a ser objeto de la apertura de un expediente disciplinario por parte de la Dirección General de Registros y del Notariado por haber denegado el asiento de presentación de un extracto de escritura de hipoteca, enviado por fax al amparo del R.D. 2.537/1994, por no mencionar en dicho extracto la cuantía de las responsabilidades económicas que dicha hipoteca garantizaba (capital, intereses y costas), es decir por realizar la típica función calificadora que le ordena el art. 420 del Reglamento Hipotecario y muy especialmente el art. 418.4.º in fine, del R.H., en el que en relación con las comunicaciones notariales por fax, se le atribuye al Registrador la función de decidir si procede o no la práctica del asiento de presentación, lo que reitera el art. 249 del Reglamento Notarial, además de la prevención en tal sentido contenida en el art. 423.1 R.H. Dice el recurrente que prescindiendo de la inconstitucionalidad de la norma en la que se base el Auto impugnado -y que se cuestionará en el motivo siguiente- lo cierto es que un Auto como el impugnado vulnera el art. 23.2 de la C.E. en cuanto que el art. 416.4 del R.H., en la interpretación que del mismo hace la Sección Decimosexta de la Audiencia Provincial de Barcelona -no así las Secciones Decimocuarta y Decimoquinta de la misma Audiencia- determinaría la apertura automática de un expediente disciplinario al Registrador de la Propiedad por cumplir con las funciones propias de su cargo que son las de calificar los documentos que han de tener acceso al Registro. </w:t>
      </w:r>
    </w:p>
    <w:p w:rsidR="00FA0779" w:rsidRDefault="00FA0779" w:rsidP="00FA0779">
      <w:pPr>
        <w:pStyle w:val="TextoNormal"/>
      </w:pPr>
      <w:r>
        <w:t xml:space="preserve">Es decir, continúa el recurrente, algo que para las Secciones Decimocuarta y Decimoquinta de la misma Audiencia Provincial constituye la esencia de la función pública calificadora del recurrente (únicamente impugnable por la vía gubernativa) constituye para la Sección Decimosexta de la misma Audiencia, en cambio, en el auto impugnado un motivo para la incoación de un expediente disciplinario. </w:t>
      </w:r>
    </w:p>
    <w:p w:rsidR="00FA0779" w:rsidRDefault="00FA0779" w:rsidP="00FA0779">
      <w:pPr>
        <w:pStyle w:val="TextoNormal"/>
      </w:pPr>
      <w:r>
        <w:t xml:space="preserve">Pero obviando las cuestiones que serían de mera legalidad, lo que aquí nos interesa, según el recurrente, es que la denegación motivada de un asiento de presentación efectuada al amparo del art. 18 L.H., art. 418.4.º, in fine, R.H., art. 249 Reglamento Notarial, in fine, art. 423.1.º R.H. y art. 420 del R.H., es decir, en el ejercicio de su esencial función calificadora del Registrador recurrente y contra la que sólo cabe un recurso gubernativo o demanda judicial, no puede constituir nunca una extralimitación del Registrador de la Propiedad recurrente, como se dice en el segundo razonamiento in fine del Auto impugnado ni puede desencadenar, en la interpretación dada por el Auto impugnado al art. 416.4.1 del R.H., un recurso de queja cuya estimación desemboca en la automática incoación de un expediente disciplinario cuando tal calificación se hace de acuerdo con el modelo de asiento de presentación de hipoteca que deriva del art. 249 R.H. y anexo 1, y se le dio al Notario la posibilidad de subsanar el defecto sin más requisito que comunicar el capital, intereses y costas de que respondía la referida hipoteca. </w:t>
      </w:r>
    </w:p>
    <w:p w:rsidR="00FA0779" w:rsidRDefault="00FA0779" w:rsidP="00FA0779">
      <w:pPr>
        <w:pStyle w:val="TextoNormal"/>
      </w:pPr>
      <w:r>
        <w:t xml:space="preserve">Procede por tanto, para la parte recurrente, la estimación del presente motivo por constituir la interpretación que el Auto impugnado hace del art. 416.4.º del R.H. un ataque </w:t>
      </w:r>
      <w:r>
        <w:lastRenderedPageBreak/>
        <w:t xml:space="preserve">constitucional ius in officium que ostenta el recurrente, al amparo del art. 23.2 C.E. y por consiguiente, procede se declare la nulidad parcial de dicho Auto. </w:t>
      </w:r>
    </w:p>
    <w:p w:rsidR="00FA0779" w:rsidRDefault="00FA0779" w:rsidP="00FA0779">
      <w:pPr>
        <w:pStyle w:val="TextoNormal"/>
      </w:pPr>
      <w:r>
        <w:t xml:space="preserve">También aprecia el recurrente vulneración del art. 25.1 de la C.E. al comportar el Auto impugnado la apertura automática de un expediente disciplinario, basándose en una disposición reglamentaria que carece de cobertura legal y en una conducta que no sólo no se encuentra legalmente tipificada sino que constituye el ejercicio constitucional del ius in officium. Manifiesta la ilegalidad del art. 416.4.º del Reglamento Hipotecario y su consiguiente inconstitucionalidad al tratarse de una disposición sancionadora. </w:t>
      </w:r>
    </w:p>
    <w:p w:rsidR="00FA0779" w:rsidRDefault="00FA0779" w:rsidP="00FA0779">
      <w:pPr>
        <w:pStyle w:val="TextoNormal"/>
      </w:pPr>
      <w:r>
        <w:t xml:space="preserve">También alega que el art. 66 de la Ley Hipotecaria establece los dos únicos procedimientos a través de los cuales los interesados pueden atacar la calificación que, en relación a los documentos que pretendan inscribirse en el Registro, efectúe el Registrador de la Propiedad. </w:t>
      </w:r>
    </w:p>
    <w:p w:rsidR="00FA0779" w:rsidRDefault="00FA0779" w:rsidP="00FA0779">
      <w:pPr>
        <w:pStyle w:val="TextoNormal"/>
      </w:pPr>
      <w:r>
        <w:t xml:space="preserve">Manifiesta que la reclamación en queja establecida en el art. 416.4.1 del R.H. y en el que se basa el Auto impugnado carece de toda base legal y constituye una disposición reglamentaria ultra vires que, por consiguiente, es completamente ilegal. </w:t>
      </w:r>
    </w:p>
    <w:p w:rsidR="00FA0779" w:rsidRDefault="00FA0779" w:rsidP="00FA0779">
      <w:pPr>
        <w:pStyle w:val="TextoNormal"/>
      </w:pPr>
      <w:r>
        <w:t xml:space="preserve">Sigue diciendo el recurrente que esa falta de adecuada cobertura del art. 416.4.º del R.H. no pasaría de constituir una cuestión de mera legalidad si no fuera porque, primero, como hemos visto en el motivo anterior, constituye un atentado al ius in officium del Registrador (art. 23.2 C.E.) y segundo, porque supone también una vulneración del principio de legalidad contenido en el art. 25.1 C.E. al dar lugar, sin la necesaria cobertura legal, a la incoación automática de un expediente disciplinario al ponerlo en relación con los arts. 573 y ss. del mismo Reglamento. Y ello porque el art. 25 de la C.E.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(STC 305/1993). </w:t>
      </w:r>
    </w:p>
    <w:p w:rsidR="00FA0779" w:rsidRDefault="00FA0779" w:rsidP="00FA0779">
      <w:pPr>
        <w:pStyle w:val="TextoNormal"/>
      </w:pPr>
      <w:r>
        <w:t xml:space="preserve">Y no se diga, continúa el recurrente, que no es exigible la cobertura de ley formal por ser el Reglamento Hipotecario de fecha 14 de febrero de 1947, puesto que la actual redacción del art. 416 de dicho Reglamento se efectuó por R.D. 3.215/1982, de 12 de noviembre, es decir, con posterioridad a la Constitución, habiendo sentado la STC 177/1992 que la pervivencia de normas reglamentarias sancionadoras preconstitucionales tienen como importante limite la imposibilidad de que con posterioridad a la Constitución se actualicen dichas normas por la misma vía reglamentaria, puesto que con ello no se respetaría el sistema de producción de normas jurídicas impuesto ahora por la Constitución, porque si la Administración ostentara potestades sancionadoras no amparadas por una norma de rango legal, ello supondría convertir en inoperante el principio de legalidad de la actividad sancionadora de la Administración con sólo reproducir, a través del tiempo, las normas reglamentarias sancionadoras preconstitucionales, manteniéndose así in aeternum, después de la Constitución, sanciones sin cobertura legal incumpliéndose de esta manera el art. 24.1 de la Constitución (STC 305/1993). </w:t>
      </w:r>
    </w:p>
    <w:p w:rsidR="00FA0779" w:rsidRDefault="00FA0779" w:rsidP="00FA0779">
      <w:pPr>
        <w:pStyle w:val="TextoNormal"/>
      </w:pPr>
      <w:r>
        <w:t xml:space="preserve">También existe para el recurrente falta de tipicidad de la conducta por la que el Auto impugnado insta la apertura de un expediente disciplinario, constituyendo en cambio el ejercicio de un derecho fundamental. </w:t>
      </w:r>
    </w:p>
    <w:p w:rsidR="00FA0779" w:rsidRDefault="00FA0779" w:rsidP="00FA0779">
      <w:pPr>
        <w:pStyle w:val="TextoNormal"/>
      </w:pPr>
      <w:r>
        <w:t xml:space="preserve">Manifiesta el recurrente que como se recoge en el razonamiento jurídico tercero del Auto de la Sección Decimoquinta a de la Audiencia Provincial de Barcelona que se ha acompañado, no existe en la regulación del régimen disciplinario de los Registradores de la Propiedad una sola infracción que pueda tener nada que ver con la función calificadora </w:t>
      </w:r>
      <w:r>
        <w:lastRenderedPageBreak/>
        <w:t xml:space="preserve">de los mismos, cosa lógica porque el control de dicha función pública calificadora no se realiza a través de la vía disciplinaria sino de la gubernativa o judicial. </w:t>
      </w:r>
    </w:p>
    <w:p w:rsidR="00FA0779" w:rsidRDefault="00FA0779" w:rsidP="00FA0779">
      <w:pPr>
        <w:pStyle w:val="TextoNormal"/>
      </w:pPr>
      <w:r>
        <w:t xml:space="preserve">El art. 418.4.º in fine, del R.H., en desarrollo del art. 18 de la Ley Hipotecaria, atribuye, según el recurrente, al Registrador la función pública de «decidir si procede o no la práctica del asiento de presentación» de las comunicaciones notariales por fax. Y el ejercicio obligado de una función pública no puede constituir nunca falta disciplinaria. </w:t>
      </w:r>
    </w:p>
    <w:p w:rsidR="00FA0779" w:rsidRDefault="00FA0779" w:rsidP="00FA0779">
      <w:pPr>
        <w:pStyle w:val="TextoNormal"/>
      </w:pPr>
      <w:r>
        <w:t xml:space="preserve">En consecuencia, para el recurrente, carece de todo sentido la apertura de un expediente disciplinario por algo que no figura entre las posibles infracciones tipificadas y ello dejando de lado la ilegalidad e inconstitucionalidad ya analizada del art. 416.4.º del R.H. </w:t>
      </w:r>
    </w:p>
    <w:p w:rsidR="00FA0779" w:rsidRDefault="00FA0779" w:rsidP="00FA0779">
      <w:pPr>
        <w:pStyle w:val="TextoNormal"/>
      </w:pPr>
      <w:r>
        <w:t xml:space="preserve">Por si fuera poco, dice, mientras que el art. 416.4.º R.H., anterior al R.D. 2.537/1994, de 29 de diciembre, regulador de los envíos extractados por fax y que ha dado lugar a la queja del Notario, sólo se refiere y sólo puede referirse a la denegación del asiento de presentación de los títulos completos -entonces no estaba previsto el envío de extractos- el Auto recurrido estima la queja en base a ese artículo pero extendiéndolo a los extractos de los títulos, ampliación que vulnera el art. 25.1 C.E., al no estar prevista esa conducta en el artículo que aplica el Auto impugnado. </w:t>
      </w:r>
    </w:p>
    <w:p w:rsidR="00FA0779" w:rsidRDefault="00FA0779" w:rsidP="00FA0779">
      <w:pPr>
        <w:pStyle w:val="TextoNormal"/>
      </w:pPr>
      <w:r>
        <w:t xml:space="preserve">Según el recurrente, el art. 416.4.º R.H. se refiere únicamente a documentos completos, en los que lógicamente constan siempre los mínimos requisitos del asiento de presentación previstos en los arts. 249 de la Ley Hipotecaria y 423 de su Reglamento. Pero no se refiere ni se pudo referir -dado que su redacción es anterior al R.D. 2.537/1994, de 29 de diciembre-, a la calificación de las comunicaciones notariales por fax, que son un extracto del documento y en el que podría faltar algún requisito, respecto de los que se atribuye al Registrador por el art. 418.4.º, in fine, del R.H., la facultad de «decidir si procede o no la práctica del asiento de presentación» de las mismas. </w:t>
      </w:r>
    </w:p>
    <w:p w:rsidR="00FA0779" w:rsidRDefault="00FA0779" w:rsidP="00FA0779">
      <w:pPr>
        <w:pStyle w:val="TextoNormal"/>
      </w:pPr>
      <w:r>
        <w:t>En consecuencia, para el recurrente, careciendo de cobertura legal el art. 416.4.º del R.H. aplicado por el Auto recurrido y redactado con posterioridad a la Constitución y no estando además previstos en dicho artículo los asientos de presentación de simples extractos de escrituras, está claro que dicho Auto ha infringido el art. 25.1 de la C.E.</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por providencia de 10 de marzo de 1997,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50.1.c)-.</w:t>
      </w:r>
    </w:p>
    <w:p w:rsidR="00FA0779" w:rsidRDefault="00FA0779" w:rsidP="00FA0779">
      <w:pPr>
        <w:pStyle w:val="TextoNormal"/>
      </w:pPr>
    </w:p>
    <w:p w:rsidR="00FA0779" w:rsidRDefault="00FA0779" w:rsidP="00FA0779">
      <w:pPr>
        <w:pStyle w:val="TextoNormal"/>
      </w:pPr>
      <w:r w:rsidRPr="00FA0779">
        <w:rPr>
          <w:rStyle w:val="NumeroAFNegritaCaracter"/>
        </w:rPr>
        <w:t>5</w:t>
      </w:r>
      <w:r>
        <w:t>. Por escrito registrado en este Tribunal el 25 de marzo de 1997, la parte recurrente en amparo reitera, en síntesis, lo manifestado en su demanda.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por escrito que tuvo entrada en este Tribunal el 15 de abril de 1997, interesa que se inadmita el recurso de amparo por carecer manifiestamente de contenido constitucional. </w:t>
      </w:r>
    </w:p>
    <w:p w:rsidR="00FA0779" w:rsidRDefault="00FA0779" w:rsidP="00FA0779">
      <w:pPr>
        <w:pStyle w:val="TextoNormal"/>
      </w:pPr>
      <w:r>
        <w:t>Alega que la pérdida en una instancia judicial como consecuencia de la declaración de nulidad de la resolución de instancia no supone vulneración alguna del derecho a la tutela judicial efectiva en cuanto no existe en materia civil un derecho constitucional a la doble instancia. El art. 24 de la C.E. no incluye en su contenido la obligatoriedad de la retroacción de actuaciones cuando el Tribunal ad quem revoca la resolución del Juzgado de ins</w:t>
      </w:r>
      <w:r>
        <w:lastRenderedPageBreak/>
        <w:t>tancia que estima una excepción procesal pues el derecho a la doble instancia sólo tiene su campo específico y natural de aplicación en el proceso penal (STC 113/1992 y ATC 37/1995). La jurisdicción civil, en este caso la Audiencia, al conocer del fondo de la pretensión por el recurso de apelación ha dado una respuesta razonada y fundada en derecho acerca de la pretensión, siendo en este caso concreto conocidas las alegaciones y argumentaciones de las partes por los extensos escritos que dedujeron en el momento oportuno en la instancia... La resolución judicial que se recurre no vulnera el derecho al ejercicio de la función de calificar que corresponde legalmente al Registrador de la Propiedad, porque el órgano judicial se limita, de manera razonada y fundada, a aplicar la normativa que establece la reforma de la legislación hipotecaria -R.D. 2.537/1994, de 29 de diciembre- desentrañando la finalidad que persigue dicho Decreto como es evitar fraudes inmobiliarios mediante la máxima seguridad y protección de la buena fe y esta finalidad es la que tiene que buscar el Registrador cuando examina los elementos o términos de la petición del Notario sin que pueda exigir más requisitos que los que establece la Ley, es decir la función calificadora del Registrador tiene en este supuesto unos límites estrechos y determinados en las normas notariales e hipotecarias sin que pueda extenderse esa función calificadora a otros puntos que no sean los señalados específicamente en la Ley -arts. 249 R.N. y de la L.H.-... El Tribunal estudia la normativa aplicable y razonadamente concluye, en base a una serie de preceptos 418.4.º y 420 R.H. que el Registrador de la Propiedad se ha extralimitado en su análisis «evacuando un examen y calificación propia de una inscripción registral y no de un preasiento de presentación» naturaleza del trámite solicitado por el Notario. El Tribunal ha examinado las normas y ha concluido que en este caso la función de calificar se limita al examen de determinados presupuestos legales sin que pueda extenderse el examen y calificación a otros extremos en base a las finalidades perseguidas en las Leyes. De aquí se infiere que la resolución judicial no vulnera el art. 23.2 de la C.E... El actor debió en el momento procesal oportuno plantear la cuestión de inconstitucionalidad del precepto que se denuncia, lo que pudiendo hacerlo no hizo, y además su denuncia tiene por objeto la posible imposición de una sanción que no se ha impuesto, es decir la posibilidad de una quiebra futura del derecho fundamental lo que no es posible en el proceso constitucional... El órgano judicial declara que el Registrador se ha excedido al exigir unos requisitos que no pide la Ley y el incumplimiento, que supone la negativa a practicar el preasiento de presentación, puede producir perjuicios, lo que exige razonablemente que la misma sea objeto de examen por el Colegio, quien tiene plena libertad para determinar si existe o no responsabilidad... Esta simple participación (del órgano judicial al Colegio) no tiene capacidad de vulnerar el derecho fundamental porque no supone una sanción al Registrador sino únicamente constatar la realidad del incumplimiento, porque las consecuencias de dicha negativa no las estudia ni resuelve el órgano judicial.</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 impugna en el presente recurso de amparo el Auto de la Audiencia Provincial de Barcelona, de 12 de junio de 1996, que revocó el del Juzgado de Primera Instancia de esa ciudad, de 14 de septiembre de 1995, que desestimó queja presentada por Notario frente al Registrador de la Propiedad ahora recurrente en amparo.</w:t>
      </w:r>
    </w:p>
    <w:p w:rsidR="00FA0779" w:rsidRDefault="00FA0779" w:rsidP="00FA0779">
      <w:pPr>
        <w:pStyle w:val="TextoNormal"/>
      </w:pPr>
      <w:r>
        <w:t xml:space="preserve">Alega el recurrente, en primer lugar, que se le privó de su derecho a dos instancias porque la Audiencia una vez modificado el criterio del Juzgado sobre la inadecuación del </w:t>
      </w:r>
      <w:r>
        <w:lastRenderedPageBreak/>
        <w:t>procedimiento no remitió los autos a dicho Juzgado para que éste se pronunciara sobre el fondo del asunto.</w:t>
      </w:r>
    </w:p>
    <w:p w:rsidR="00FA0779" w:rsidRDefault="00FA0779" w:rsidP="00FA0779">
      <w:pPr>
        <w:pStyle w:val="TextoNormal"/>
      </w:pPr>
      <w:r>
        <w:t>Esta alegación carece de fundamento por cuanto el Auto de la Audiencia garantiza por sí mismo el respeto del derecho a la tutela judicial efectiva sin indefensión y a un procedimiento público con todas las garantías (art. 24 C.E.). No puede admitirse que el recurrente no pudo defenderse, pues no existe en materia civil un derecho constitucional a la segunda instancia (STC 113/1992, entre otras); su derecho lo ejercitó cuando hizo las alegaciones pertinentes frente a las de la otra parte, presentando en el Juzgado de Primera Instancia núm. 43 de Barcelona, el 5 de septiembre de 1995, escrito contestando a la queja interpuesta por el Notario. La extensión de este escrito revela la inconsistencia de la alegación según la cual el Registrador no pudo defenderse convenientemente.</w:t>
      </w:r>
    </w:p>
    <w:p w:rsidR="00FA0779" w:rsidRDefault="00FA0779" w:rsidP="00FA0779">
      <w:pPr>
        <w:pStyle w:val="TextoNormal"/>
      </w:pPr>
    </w:p>
    <w:p w:rsidR="00FA0779" w:rsidRDefault="00FA0779" w:rsidP="00FA0779">
      <w:pPr>
        <w:pStyle w:val="TextoNormal"/>
      </w:pPr>
      <w:r w:rsidRPr="00FA0779">
        <w:rPr>
          <w:rStyle w:val="NumeroAFNegritaCaracter"/>
        </w:rPr>
        <w:t>2</w:t>
      </w:r>
      <w:r>
        <w:t>. También manifiesta que se le ha vulnerado el legítimo ejercicio de una función pública protegido en el art. 23.2 C.E., al interesar el Auto impugnado la incoación de un expediente disciplinario por un mero desempeño de su función.</w:t>
      </w:r>
    </w:p>
    <w:p w:rsidR="00FA0779" w:rsidRDefault="00FA0779" w:rsidP="00FA0779">
      <w:pPr>
        <w:pStyle w:val="TextoNormal"/>
      </w:pPr>
      <w:r>
        <w:t>Tampoco esta alegación tiene fundamento alguno. La Audiencia se limitó a hacer una interpretación jurídica de las cuestiones planteadas en orden al asiento de presentación por lo que si la decisión adoptada en el Auto puede producir otros efectos legales, como la apertura de un expediente disciplinario, carece de relevancia. Además, en el caso de que se abriera tal expediente el recurrente podría defenderse en el mismo e incluso si fuera sancionado siempre puede acudir a la vía contenciosa con lo que. queda plenamente garantizado su legítimo ejercicio de la función pública y, por Supuesto, el respeto al art.  23.2 C.E. Pero lo más relevante es que no consta que haya existido expediente o sanción alguna contra el recurrente, por lo que todavía no existe lesión efectiva, careciendo de contenido este amparo por este motivo.</w:t>
      </w:r>
    </w:p>
    <w:p w:rsidR="00FA0779" w:rsidRDefault="00FA0779" w:rsidP="00FA0779">
      <w:pPr>
        <w:pStyle w:val="TextoNormal"/>
      </w:pPr>
    </w:p>
    <w:p w:rsidR="00FA0779" w:rsidRDefault="00FA0779" w:rsidP="00FA0779">
      <w:pPr>
        <w:pStyle w:val="TextoNormal"/>
      </w:pPr>
      <w:r w:rsidRPr="00FA0779">
        <w:rPr>
          <w:rStyle w:val="NumeroAFNegritaCaracter"/>
        </w:rPr>
        <w:t>3</w:t>
      </w:r>
      <w:r>
        <w:t>. Otra vulneración que invoca es la del art. 25.1 C.E. pues la apertura del expediente disciplinario se fundamenta, afirma, en una disposición reglamentaria sin cobertura legal, por una conducta no tipificada. Denuncia pues la inconstitucionalidad del art. 416.4.º R.H. por vulneración del principio de legalidad. Además, dice que la actual redacción del art. 416 se efectuó por R.D. 3.215/1982, es decir, después de la Constitución de 1978, lo que implicaría según las SSTC 177/1992 y 305/1993 su inconstitucionalidad.  Alega que el art. 416.4.º R.H. se refiere únicamente a títulos completos pero no a extractos de los títulos como es un fax, lo que implica un motivo más de infracción del art. 25.1 C.E. por el Auto recurrido.</w:t>
      </w:r>
    </w:p>
    <w:p w:rsidR="00FA0779" w:rsidRDefault="00FA0779" w:rsidP="00FA0779">
      <w:pPr>
        <w:pStyle w:val="TextoNormal"/>
      </w:pPr>
      <w:r>
        <w:t>La última alegación, es decir, si los títulos son o no completos, no trasciende de la mera legalidad ordinaria. En cuanto a la cuestión de inconstitucionalidad su planteamiento corresponde decidirlo en exclusiva al órgano judicial y, además, en cualquier caso, como hemos dicho, no existe lesión efectiva porque no consta que se le haya sancionado al recurrente, lo que implica la improcedencia de entrar en cuestiones derivadas de un supuesto que no es susceptible de ser revisado en un amparo constitucional.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inadmitir el recurso de amparo.</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2" w:name="AUTO_1997_149"/>
      <w:r>
        <w:lastRenderedPageBreak/>
        <w:t>AUTO 149/1997, de 19 de mayo de 1997</w:t>
      </w:r>
    </w:p>
    <w:bookmarkEnd w:id="82"/>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ECLI:ES:TC:1997:149A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3.124/1996.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con fecha 31 de julio de 1996 la representación procesal del demandante ha interpuesto recurso de amparo contra la resolución reseñada anteriormente. En la demanda se solicita también la suspensión de la ejecución de las resoluciones recurridas.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de que trae causa la demanda de amparo y que son relevantes para la resolución sobre la petición de suspensión, son, en síntesis, los siguientes: </w:t>
      </w:r>
    </w:p>
    <w:p w:rsidR="00FA0779" w:rsidRDefault="00FA0779" w:rsidP="00FA0779">
      <w:pPr>
        <w:pStyle w:val="TextoNormal"/>
      </w:pPr>
      <w:r>
        <w:t xml:space="preserve">a) El demandante fue condenado por el Juzgado de lo Penal núm. 27 de Madrid, como autor de un delito de daños y una falta de lesiones a las penas de 100.000 pesetas de multa (con arresto sustitutorio de dieciséis días) y de quince días de arresto menor respectivamente. </w:t>
      </w:r>
    </w:p>
    <w:p w:rsidR="00FA0779" w:rsidRDefault="00FA0779" w:rsidP="00FA0779">
      <w:pPr>
        <w:pStyle w:val="TextoNormal"/>
      </w:pPr>
      <w:r>
        <w:t>b) Recurrida en apelación dicha Sentencia fue confirmada por otra de 5 de julio de 1996, de la Sección Decimoséptima de la Audiencia Provincial de Madrid.</w:t>
      </w:r>
    </w:p>
    <w:p w:rsidR="00FA0779" w:rsidRDefault="00FA0779" w:rsidP="00FA0779">
      <w:pPr>
        <w:pStyle w:val="TextoNormal"/>
      </w:pPr>
    </w:p>
    <w:p w:rsidR="00FA0779" w:rsidRDefault="00FA0779" w:rsidP="00FA0779">
      <w:pPr>
        <w:pStyle w:val="TextoNormal"/>
      </w:pPr>
      <w:r w:rsidRPr="00FA0779">
        <w:rPr>
          <w:rStyle w:val="NumeroAFNegritaCaracter"/>
        </w:rPr>
        <w:t>3</w:t>
      </w:r>
      <w:r>
        <w:t>. La demanda de amparo, que articula su queja en virtud del art. 44 LOTC, imputa a la resolución judicial recurrida la vulneración del art. 24.2 CE -derecho de defensa y a la utilización de los medios de prueba- al haberse dictado sin admitir la práctica de parte de la prueba de descargo propuesta.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Cuarta (Sala Segunda) mediante providencia de fecha 20 de marzo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Por providencia de la misma fecha la Sección acordó formar la oportuna pieza de suspensión y, conforme a lo dispuesto en el art. 56 LOTC, conceder un plazo común de </w:t>
      </w:r>
      <w:r>
        <w:lastRenderedPageBreak/>
        <w:t>tres días a la parte recurrente y al Ministerio Fiscal para que alegaran lo que estimasen pertinente acerca de dicho extremo.</w:t>
      </w:r>
    </w:p>
    <w:p w:rsidR="00FA0779" w:rsidRDefault="00FA0779" w:rsidP="00FA0779">
      <w:pPr>
        <w:pStyle w:val="TextoNormal"/>
      </w:pPr>
    </w:p>
    <w:p w:rsidR="00FA0779" w:rsidRDefault="00FA0779" w:rsidP="00FA0779">
      <w:pPr>
        <w:pStyle w:val="TextoNormal"/>
      </w:pPr>
      <w:r w:rsidRPr="00FA0779">
        <w:rPr>
          <w:rStyle w:val="NumeroAFNegritaCaracter"/>
        </w:rPr>
        <w:t>6</w:t>
      </w:r>
      <w:r>
        <w:t>. Mediante sendos escritos de fecha 25 de marzo y 8 de abril de 1997 el recurrente en amparo y el Ministerio Fiscal han presentado sus alegaciones en el incidente de suspensión, reiterando aquél lo expuesto en su escrito de demanda y manifestando éste no oponerse al otorgamiento de la suspensión instada de la Sentencia impugnada sólo en lo que se refiere a las penas privativas de libertad impuestas.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00FA0779" w:rsidRDefault="00FA0779" w:rsidP="00FA0779">
      <w:pPr>
        <w:pStyle w:val="TextoNormal"/>
      </w:pPr>
      <w:r>
        <w:t>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00FA0779" w:rsidRDefault="00FA0779" w:rsidP="00FA0779">
      <w:pPr>
        <w:pStyle w:val="TextoNormal"/>
      </w:pPr>
      <w:r>
        <w:t>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00FA0779" w:rsidRDefault="00FA0779" w:rsidP="00FA0779">
      <w:pPr>
        <w:pStyle w:val="TextoNormal"/>
      </w:pPr>
    </w:p>
    <w:p w:rsidR="00FA0779" w:rsidRDefault="00FA0779" w:rsidP="00FA0779">
      <w:pPr>
        <w:pStyle w:val="TextoNormal"/>
      </w:pPr>
      <w:r w:rsidRPr="00FA0779">
        <w:rPr>
          <w:rStyle w:val="NumeroAFNegritaCaracter"/>
        </w:rPr>
        <w:t>2</w:t>
      </w:r>
      <w:r>
        <w:t>. Cuando se impugnan resoluciones limitativas o privativas de libertad (sea con alegación del derecho a la libertad personal o de otros derechos fundamentales), la no suspensión de la resolución impugnada, y por tanto el mantenimiento o la ejecución de la privación de libertad acordada, ocasiona siempre perjuicios que pueden hacer perder su finalidad al amparo si éste fuera finalmente otorgado, ya que la situación de limitación o privación de libertad se mantiene hasta tal momento produciendo perjuicios irreparables. En estos supuestos parece que nos hallamos siempre en la excepción a la regla general antes predicada y hemos considerado por ello que en principio procede la suspensión (AATC 98/1983, 179/1984, 574/1985, 116/1990, 169/1992, 252/1992, 120/1993 ó 169/1995). Ahora bien, la aplicación en todo caso de tal criterio puede también suponer en muchas ocasiones -substancialmente en los casos de medidas cautelares privativas de libertad- la, resolución anticipada del fondo del recurso.</w:t>
      </w:r>
    </w:p>
    <w:p w:rsidR="00FA0779" w:rsidRDefault="00FA0779" w:rsidP="00FA0779">
      <w:pPr>
        <w:pStyle w:val="TextoNormal"/>
      </w:pPr>
      <w:r>
        <w:lastRenderedPageBreak/>
        <w:t>Por consiguiente, en casos como el que nos ocupa, hay que valorar, de una parte el interés específico en la ejecución de la condena y, de otra, la libertad personal, cuya protección se solicita.</w:t>
      </w:r>
    </w:p>
    <w:p w:rsidR="00FA0779" w:rsidRDefault="00FA0779" w:rsidP="00FA0779">
      <w:pPr>
        <w:pStyle w:val="TextoNormal"/>
      </w:pPr>
      <w:r>
        <w:t>Para conciliar ambos valores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w:t>
      </w:r>
    </w:p>
    <w:p w:rsidR="00FA0779" w:rsidRDefault="00FA0779" w:rsidP="00FA0779">
      <w:pPr>
        <w:pStyle w:val="TextoNormal"/>
      </w:pPr>
      <w:r>
        <w:t>Por el contrario, hemos señalado que, como regla general, las resoluciones judiciales con efectos meramente patrimoniales o económicos no causan perjuicios irreparables, por lo que no procede su suspensión (AATC 573/1985, 574/1985 ó 275/1990), y que las penas privativas de derechos, impuestas como accesorias, siguen la suerte de las principales (AATC 144/1984, 244/1991 ó 96/1993).</w:t>
      </w:r>
    </w:p>
    <w:p w:rsidR="00FA0779" w:rsidRDefault="00FA0779" w:rsidP="00FA0779">
      <w:pPr>
        <w:pStyle w:val="TextoNormal"/>
      </w:pPr>
    </w:p>
    <w:p w:rsidR="00FA0779" w:rsidRDefault="00FA0779" w:rsidP="00FA0779">
      <w:pPr>
        <w:pStyle w:val="TextoNormal"/>
      </w:pPr>
      <w:r w:rsidRPr="00FA0779">
        <w:rPr>
          <w:rStyle w:val="NumeroAFNegritaCaracter"/>
        </w:rPr>
        <w:t>3</w:t>
      </w:r>
      <w:r>
        <w:t>. En este caso la resolución impugnada impone una pena leve privativa de libertad y otra de multa con arresto sustitutorio para el caso de impago, por lo que de conformidad con lo interesado por el Ministerio Fiscal, procede acordar la suspensión parcial de la resolución impugnada en lo que se refiere a la privación de libertad acordada, pues no se aprecia ninguna circunstancia que pueda justificar un sacrificio de la misma.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sin embargo, la resolución en lo que se refiere al pago de la multa ni de la responsabilidad civil decretada ya que en este aspecto, al tratarse de condenas meramente pecuniarias, debe prevalecer el interés general que se halla en el cumplimiento de las resoluciones judiciales, que hace eficaz el derecho a la tutela judicial.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acceder parcialmente a la solicitud de suspensión de la ejecución de la reseñada Sentencia de 5 de julio de 1996 de la Sección Decimoséptima de la Audiencia Provincial de Madrid, en lo que concierne a la pena privativa de</w:t>
      </w:r>
    </w:p>
    <w:p w:rsidR="00FA0779" w:rsidRDefault="00FA0779" w:rsidP="00FA0779">
      <w:pPr>
        <w:pStyle w:val="TextoNormal"/>
      </w:pPr>
      <w:r>
        <w:t>libertad impuesta -quince días de arresto menor- y sus accesorias, e igualmente suspender la ejecución de la pena de multa impuesta sólo para el caso de que por impago de la misma se pretendiera hacer efectiva la responsabilidad personal subsidiaria</w:t>
      </w:r>
    </w:p>
    <w:p w:rsidR="00FA0779" w:rsidRDefault="00FA0779" w:rsidP="00FA0779">
      <w:pPr>
        <w:pStyle w:val="TextoNormal"/>
      </w:pPr>
      <w:r>
        <w:t>prevista, sin que haya lugar a suspender el resto de pronunciamientos de la misma.</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3" w:name="AUTO_1997_150"/>
      <w:r>
        <w:lastRenderedPageBreak/>
        <w:t>AUTO 150/1997, de 19 de mayo de 1997</w:t>
      </w:r>
    </w:p>
    <w:bookmarkEnd w:id="83"/>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ECLI:ES:TC:1997:150A</w:t>
      </w:r>
    </w:p>
    <w:p w:rsidR="00FA0779" w:rsidRDefault="00FA0779" w:rsidP="00FA0779">
      <w:pPr>
        <w:pStyle w:val="SntesisDescriptiva"/>
      </w:pPr>
    </w:p>
    <w:p w:rsidR="00FA0779" w:rsidRDefault="00FA0779" w:rsidP="00FA0779">
      <w:pPr>
        <w:pStyle w:val="SntesisDescriptiva"/>
      </w:pPr>
      <w:r>
        <w:t>Excms. Srs. don Álvaro Rodríguez Bereijo,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Declarando la extinción, por desaparición sobrevenida de su objeto, del recurso de amparo 3.808/1996.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medio de escrito presentado en fecha 23 de octubre de 1996, la Procuradora de los Tribunales doña África Martín Rico, en nombre y representación de don José Julián Elgorriaga Goyeneche, interpone recurso de amparo contra el Auto de 30 de septiembre de 1996 dictado por la Sección Segunda de la Sala de lo Penal de la Audiencia Nacional, notificado el día 2 de octubre de 1996, por el que se resuelve el recurso de apelación interpuesto contra los Autos de 19 de junio de 1996 del Juzgado Central de Instrucción núm. 1 por los que se decretaba el procesamiento y la prisión preventiva del recurrente. Se alega la vulneración de los derechos reconocidos en los arts. 14, 17 y 24.1 C.E.</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basa, en síntesis, en los siguientes hechos: </w:t>
      </w:r>
    </w:p>
    <w:p w:rsidR="00FA0779" w:rsidRDefault="00FA0779" w:rsidP="00FA0779">
      <w:pPr>
        <w:pStyle w:val="TextoNormal"/>
      </w:pPr>
      <w:r>
        <w:t xml:space="preserve">En el sumario núm. 15/95 seguido en el Juzgado Central de Instrucción núm. 1 por los delitos de torturas, secuestro y asesinato perpetrados en 1993, en relación con los Sres. Lasa y Zabala, se personó voluntariamente el Sr. Elgorriaga Goyeneche, actual recurrente en amparo, al objeto de prestar declaración en el mes de septiembre de 1995. </w:t>
      </w:r>
    </w:p>
    <w:p w:rsidR="00FA0779" w:rsidRDefault="00FA0779" w:rsidP="00FA0779">
      <w:pPr>
        <w:pStyle w:val="TextoNormal"/>
      </w:pPr>
      <w:r>
        <w:t xml:space="preserve">Con fecha 9 de mayo de 1996, el referido Juzgado dictó resolución por la que acordó la libertad provisional del demandante de amparo, adoptando respecto del mismo determinadas medidas cautelares. </w:t>
      </w:r>
    </w:p>
    <w:p w:rsidR="00FA0779" w:rsidRDefault="00FA0779" w:rsidP="00FA0779">
      <w:pPr>
        <w:pStyle w:val="TextoNormal"/>
      </w:pPr>
      <w:r>
        <w:t xml:space="preserve">En fecha 19 de junio de 1996, el Juzgado Central de Instrucción núm. 1 dictó sendos Autos por los que acordaba, respectivamente, el procesamiento y la prisión incondicional y comunicada del recurrente en amparo. Contra ambas resoluciones se formularon por el propio procesado sendos recursos de reforma y subsidiaria apelación. Se desestimaron por el Juzgado los dos recursos de reforma y se dio trámite a la apelación subsidiariamente interpuesta. </w:t>
      </w:r>
    </w:p>
    <w:p w:rsidR="00FA0779" w:rsidRDefault="00FA0779" w:rsidP="00FA0779">
      <w:pPr>
        <w:pStyle w:val="TextoNormal"/>
      </w:pPr>
      <w:r>
        <w:t xml:space="preserve">Por la Sección Segunda de la Sala de lo Penal de la Audiencia Nacional, previa su acumulación, se resolvieron los recursos de apelación mediante una sola resolución -Auto de 30 de septiembre de 1996-, en la que se desestiman ambos recursos y se confirma tanto el procesamiento como la prisión preventiva del recurrente. </w:t>
      </w:r>
    </w:p>
    <w:p w:rsidR="00FA0779" w:rsidRDefault="00FA0779" w:rsidP="00FA0779">
      <w:pPr>
        <w:pStyle w:val="TextoNormal"/>
      </w:pPr>
      <w:r>
        <w:t>Contra este último Auto, en cuanto confirma la prisión preventiva incondicional del procesado, se interpone el presente recurso de amparo.</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xml:space="preserve">. La demanda invoca la vulneración por la resolución judicial que se impugna de los derechos de igualdad (art. 14 C.E.), libertad (art. 17 C.E.) y tutela judicial efectiva sin indefensión (art. 24.1 C.E.), y suplica de este Tribunal se dicte Sentencia por la que, otorgando el amparo pedido, se declare la nulidad del Auto de 30 de septiembre de 1996, se reconozca el derecho a la tutela judicial efectiva sin indefensión del recurrente y se acuerde, en consecuencia, su inmediata puesta en libertad. Por medio de otrosí, al amparo de lo establecido en el art. 83 LOTC, solicita la acumulación del presente recurso al núm. 3.342/96, interpuesto por los Sres. Bayo Leal y Dorado Villalobos, por existir conexión entre los mismos que justifica su unidad de tramitación. </w:t>
      </w:r>
    </w:p>
    <w:p w:rsidR="00FA0779" w:rsidRDefault="00FA0779" w:rsidP="00FA0779">
      <w:pPr>
        <w:pStyle w:val="TextoNormal"/>
      </w:pPr>
      <w:r>
        <w:t xml:space="preserve">Entiende el actor que se ha vulnerado el derecho de igualdad como consecuencia del trato diferente que, a efectos de la medida cautelar de prisión preventiva, han recibido los distintos procesados en el sumario 15/95; y que siendo su participación en los hechos de imputación similar, así como sus circunstancias de arraigo parecidas, unos, como el Sr. Rodríguez Galindo, se encuentran en libertad, mientras otros, como el actual demandante de amparo, se encuentran en prisión preventiva. </w:t>
      </w:r>
    </w:p>
    <w:p w:rsidR="00FA0779" w:rsidRDefault="00FA0779" w:rsidP="00FA0779">
      <w:pPr>
        <w:pStyle w:val="TextoNormal"/>
      </w:pPr>
      <w:r>
        <w:t xml:space="preserve">La lesión del derecho a la libertad, ex art. 17 C.E., así como de la doctrina constitucional sentada respecto de tal vulneración, se asienta en la falta de motivación en que, a juicio del recurrente, incurre el acuerdo judicial que decide su prisión preventiva o provisional por esta causa penal. La prisión preventiva ha de ser una medida excepcional y motivada conforme a dicha doctrina constitucional; y en este caso -siempre a juicio del actor- sólo existe, en la resolución judicial que la acuerda, una pseudomotivación que se articula en base a unos informes policiales secretos sobre el eventual riesgo de fuga, que no son conocidos por la defensa. Sin embargo, en cuanto al aspecto subjetivo relativo a las circunstancias personales del procesado, como son su arraigo personal, sus obligaciones familiares o laborales, sus ingresos económicos concretos, nada se expresa en el Auto impugnado, contradiciendo así lo expresado por el Tribunal Constitucional en su STC 128/1995. </w:t>
      </w:r>
    </w:p>
    <w:p w:rsidR="00FA0779" w:rsidRDefault="00FA0779" w:rsidP="00FA0779">
      <w:pPr>
        <w:pStyle w:val="TextoNormal"/>
      </w:pPr>
      <w:r>
        <w:t>Finalmente, la lesión del derecho a no padecer indefensión y obtener tutela judicial efectiva se hace derivar del hecho de que, encontrándose tramitado el sumario como secreto durante casi todo su desarrollo (más de un año), no se ha permitido a la defensa tener conocimiento del mismo y, muy especialmente, no ha podido conocer el informe policial secreto en virtud del cual, según se expresa en las resoluciones judiciales, se ha estimado procedente la prisión preventiva del demandante, por indicar dicho informe un riesgo de fuga del mismo. Esa falta de conocimiento e intervención en lo actuado produce la indefensión del recurrente, que se ha visto privado de intervenir, conocer y rebatir la acusación contraria, en función de un «secreto sumarial» excesivamente prolongado. Acude a dichos efectos el recurrente a la STC 176/1988, en la que, si bien se señala que la declaración de secreto del sumario o su posterior prórroga no implican lesión del derecho de defensa de las partes, se afirma también que el Juez no debe prolongar dicha medida más tiempo del imprescindible, lo que, en este supuesto, resulta de muy dudosa observancia, dadas las sucesivas y reiteradas prórrogas acordadas en el mismo.</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La Sección Primera (Sala Primera) de este Tribunal por providencia de 28 de octubre de 1996, acordó tener por recibido el anterior escrito de demanda, así como el posterior presentado en fecha 24 de octubre de 1996, y, a tenor de lo dispuesto en el art. 50.5 LOTC, conceder un plazo de diez días a la representación del demandante de amparo para que dentro de dicho término presentase las correspondientes copias del último escrito citado, así como de los documentos que acompañaban al mismo. En cuanto a la petición de </w:t>
      </w:r>
      <w:r>
        <w:lastRenderedPageBreak/>
        <w:t>acumulación solicitada respecto del recurso de amparo núm. 3.342/96, en su momento procesal se acordaría lo procedente.</w:t>
      </w:r>
    </w:p>
    <w:p w:rsidR="00FA0779" w:rsidRDefault="00FA0779" w:rsidP="00FA0779">
      <w:pPr>
        <w:pStyle w:val="TextoNormal"/>
      </w:pPr>
    </w:p>
    <w:p w:rsidR="00FA0779" w:rsidRDefault="00FA0779" w:rsidP="00FA0779">
      <w:pPr>
        <w:pStyle w:val="TextoNormal"/>
      </w:pPr>
      <w:r w:rsidRPr="00FA0779">
        <w:rPr>
          <w:rStyle w:val="NumeroAFNegritaCaracter"/>
        </w:rPr>
        <w:t>5</w:t>
      </w:r>
      <w:r>
        <w:t>. Presentadas las copias, por providencia de 25 de noviembre de 1996, la Sección acordó abrir el trámite previsto en el art. 50.3 LOTC, al objeto de que el demandante de amparo y el Ministerio Fiscal alegasen lo pertinente sobre la posible carencia de contenido constitucional de la demanda de amparo [art. 50.1 c) de la citada Ley Orgánica].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demandante de amparo evacuó el traslado conferido mediante escrito que presentó en fecha 7 de diciembre, y en el que, reiterando las alegaciones de su escrito de demanda, solicitó la admisión a trámite del recurso de amparo y su resolución conforme a lo pedido en el suplico de aquel escrito inicial </w:t>
      </w:r>
    </w:p>
    <w:p w:rsidR="00FA0779" w:rsidRDefault="00FA0779" w:rsidP="00FA0779">
      <w:pPr>
        <w:pStyle w:val="TextoNormal"/>
      </w:pPr>
      <w:r>
        <w:t>El Ministerio Fiscal presentó su escrito de alegaciones en fecha 17 de diciembre de 1996. En él interesa la inadmisión del recurso de amparo por entender que concurre la causa de inadmisión consultada por la Sección y prevista en el art. 50.1 c) LOTC: Carencia manifiesta de contenido constitucional que justifique una decisión sobre el fondo. Entiende el Ministerio Público que, respecto de la eventual lesión del derecho de igualdad, basta con recordar la reiterada doctrina constitucional sobre el carácter personalísimo de la responsabilidad criminal, que conlleva la inadecuación del término de comparación propuesto por el recurrente respecto de los demás implicados en los hechos. En cuanto a la vulneración del segundo de los derechos invocados, libertad ex art. 17 C.E., tampoco cabe advertir infracción alguna de tal derecho, pues la lectura de las resoluciones judiciales impugnadas evidencia que éstas no carecen de motivación, sino que expresan las causas legales y los motivos concretos que justifican la medida restrictiva de libertad conforme a las exigencias que se derivan de la doctrina del Tribunal Constitucional. Finalmente, en cuanto a la indefensión que se hace derivar del secreto sumarial que impidió al recurrente conocer determinadas actuaciones que justificaran la medida privativa de libertad, entiende el Ministerio Fiscal que, si bien el secreto del sumario no puede significar una excepción a la regla general de motivación de las resoluciones judiciales restrictivas de derechos, o del derecho del propio inculpado a conocer los motivos por los que se acuerda la prisión, ello no es incompatible con que se fundamenten determinadas medidas en actuaciones que permanecen secretas por el momento. Lo contrario sería privar de eficacia la medida del secreto sumarial o hacer incompatibles ambas medidas. Lo que se exige es que el Instructor justifique las razones de la prisión, pues su contradicción podrá hacerse en un momento posterior. Además, añade el Ministerio Fiscal, en este caso existen otras razones expuestas en los autos que se impugnan que son conocidas por la defensa y justifican en parte la medida de prisión, por lo que no toda la justificación reside en diligencias secretas.</w:t>
      </w:r>
    </w:p>
    <w:p w:rsidR="00FA0779" w:rsidRDefault="00FA0779" w:rsidP="00FA0779">
      <w:pPr>
        <w:pStyle w:val="TextoNormal"/>
      </w:pPr>
    </w:p>
    <w:p w:rsidR="00FA0779" w:rsidRDefault="00FA0779" w:rsidP="00FA0779">
      <w:pPr>
        <w:pStyle w:val="TextoNormal"/>
      </w:pPr>
      <w:r w:rsidRPr="00FA0779">
        <w:rPr>
          <w:rStyle w:val="NumeroAFNegritaCaracter"/>
        </w:rPr>
        <w:t>7</w:t>
      </w:r>
      <w:r>
        <w:t>. La Sección, por providencia de 20 de diciembre de 1996, acordó admitir a trámite la demanda de amparo formulada por el Sr. Elgorriaga Goyeneche, sin perjuicio, de lo que resulte de sus antecedentes. Al propio tiempo, acordó requerir atentamente a la Sala de lo Penal de la Audiencia Nacional y al Juzgado Central de Instrucción núm. 1, para que en el plazo de diez días remitiesen, respectivamente, testimonio del rollo de apelación núm. 151/96 y del sumario 15/95, interesándose al propio tiempo se emplace a quienes fueron parte en el mencionado procedimiento, para que en el, plazo de diez días puedan! comparecer en este proceso constitucional, con traslado a dichos efectos de copia de la demanda presentada.</w:t>
      </w:r>
    </w:p>
    <w:p w:rsidR="00FA0779" w:rsidRDefault="00FA0779" w:rsidP="00FA0779">
      <w:pPr>
        <w:pStyle w:val="TextoNormal"/>
      </w:pPr>
    </w:p>
    <w:p w:rsidR="00FA0779" w:rsidRDefault="00FA0779" w:rsidP="00FA0779">
      <w:pPr>
        <w:pStyle w:val="TextoNormal"/>
      </w:pPr>
      <w:r w:rsidRPr="00FA0779">
        <w:rPr>
          <w:rStyle w:val="NumeroAFNegritaCaracter"/>
        </w:rPr>
        <w:t>8</w:t>
      </w:r>
      <w:r>
        <w:t xml:space="preserve">. En fecha 22 de enero de 1997 se persona en las actuaciones el Procurador de los Tribunales don José Manuel Dorremochea Aramburu, en nombre y representación de doña Felipa Artano Sagástume y otro, solicitando se entendieran con dicha representación, en cuanto parte recurrida, las sucesivas actuaciones. </w:t>
      </w:r>
    </w:p>
    <w:p w:rsidR="00FA0779" w:rsidRDefault="00FA0779" w:rsidP="00FA0779">
      <w:pPr>
        <w:pStyle w:val="TextoNormal"/>
      </w:pPr>
      <w:r>
        <w:t xml:space="preserve">En idéntica fecha se personan, asimismo, el Procurador de los Tribunales don Eduardo Morales Price en nombre y representación del Excmo. Ayuntamiento de Tolosa, y la Sra. Montes Agusti en nombre y representación de la Asociación contra la Tortura. </w:t>
      </w:r>
    </w:p>
    <w:p w:rsidR="00FA0779" w:rsidRDefault="00FA0779" w:rsidP="00FA0779">
      <w:pPr>
        <w:pStyle w:val="TextoNormal"/>
      </w:pPr>
      <w:r>
        <w:t>Por providencia, de 27 de enero de 1997, la Sección acordó tener por recibidos los anteriores escritos, por personados y parte a los mencionados Procuradores en nombre de quien, respectivamente, comparecen, ordenando se entiendan con ellos la presente y sucesivas diligencias (a los solos efectos de evacuar el trámite del art. 52 LOTC) devolviéndoseles los poderes presentados, previo cotejo y testimonio en autos. Asimismo, se tuvieron por recibidos los testimonios de actuaciones judiciales solicitados y, a tenor de lo dispuesto en el art. 52 LOTC, se acordó dar vista de todas las actuaciones, por un plazo común de veinte días, al Ministerio Fiscal y a los Procuradores Sres. Martín Rico, Morales Price, Dorremochea Aramburu y Montes Agustí, para que, dentro de dicho término, pudiesen presentar las alegaciones que a su derecho conviniesen. Dentro del plazo concedido deberían, asimismo, alegar lo que estimasen pertinente, de conformidad con el art. 83 de la citada Ley Orgánica, en relación con la posible acumulación del presente recurso de amparo al seguido en la misma Sala Primera bajo el núm. 3.342/96.</w:t>
      </w:r>
    </w:p>
    <w:p w:rsidR="00FA0779" w:rsidRDefault="00FA0779" w:rsidP="00FA0779">
      <w:pPr>
        <w:pStyle w:val="TextoNormal"/>
      </w:pPr>
    </w:p>
    <w:p w:rsidR="00FA0779" w:rsidRDefault="00FA0779" w:rsidP="00FA0779">
      <w:pPr>
        <w:pStyle w:val="TextoNormal"/>
      </w:pPr>
      <w:r w:rsidRPr="00FA0779">
        <w:rPr>
          <w:rStyle w:val="NumeroAFNegritaCaracter"/>
        </w:rPr>
        <w:t>9</w:t>
      </w:r>
      <w:r>
        <w:t xml:space="preserve">. Con fecha 21 de febrero de 1997 se recibe escrito del Ministerio Fiscal en el que, esencialmente, manifiesta que ha tenido conocimiento de que, con fecha reciente, en concreto el día 28 de enero de 1997, por la Sala de lo Penal de la Audiencia Nacional ha sido decretada la libertad provisional del recurrente, y, pudiendo ser ello de especial relevancia para la resolución del presente recurso, interesa se proceda a recabar de la citada Audiencia Nacional testimonio de la documentación acreditativa de tales extremos, dándose entonces nuevo traslado a dicho Ministerio Fiscal para alegaciones. </w:t>
      </w:r>
    </w:p>
    <w:p w:rsidR="00FA0779" w:rsidRDefault="00FA0779" w:rsidP="00FA0779">
      <w:pPr>
        <w:pStyle w:val="TextoNormal"/>
      </w:pPr>
      <w:r>
        <w:t>Por providencia de 4 de marzo de 1997, la Sección acordó tener por recibido el anterior escrito y, conforme a lo solicitado en él por el Ministerio Público y lo prevenido en el art. 88 LOTC, requerir atentamente a la Sala de lo Penal de la Audiencia Nacional para que en el plazo de diez días remitiese el testimonio reseñado.</w:t>
      </w:r>
    </w:p>
    <w:p w:rsidR="00FA0779" w:rsidRDefault="00FA0779" w:rsidP="00FA0779">
      <w:pPr>
        <w:pStyle w:val="TextoNormal"/>
      </w:pPr>
    </w:p>
    <w:p w:rsidR="00FA0779" w:rsidRDefault="00FA0779" w:rsidP="00FA0779">
      <w:pPr>
        <w:pStyle w:val="TextoNormal"/>
      </w:pPr>
      <w:r w:rsidRPr="00FA0779">
        <w:rPr>
          <w:rStyle w:val="NumeroAFNegritaCaracter"/>
        </w:rPr>
        <w:t>10</w:t>
      </w:r>
      <w:r>
        <w:t>. En fecha 13 de febrero de 1997 se recibió escrito de la Procuradora doña Rosina Montes Agustí, en nombre y representación de la Asociación contra la Tortura, por medio del cual manifestaba que no presentaría alegaciones en el recurso de amparo, ya que el objeto del mismo es la libertad provisional del Sr. Elgorriaga, y ese evento ya se había producido mediante Auto de 28 de enero de 1997 dictado por la Sección Segunda de la Sala de lo Penal de la Audiencia Nacional. Aportó junto a este escrito copia simple del mencionado Auto, así como del dictado por el Juzgado de Instrucción Central núm. 1, librando mandamiento de libertad y declarando bastante la fianza constituida. Por todo lo cual, terminaba suplicando se tuviera a dicha parte por apartada del presente recurso de amparo.</w:t>
      </w:r>
    </w:p>
    <w:p w:rsidR="00FA0779" w:rsidRDefault="00FA0779" w:rsidP="00FA0779">
      <w:pPr>
        <w:pStyle w:val="TextoNormal"/>
      </w:pPr>
    </w:p>
    <w:p w:rsidR="00FA0779" w:rsidRDefault="00FA0779" w:rsidP="00FA0779">
      <w:pPr>
        <w:pStyle w:val="TextoNormal"/>
      </w:pPr>
      <w:r w:rsidRPr="00FA0779">
        <w:rPr>
          <w:rStyle w:val="NumeroAFNegritaCaracter"/>
        </w:rPr>
        <w:t>11</w:t>
      </w:r>
      <w:r>
        <w:t>. Por providencia de 10 de marzo de 1997 la Sección tuvo por recibido el anterior escrito y el testimonio solicitado, del que acordó dar traslado al Ministerio Fiscal y Procu</w:t>
      </w:r>
      <w:r>
        <w:lastRenderedPageBreak/>
        <w:t>radores personados, a quienes, a tenor de lo dispuesto en el art. 52 LOTC, se concedió un nuevo plazo común de diez días para que dentro de dicho término presentasen nuevas alegaciones o, en su caso, ampliasen las ya presentadas.</w:t>
      </w:r>
    </w:p>
    <w:p w:rsidR="00FA0779" w:rsidRDefault="00FA0779" w:rsidP="00FA0779">
      <w:pPr>
        <w:pStyle w:val="TextoNormal"/>
      </w:pPr>
    </w:p>
    <w:p w:rsidR="00FA0779" w:rsidRDefault="00FA0779" w:rsidP="00FA0779">
      <w:pPr>
        <w:pStyle w:val="TextoNormal"/>
      </w:pPr>
      <w:r w:rsidRPr="00FA0779">
        <w:rPr>
          <w:rStyle w:val="NumeroAFNegritaCaracter"/>
        </w:rPr>
        <w:t>12</w:t>
      </w:r>
      <w:r>
        <w:t>. En fecha 20 de febrero de 1997 se recibe el escrito de alegaciones de la representación de doña Felipa Artano Sagástume y don Jesús Aróstegui Berasa. En él manifiestan que, dado que el objeto procesal del presente recurso de amparo se circunscribe a la supuesta vulneración del derecho a la libertad del recurrente como consecuencia de la adopción de la medida cautelar de prisión preventiva ordenada por el Juzgado y confirmada por la Audiencia, y teniendo en cuenta que la Audiencia Nacional ha procedido, por Auto de 28 de enero de 1997, a decretar la libertad provisional del recurrente mediante la prestación de fianza de 25.000.000 de pesetas, que se ha prestado ya, el recurrente se encuentra en la actualidad en libertad, y esta circunstancia obliga a declarar carente de objeto el amparo, cuya pretensión ha de ser por esta sola razón desestimada.</w:t>
      </w:r>
    </w:p>
    <w:p w:rsidR="00FA0779" w:rsidRDefault="00FA0779" w:rsidP="00FA0779">
      <w:pPr>
        <w:pStyle w:val="TextoNormal"/>
      </w:pPr>
    </w:p>
    <w:p w:rsidR="00FA0779" w:rsidRDefault="00FA0779" w:rsidP="00FA0779">
      <w:pPr>
        <w:pStyle w:val="TextoNormal"/>
      </w:pPr>
      <w:r w:rsidRPr="00FA0779">
        <w:rPr>
          <w:rStyle w:val="NumeroAFNegritaCaracter"/>
        </w:rPr>
        <w:t>13</w:t>
      </w:r>
      <w:r>
        <w:t>. En fecha 21 de marzo de 1997 se ha presentado escrito de alegaciones por la representación del demandante de amparo. En ellas, tras exponer los antecedentes de hecho, entre los que se incluye el Auto dictado en fecha 28 de enero de 1997 por la Sección Segunda de la Sala de lo Penal de la Audiencia Nacional, por el que se acuerda su libertad bajo fianza, manifiesta que, al haber quedado en libertad, el recurso de amparo interpuesto ha podido quedar vacío de contenido, no obstante lo cual se deja constancia de la lesión del derecho a la libertad denunciado y que, en su día, se produjo efectivamente.</w:t>
      </w:r>
    </w:p>
    <w:p w:rsidR="00FA0779" w:rsidRDefault="00FA0779" w:rsidP="00FA0779">
      <w:pPr>
        <w:pStyle w:val="TextoNormal"/>
      </w:pPr>
    </w:p>
    <w:p w:rsidR="00FA0779" w:rsidRDefault="00FA0779" w:rsidP="00FA0779">
      <w:pPr>
        <w:pStyle w:val="TextoNormal"/>
      </w:pPr>
      <w:r w:rsidRPr="00FA0779">
        <w:rPr>
          <w:rStyle w:val="NumeroAFNegritaCaracter"/>
        </w:rPr>
        <w:t>14</w:t>
      </w:r>
      <w:r>
        <w:t>. En fechas 21 de febrero y 24 de marzo de 1997 se reciben sendos escritos de alegaciones de la representación procesal del Excmo. Ayuntamiento de Tolosa. En el primero manifiesta la citada Corporación Municipal que, ante todo, y por lo que respecta a la acumulación del presente recurso al núm. 3.342/96, considerando que en fecha 28 de enero de 1997 se ha dictado Auto acordando la libertad bajo fianza del recurrente en amparo, el recurso carece de objeto, y no procede, en consecuencia, la acumulación pretendida. En el segundo de dichos escritos alega que el examen de la documentación aportada a los autos no hace sino confirmar la apreciación anterior sobre la carencia de objeto del recurso de amparo que ahora se reitera.</w:t>
      </w:r>
    </w:p>
    <w:p w:rsidR="00FA0779" w:rsidRDefault="00FA0779" w:rsidP="00FA0779">
      <w:pPr>
        <w:pStyle w:val="TextoNormal"/>
      </w:pPr>
    </w:p>
    <w:p w:rsidR="00FA0779" w:rsidRDefault="00FA0779" w:rsidP="00FA0779">
      <w:pPr>
        <w:pStyle w:val="TextoNormal"/>
      </w:pPr>
      <w:r w:rsidRPr="00FA0779">
        <w:rPr>
          <w:rStyle w:val="NumeroAFNegritaCaracter"/>
        </w:rPr>
        <w:t>15</w:t>
      </w:r>
      <w:r>
        <w:t>. Finalmente, en fecha 2 de abril de 1997 se ha recibido el nuevo escrito de alegaciones del Ministerio Fiscal. En él manifiesta que, acreditado en autos, a requerimiento del Ministerio Fiscal, que con fecha 28 de enero de 1997 se dictó Auto por el Juzgado Central de Instrucción núm. 1 de la Audiencia Nacional acordando la libertad provisional del demandante, lo que entraña la satisfacción de la pretensión de amparo por vía procesal distinta y la pérdida de objeto del recurso en lo que a él se refiere, procede, de conformidad con el art. 80 LOTC, interpretado como señala la STC 40/1982, entre otras, declarar la desaparición del objeto del recurso. En cualquier caso, continúa el Ministerio Fiscal, en cuanto al fondo del recurso, habiéndose presentado escrito ya por este Ministerio Público en el que se interesaba la inadmisión a trámite del mismo, se reproducen ahora las alegaciones contenidas en aquél.</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Conforme se ha tenido ya ocasión de señalar en ocasiones anteriores (entre otras resoluciones, en los AATC 256/1992, 258/1992 y 351/1993), este Tribunal puede, en cualquier tiempo anterior a la decisión y conforme dispone el art.  84 LOTC, comunicar a los comparecidos en el proceso constitucional la eventual existencia de otros motivos distintos de los alegados, con relevancia para acordar lo procedente sobre la admisión o inadmisión. Es evidente que este precepto es de aplicación a aquellos supuestos en que, como ha ocurrido en el presente, después de admitir a trámite una demanda de amparo e iniciadas las actuaciones, se ha tenido conocimiento de un hecho nuevo que, de ser conocido con anterioridad a la providencia que resolvió sobre la admisión, podría cambiar el sentido de ésta. Así pues, puede declararse la terminación del proceso por desaparición de la materia litigiosa o por cesación de su objeto cuando se producen circunstancias sobrevenidas que modifican de manera sustancial la controversia. Una de esas circunstancias, de aplicación específica en los procesos constitucionales de amparo, en que se requiere la existencia de contenido constitucional puesto que su objeto es la lesión de los derechos y libertades a que se refiere el art. 41 LOTC, es la desaparición sobrevenida del carácter constitucional de la controversia.</w:t>
      </w:r>
    </w:p>
    <w:p w:rsidR="00FA0779" w:rsidRDefault="00FA0779" w:rsidP="00FA0779">
      <w:pPr>
        <w:pStyle w:val="TextoNormal"/>
      </w:pPr>
    </w:p>
    <w:p w:rsidR="00FA0779" w:rsidRDefault="00FA0779" w:rsidP="00FA0779">
      <w:pPr>
        <w:pStyle w:val="TextoNormal"/>
      </w:pPr>
      <w:r w:rsidRPr="00FA0779">
        <w:rPr>
          <w:rStyle w:val="NumeroAFNegritaCaracter"/>
        </w:rPr>
        <w:t>2</w:t>
      </w:r>
      <w:r>
        <w:t>. Ha de examinarse ahora el objeto del presente recurso, constituido por las resoluciones judiciales -Autos de 19 de junio de 1996 y 30 de septiembre de 1996, dictados respectivamente por el Juzgado Central de Instrucción núm. 1 y la Sección Segunda de la Sala de lo Penal de la Audiencia Nacional- mediante las cuales se acordó y confirmó la medida de prisión preventiva incondicional del recurrente en amparo, procesado en el sumario núm. 15/95. A dichas resoluciones judiciales se imputa por el recurrente en amparo la vulneración del derecho de igualdad (ex art. 14 C.E.), debido al trato diferente que representa la adopción de tal medida restrictiva de libertad en relación con otros inculpados en el mismo sumario; la lesión del derecho a la libertad (art. 17 C.E.)  a causa de la falta de motivación en que incurren dichos Autos respecto de la privación de libertad que acuerdan; y, finalmente, la infracción del derecho a obtener la tutela judicial efectiva sin indefensión (art. 24.1 C.E.)  porque, encontrándose decretado el secreto sumarial durante casi todo el desarrollo de la causa, no se ha dado oportunidad a la defensa de conocer el informe policial, igualmente secreto, en virtud del cual, y según se expresa en las propias resoluciones judiciales impugnadas, se restringe la libertad del encausado al advertir riesgo de fuga del mismo. En consecuencia, se solicita la nulidad de los referidos Autos y la inmediata puesta en libertad del recurrente.</w:t>
      </w:r>
    </w:p>
    <w:p w:rsidR="00FA0779" w:rsidRDefault="00FA0779" w:rsidP="00FA0779">
      <w:pPr>
        <w:pStyle w:val="TextoNormal"/>
      </w:pPr>
      <w:r>
        <w:t>Según se desprende de los testimonios obrantes en este proceso de amparo, la ,Sala de lo Penal (Sección Segunda) de la Audiencia Nacional ha dictado Auto, en fecha 28 de enero de 1997 (con posterioridad, por tanto, a la admisión de la presente demanda de amparo), por medio del cual acuerda la libertad provisional del recurrente, previa prestación de fianza, habiéndose nevado a efecto dicha medida mediante el correspondiente mandamiento judicial.</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atención a la anterior circunstancia, ha perdido su objeto la queja planteada mediante el presente recurso de amparo, que se orientaba a la petición de libertad provisional solicitada (que ha obtenido satisfacción en el propio proceso penal), así como a la denuncia de tres concretas vulneraciones constitucionales, todas ellas intrínsecamente anudadas </w:t>
      </w:r>
      <w:r>
        <w:lastRenderedPageBreak/>
        <w:t>a la medida restrictiva de la libertad que, en la actualidad, como se ha dicho, ha sido modificada. Por todo ello, es manifiesta la carencia de contenido que justifique una decisión sobre el fondo por parte de este Tribunal respecto de las dos primeras infracciones en que se sustenta el amparo; esto es, la de los derechos a la igualdad y a la libertad, debido al propio sentido de la nueva resolución judicial recaída. Por lo que respecta a la invocada lesión del derecho a la tutela judicial efectiva sin indefensión (art. 24.1 C.E.), su carencia sobrevenida de relevancia en el presente caso, se produce únicamente por el hecho de encontrarse vinculada dicha queja, en el propio planteamiento de la demanda del actor, a la medida restrictiva de libertad inicialmente acordada, por lo que, revocada esta última, pierde virtualidad la primera; pero sin que ello comporte pronunciamiento alguno de este Tribunal acerca de la corrección o incorrección constitucional de la prolongación del secreto sumaríal decretado, en sí mismo considerado, así como sus consecuencias en relación con la eventual lesión del derecho fundamental consagrado en el art.  24.1 C.E.</w:t>
      </w:r>
    </w:p>
    <w:p w:rsidR="00FA0779" w:rsidRDefault="00FA0779" w:rsidP="00FA0779">
      <w:pPr>
        <w:pStyle w:val="TextoNormal"/>
      </w:pPr>
      <w:r>
        <w:t>Por último, es de señalar que la desaparición sobrevenida del objeto del presente recurso hace improcedente la acumulación que se pretendía inicialmente respecto del recurso de amparo núm. 3.342/96, tramitado en esta misma Sala Primera, pues la alteración de circunstancias producida en el presente caso y que no ha tenido lugar respecto de aquél, impide apreciar las condiciones requeridas por nuestra Ley Orgánica para acceder a tal petición.</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atención a todo lo expuesto, la Sala acuerda dar por concluso el presente procedimiento por desaparición sobrevenida de su objeto, denegar la acumulación del mismo al recurso de amparo 3.342/96 y el archivo de las actuaciones.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4" w:name="AUTO_1997_151"/>
      <w:r>
        <w:lastRenderedPageBreak/>
        <w:t>AUTO 151/1997, de 19 de mayo de 1997</w:t>
      </w:r>
    </w:p>
    <w:bookmarkEnd w:id="84"/>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ECLI:ES:TC:1997:151A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4.229/1996.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el Juzgado de Guardia de Madrid el 19 de noviembre de 1996, doña Fátima Muñoz Rey, Procuradora de los Tribunales y de don José Luis Puentes Quesada interpone recurso de amparo contra la Sentencia de la Audiencia Provincial de Madrid, de 24 de octubre de 1996, recaída en apelación contra la dictada por el Juzgado de lo Penal núm. 7 de esta misma Capital, en autos de procedimiento abreviado. En esta última se condenó al recurrente en amparo como autor de diversos delitos.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antecedentes de hecho: </w:t>
      </w:r>
    </w:p>
    <w:p w:rsidR="00FA0779" w:rsidRDefault="00FA0779" w:rsidP="00FA0779">
      <w:pPr>
        <w:pStyle w:val="TextoNormal"/>
      </w:pPr>
      <w:r>
        <w:t xml:space="preserve">a) El 10 de junio de 1996 el Juzgado de lo Penal núm. 7 de Madrid dictó Sentencia condenando al ahora recurrente en amparo como autor de un delito de utilización ilegítima de un vehículo de motor ajeno, de dos delitos de robo con violencia en las personas en grado de consumación y de otro de este tipo en grado de tentativa. </w:t>
      </w:r>
    </w:p>
    <w:p w:rsidR="00FA0779" w:rsidRDefault="00FA0779" w:rsidP="00FA0779">
      <w:pPr>
        <w:pStyle w:val="TextoNormal"/>
      </w:pPr>
      <w:r>
        <w:t xml:space="preserve">b) Contra dicha Sentencia interpuso recurso de apelación fijándose el 23 de octubre de 1996 a las diez horas y diez minutos la vista del mismo. </w:t>
      </w:r>
    </w:p>
    <w:p w:rsidR="00FA0779" w:rsidRDefault="00FA0779" w:rsidP="00FA0779">
      <w:pPr>
        <w:pStyle w:val="TextoNormal"/>
      </w:pPr>
      <w:r>
        <w:t>c) La citada vista se celebró sin la presencia de varios Letrados que acudieron, circunstancia ésta que ha motivado el presente recurso de amparo.</w:t>
      </w:r>
    </w:p>
    <w:p w:rsidR="00FA0779" w:rsidRDefault="00FA0779" w:rsidP="00FA0779">
      <w:pPr>
        <w:pStyle w:val="TextoNormal"/>
      </w:pPr>
    </w:p>
    <w:p w:rsidR="00FA0779" w:rsidRDefault="00FA0779" w:rsidP="00FA0779">
      <w:pPr>
        <w:pStyle w:val="TextoNormal"/>
      </w:pPr>
      <w:r w:rsidRPr="00FA0779">
        <w:rPr>
          <w:rStyle w:val="NumeroAFNegritaCaracter"/>
        </w:rPr>
        <w:t>3</w:t>
      </w:r>
      <w:r>
        <w:t>. Considera el recurrente que se ha lesionado su derecho a la tutela judicial efectiva y a no sufrir indefensión (art. 24.1 C.E.) ya que por razones sólo imputables al órgano judicial se le privó del derecho a la defensa en la vista de la segunda instancia. Solicita la suspensión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por sendas providencias de 21 de marzo de 1997,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5</w:t>
      </w:r>
      <w:r>
        <w:t>. Por escrito presentado en los Juzgados de Guardia de Madrid el 26 de marzo de 1,997, el recurrente solicita la suspensión de la Sentencia impugnada por entender que devino firme por no haberse podido defender en el recurso de apelación por un error no imputable a esta parte, es decir, alega el recurrente, no se puede considerar firme una Sentencia, y por lo tanto ejecutable, si no ha podido ser defendida.</w:t>
      </w:r>
    </w:p>
    <w:p w:rsidR="00FA0779" w:rsidRDefault="00FA0779" w:rsidP="00FA0779">
      <w:pPr>
        <w:pStyle w:val="TextoNormal"/>
      </w:pPr>
    </w:p>
    <w:p w:rsidR="00FA0779" w:rsidRDefault="00FA0779" w:rsidP="00FA0779">
      <w:pPr>
        <w:pStyle w:val="TextoNormal"/>
      </w:pPr>
      <w:r w:rsidRPr="00FA0779">
        <w:rPr>
          <w:rStyle w:val="NumeroAFNegritaCaracter"/>
        </w:rPr>
        <w:t>6</w:t>
      </w:r>
      <w:r>
        <w:t>. El Ministerio Fiscal por escrito que tuvo entrada en este Tribunal el 9 de abril de 1997, interesa la suspensión de las penas privativas de libertad, así como la de privación del permiso de conducir, pero no las costas; en lo que se refiere a las indemnizaciones considera que dado su carácter pecuniario no procede la suspensión.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Objeto del presente Auto es resolver acerca de la solicitada suspensión de la ejecución de la Sentencia de la Sección Tercera de la Audiencia Provincial de Madrid, de 24 de octubre de 1996, que condenaba al recurrente como autor responsable penal y civilmente de un delito de utilización ilegítima de un vehículo de motor ajeno en grado de consumación y sin fuerza en las cosas, de dos delitos de robo con violencia en las personas en grado de consumación y de un delito de robo con violencia en las personas, en grado de tentativa. Se trata de penas de un año de prisión menor, tres y dos meses de arresto mayor, así como la de privación del permiso de conducir, indemnizaciones y costas.</w:t>
      </w:r>
    </w:p>
    <w:p w:rsidR="00FA0779" w:rsidRDefault="00FA0779" w:rsidP="00FA0779">
      <w:pPr>
        <w:pStyle w:val="TextoNormal"/>
      </w:pPr>
    </w:p>
    <w:p w:rsidR="00FA0779" w:rsidRDefault="00FA0779" w:rsidP="00FA0779">
      <w:pPr>
        <w:pStyle w:val="TextoNormal"/>
      </w:pPr>
      <w:r w:rsidRPr="00FA0779">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FA0779" w:rsidRDefault="00FA0779" w:rsidP="00FA0779">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FA0779" w:rsidRDefault="00FA0779" w:rsidP="00FA0779">
      <w:pPr>
        <w:pStyle w:val="TextoNormal"/>
      </w:pPr>
      <w:r>
        <w:t>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Aplicada la doctrina expuesta al presente caso, ha de accederse a la suspensión solicitada por el recurrente puesto que por la escasa duración de las penas privativas de libertad impuestas el amparo perdería su finalidad.  Debe, pues, respecto de las mismas y de sus accesorias, que siguen la misma suerte que la principal (AATC 202/1992 y 6/1996, </w:t>
      </w:r>
      <w:r>
        <w:lastRenderedPageBreak/>
        <w:t>entre otros), así como, de la de privación del permiso de conducir, acordarse su suspensión.</w:t>
      </w:r>
    </w:p>
    <w:p w:rsidR="00FA0779" w:rsidRDefault="00FA0779" w:rsidP="00FA0779">
      <w:pPr>
        <w:pStyle w:val="TextoNormal"/>
      </w:pPr>
      <w:r>
        <w:t>En cuanto a los pronunciamientos de contenido económico de la Sentencia impugnada, es decir, las costas y las indemnizaciones de responsabilidad civil no procede la suspensión pues se trata de un perjuicio que en caso de estimarse el amparo podría ser fácilmente reparado (AATC 88 y 103/1995).</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w:t>
      </w:r>
    </w:p>
    <w:p w:rsidR="00FA0779" w:rsidRDefault="00FA0779" w:rsidP="00FA0779">
      <w:pPr>
        <w:pStyle w:val="TextoNormal"/>
      </w:pPr>
      <w:r>
        <w:t>1º Suspender la ejecución de la Sentencia, de 24 de octubre de 1996, de la Sección Tercera de la Audiencia Provincial de Madrid, tan sólo respecto a las penas privativas de libertad impuestas y sus accesorias legales y la de privación del permiso de</w:t>
      </w:r>
    </w:p>
    <w:p w:rsidR="00FA0779" w:rsidRDefault="00FA0779" w:rsidP="00FA0779">
      <w:pPr>
        <w:pStyle w:val="TextoNormal"/>
      </w:pPr>
      <w:r>
        <w:t>conducir.</w:t>
      </w:r>
    </w:p>
    <w:p w:rsidR="00FA0779" w:rsidRDefault="00FA0779" w:rsidP="00FA0779">
      <w:pPr>
        <w:pStyle w:val="TextoNormal"/>
      </w:pPr>
      <w:r>
        <w:t>2.º No suspender la ejecución de las indemnizaciones por responsabilidad civil ni el pago de las costas procesales impuestas.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5" w:name="AUTO_1997_152"/>
      <w:r>
        <w:lastRenderedPageBreak/>
        <w:t>AUTO 152/1997, de 19 de mayo de 1997</w:t>
      </w:r>
    </w:p>
    <w:bookmarkEnd w:id="85"/>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ECLI:ES:TC:1997:152A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4.231/1996.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el Juzgado de Guardia de Madrid el 19 de noviembre de 1996, doña Fátima Muñoz Rey, Procuradora de los Tribunales y de don Carlos Puente Rivero interpone recurso de amparo contra la Sentencia de la Audiencia Provincial de Madrid, de 24 de octubre de 1996, recaída en apelación contra la dictada por el Juzgado de lo Penal núm. 7 de esta misma Capital, en autos de procedimiento abreviado. En esta última se condenó al recurrente en amparo como autor de diversos delitos.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antecedentes de hecho. </w:t>
      </w:r>
    </w:p>
    <w:p w:rsidR="00FA0779" w:rsidRDefault="00FA0779" w:rsidP="00FA0779">
      <w:pPr>
        <w:pStyle w:val="TextoNormal"/>
      </w:pPr>
      <w:r>
        <w:t xml:space="preserve">a) El 10 de junio de 1996 el Juzgado de lo Penal núm. 7 de Madrid dictó Sentencia condenando al ahora recurrente en amparo como autor de un delito de utilización ilegítima de un vehículo de motor ajeno, de dos delitos de robo con violencia en las personas en grado de consumación y de otro de este tipo en grado de tentativa. </w:t>
      </w:r>
    </w:p>
    <w:p w:rsidR="00FA0779" w:rsidRDefault="00FA0779" w:rsidP="00FA0779">
      <w:pPr>
        <w:pStyle w:val="TextoNormal"/>
      </w:pPr>
      <w:r>
        <w:t xml:space="preserve">b) Contra dicha Sentencia interpuso recurso de apelación fijándose el 23 de octubre de 1996 a las diez horas y diez minutos la vista del mismo. </w:t>
      </w:r>
    </w:p>
    <w:p w:rsidR="00FA0779" w:rsidRDefault="00FA0779" w:rsidP="00FA0779">
      <w:pPr>
        <w:pStyle w:val="TextoNormal"/>
      </w:pPr>
      <w:r>
        <w:t>c) La citada vista se celebró sin la presencia de varios Letrados que acudieron, circunstancia ésta que ha motivado el presente recurso de amparo.</w:t>
      </w:r>
    </w:p>
    <w:p w:rsidR="00FA0779" w:rsidRDefault="00FA0779" w:rsidP="00FA0779">
      <w:pPr>
        <w:pStyle w:val="TextoNormal"/>
      </w:pPr>
    </w:p>
    <w:p w:rsidR="00FA0779" w:rsidRDefault="00FA0779" w:rsidP="00FA0779">
      <w:pPr>
        <w:pStyle w:val="TextoNormal"/>
      </w:pPr>
      <w:r w:rsidRPr="00FA0779">
        <w:rPr>
          <w:rStyle w:val="NumeroAFNegritaCaracter"/>
        </w:rPr>
        <w:t>3</w:t>
      </w:r>
      <w:r>
        <w:t>. Considera el recurrente que se ha lesionado su derecho a la tutela judicial efectiva y a no sufrir indefensión (art. 24.1 C.E.) ya que por razones sólo imputables al órgano judicial se le privó del derecho a la defensa en la vista de la segunda instancia. Solicita la suspensión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por sendas providencias de 21 de marzo de 1997,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5</w:t>
      </w:r>
      <w:r>
        <w:t>. Por escrito presentado en los Juzgados de Guardia de Madrid el 26 de marzo de 1997, el recurrente solicita la suspensión de la Sentencia impugnada por entender que devino firme por no haberse podido defender en el recurso de apelación por un error no imputable a esta parte, es decir, alega el recurrente, no se puede considerar firme una Sentencia, y por lo tanto ejecutable, si no ha podido ser defendida.</w:t>
      </w:r>
    </w:p>
    <w:p w:rsidR="00FA0779" w:rsidRDefault="00FA0779" w:rsidP="00FA0779">
      <w:pPr>
        <w:pStyle w:val="TextoNormal"/>
      </w:pPr>
    </w:p>
    <w:p w:rsidR="00FA0779" w:rsidRDefault="00FA0779" w:rsidP="00FA0779">
      <w:pPr>
        <w:pStyle w:val="TextoNormal"/>
      </w:pPr>
      <w:r w:rsidRPr="00FA0779">
        <w:rPr>
          <w:rStyle w:val="NumeroAFNegritaCaracter"/>
        </w:rPr>
        <w:t>6</w:t>
      </w:r>
      <w:r>
        <w:t>. El Ministerio Fiscal por escrito que tuvo entrada en este Tribunal el 9 de abril de 1997, interesa la suspensión de las penas privativas de libertad, así como la de privación del permiso de conducir, pero no las costas; en lo que se refiere a las indemnizaciones considera que dado su carácter pecuniario no procede la suspensión.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Objeto del presente Auto es resolver acerca de la solicitada suspensión de la ejecución de la Sentencia de la Sección Tercera de la Audiencia Provincial de Madrid, de 24 de octubre de 1996, que condenaba al recurrente como autor responsable penal y civilmente de un delito de utilización ilegítima de un vehículo de motor ajeno en grado de consumación y sin fuerza en las cosas, de dos delitos de robo con violencia en las personas en grado de consumación y de un delito de robo con violencia en las personas, en grado de tentativa. Se trata de penas de un año de prisión menor, tres y dos meses de arresto mayor, así como la de privación del permiso de conducir, indemnizaciones y costas.</w:t>
      </w:r>
    </w:p>
    <w:p w:rsidR="00FA0779" w:rsidRDefault="00FA0779" w:rsidP="00FA0779">
      <w:pPr>
        <w:pStyle w:val="TextoNormal"/>
      </w:pPr>
    </w:p>
    <w:p w:rsidR="00FA0779" w:rsidRDefault="00FA0779" w:rsidP="00FA0779">
      <w:pPr>
        <w:pStyle w:val="TextoNormal"/>
      </w:pPr>
      <w:r w:rsidRPr="00FA0779">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FA0779" w:rsidRDefault="00FA0779" w:rsidP="00FA0779">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FA0779" w:rsidRDefault="00FA0779" w:rsidP="00FA0779">
      <w:pPr>
        <w:pStyle w:val="TextoNormal"/>
      </w:pPr>
      <w:r>
        <w:t>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Aplicada la doctrina expuesta al presente caso, ha de accederse a la suspensión solicitada por el recurrente puesto que por la escasa duración de las penas privativas de libertad impuestas, de no concederse la suspensión de su ejecución sería ineficaz el amparo en el caso de que se otorgara. Debe, pues, respecto de las mismas y de sus accesorias, que </w:t>
      </w:r>
      <w:r>
        <w:lastRenderedPageBreak/>
        <w:t>siguen la misma, suerte que la principal (AATC 202/1992 y 6/1996, entre otros), así como de la de privación del permiso de conducir, acordarse su suspensión.</w:t>
      </w:r>
    </w:p>
    <w:p w:rsidR="00FA0779" w:rsidRDefault="00FA0779" w:rsidP="00FA0779">
      <w:pPr>
        <w:pStyle w:val="TextoNormal"/>
      </w:pPr>
      <w:r>
        <w:t>En cuanto a los pronunciamientos de contenido económico de la Sentencia impugnada, es decir, las costas y las indemnizaciones de responsabilidad civil no procede la suspensión pues se trata de un perjuicio que en caso de estimarse el amparo podría ser fácilmente reparado (AATC 88/1995 y 103/1995).</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w:t>
      </w:r>
    </w:p>
    <w:p w:rsidR="00FA0779" w:rsidRDefault="00FA0779" w:rsidP="00FA0779">
      <w:pPr>
        <w:pStyle w:val="TextoNormal"/>
      </w:pPr>
      <w:r>
        <w:t>1.º Suspender la ejecución de la Sentencia, de 24 de octubre de 1996, de la Sección Tercera de la Audiencia Provincíal de Madrid, tan sólo respecto a las penas privativas de libertad impuestas y sus accesorias legales y la de privación del permiso de</w:t>
      </w:r>
    </w:p>
    <w:p w:rsidR="00FA0779" w:rsidRDefault="00FA0779" w:rsidP="00FA0779">
      <w:pPr>
        <w:pStyle w:val="TextoNormal"/>
      </w:pPr>
      <w:r>
        <w:t>conducir.</w:t>
      </w:r>
    </w:p>
    <w:p w:rsidR="00FA0779" w:rsidRDefault="00FA0779" w:rsidP="00FA0779">
      <w:pPr>
        <w:pStyle w:val="TextoNormal"/>
      </w:pPr>
      <w:r>
        <w:t>2.º No suspender la ejecución de las indemnizaciones por responsabilidad civil ni el pago de las costas procesales impuestas.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6" w:name="AUTO_1997_153"/>
      <w:r>
        <w:lastRenderedPageBreak/>
        <w:t>AUTO 153/1997, de 19 de mayo de 1997</w:t>
      </w:r>
    </w:p>
    <w:bookmarkEnd w:id="86"/>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ECLI:ES:TC:1997:153A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4.233/1996.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con fecha 21 de noviembre de 1996 la representación procesal del demandante ha interpuesto recurso de amparo contra la resolución reseñada anteriormente. En la demanda se solicita también la suspensión de la ejecución de las resoluciones recurridas.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de que trae causa la demanda de amparo y que son relevantes para la resolución sobre la petición de suspensión, son, en síntesis, los siguientes: a) Formulada demanda de separación personal por la cónyuge del hoy recurrente, y formulada reconvención al contestar la misma, se dictó Sentencia en primera instancia, que entre otros, contenía el siguiente pronunciamiento, tras acordar la separación solicitada: </w:t>
      </w:r>
    </w:p>
    <w:p w:rsidR="00FA0779" w:rsidRDefault="00FA0779" w:rsidP="00FA0779">
      <w:pPr>
        <w:pStyle w:val="TextoNormal"/>
      </w:pPr>
      <w:r>
        <w:t>«1. La guarda y custodia de los hijos menores se atribuye a la madre, siendo compartida la patria potestad por ambos esposos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Como régimen de visitas a favor del padre se establecen los fines de semana alternos desde las veinte hora del viernes a las veinte horas del domingo, así como la mitad de las vacaciones de Navidad, Semana Santa-Pascua, Fallas y Verano ( ... ), con prohibición expresa al padre de hacer partícipes a sus hijos de sus creencias religiosas así como de la asistencia de los menores a cualquier tipo de acto que tenga relación con aquéllas ... » </w:t>
      </w:r>
    </w:p>
    <w:p w:rsidR="00FA0779" w:rsidRDefault="00FA0779" w:rsidP="00FA0779">
      <w:pPr>
        <w:pStyle w:val="TextoNormal"/>
      </w:pPr>
      <w:r>
        <w:t xml:space="preserve">b) Instada apelación invocando la cónyuge actora, aparte otros extremos, una mayor restricción de las facultades educativas y del derecho de visita del demandante de amparo, la Sentencia de la Audiencia, objeto formal del presente recurso de amparo, resolvió limitar el derecho de visita a los menores -de catorce y seis años- de las diez horas a las veinte horas en los sábados y domingos alternos, sin pernoctar en el domicilio paterno, y suprimiéndolo en todos los períodos vacacionales, por considerar que con estas mayores restricciones -en este caso temporales- del régimen de visitas se tutela «el derecho de los menores a que su formación, religiosa y moral, continúe desarrollándose en la forma que ambos progenitores decidieron de común acuerdo, precisando que no pueden ser sometidos los menores a dos tipos de formación moral, totalmente incompatibles entre sí [por lo que] debe imponerse una restricción superior a la establecida en la sentencia de instancia, de </w:t>
      </w:r>
      <w:r>
        <w:lastRenderedPageBreak/>
        <w:t xml:space="preserve">forma tal que no exista la posibilidad de asistencia y participación de los menores en el Movimiento [Gnóstico Cristiano Universal] (...)» y confirmando expresamente la prohibición educacional atinente a la formación religiosa acordada en primera instancia. </w:t>
      </w:r>
    </w:p>
    <w:p w:rsidR="00FA0779" w:rsidRDefault="00FA0779" w:rsidP="00FA0779">
      <w:pPr>
        <w:pStyle w:val="TextoNormal"/>
      </w:pPr>
      <w:r>
        <w:t>3. La demanda de amparo, que articula su queja en virtud del art. 44 LOTC, imputa a la resolución judicial recurrida la vulneración del art. 16.1 C.E. -derecho a la libertad ideológica y religiosa-. Tal vulneración se derivaría, según la argumentación del recurrente, de la ilícita restricción del derecho de visita, que no se funda en causa grave ni excepcional, por lo que solicita se anule la Sentencia de apelación y la prohibición educacional que se contiene en la Sentencia de instancia.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(Sala Segunda) mediante providencia de fecha 21 de marzo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FA0779" w:rsidRDefault="00FA0779" w:rsidP="00FA0779">
      <w:pPr>
        <w:pStyle w:val="TextoNormal"/>
      </w:pPr>
    </w:p>
    <w:p w:rsidR="00FA0779" w:rsidRDefault="00FA0779" w:rsidP="00FA0779">
      <w:pPr>
        <w:pStyle w:val="TextoNormal"/>
      </w:pPr>
      <w:r w:rsidRPr="00FA0779">
        <w:rPr>
          <w:rStyle w:val="NumeroAFNegritaCaracter"/>
        </w:rPr>
        <w:t>6</w:t>
      </w:r>
      <w:r>
        <w:t>. Mediante sendos escritos de fecha 27 de marzo y 8 de abril de 1997 el recurrente en amparo y el Ministerio Fiscal han presentado sus alegaciones en el incidente de suspensión, reiterando aquél lo expuesto en su escrito de demanda y manifestando éste, su oposición al otorgamiento de la suspensión instada de la Sentencia impugnada dado el interés general en el cumplimiento de las resoluciones judiciales, la falta de objetivación del perjuicio de la finalidad del amparo, ya que se produciría un simple retraso en la efectividad de sus derechos y, por último, al considerar que la suspensión supondría en este caso una anticipación del amparo, ya que el restablecimiento del régimen de visitas es precisamente lo que se pide en el súplico de la demanda de amparo, con mantenimiento de lo acordado en primera instancia.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00FA0779" w:rsidRDefault="00FA0779" w:rsidP="00FA0779">
      <w:pPr>
        <w:pStyle w:val="TextoNormal"/>
      </w:pPr>
      <w:r>
        <w:t xml:space="preserve">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w:t>
      </w:r>
      <w:r>
        <w:lastRenderedPageBreak/>
        <w:t>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00FA0779" w:rsidRDefault="00FA0779" w:rsidP="00FA0779">
      <w:pPr>
        <w:pStyle w:val="TextoNormal"/>
      </w:pPr>
      <w:r>
        <w:t>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00FA0779" w:rsidRDefault="00FA0779" w:rsidP="00FA0779">
      <w:pPr>
        <w:pStyle w:val="TextoNormal"/>
      </w:pPr>
    </w:p>
    <w:p w:rsidR="00FA0779" w:rsidRDefault="00FA0779" w:rsidP="00FA0779">
      <w:pPr>
        <w:pStyle w:val="TextoNormal"/>
      </w:pPr>
      <w:r w:rsidRPr="00FA0779">
        <w:rPr>
          <w:rStyle w:val="NumeroAFNegritaCaracter"/>
        </w:rPr>
        <w:t>2</w:t>
      </w:r>
      <w:r>
        <w:t>. En el caso presente la finalidad del amparo solicitado -según las alegaciones de la demanda- es restablecer el derecho a la libertad ideológica y religiosa del recurrente, del cual sería proyección la posibilidad de formar y educar a sus hijos menores en y según las creencias que comparte. Concretado así el objeto de la demanda de amparo no se aprecia que la no suspensión de las restricciones impuestas en el régimen de visitas perjudique grave o irremediablemente tal potestad, la cual, con las limitaciones establecidas en las Sentencias impugnadas, queda únicamente restringida para poner así fin al desacuerdo de ambos cónyuges -que aún comparten la patria potestad- sobre cómo han de ser educados sus descendientes menores de edad, pero no imposibilitada definitivamente, ya que el eventual otorgamiento del amparo solicitado permitiría la efectiva restauración de tal derecho.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denegar la suspensión solicitada.</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7" w:name="AUTO_1997_154"/>
      <w:r>
        <w:lastRenderedPageBreak/>
        <w:t>AUTO 154/1997, de 19 de mayo de 1997</w:t>
      </w:r>
    </w:p>
    <w:bookmarkEnd w:id="87"/>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ECLI:ES:TC:1997:154A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4.385/1996.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el Juzgado de Guardia de Madrid el 28 de noviembre de 1996, la Procuradora doña María Isabel Prieto Cabrera, en nombre y representación de don Félix Rodríguez Valdivia, y bajo la dirección letrada de don Pere Plantalech Dalmau, interpone recurso de amparo contra la Sentencia núm. 343/96, de 6 de noviembre de 1996, de la Sección Tercera (Penal) de la Audiencia Provincial de Girona recaída en el recurso de apelación 524/96 interpuesto contra la dictada el 26 de marzo de 1996 (núm. 100/96) por el Juzgado de lo Penal núm. 1 de la misma ciudad en la causa 417/95, por delito de abandono de familia (impago de prestaciones).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más relevantes que se desprenden de la demanda y documentos que la acompañan son, en síntesis, los siguientes: </w:t>
      </w:r>
    </w:p>
    <w:p w:rsidR="00FA0779" w:rsidRDefault="00FA0779" w:rsidP="00FA0779">
      <w:pPr>
        <w:pStyle w:val="TextoNormal"/>
      </w:pPr>
      <w:r>
        <w:t xml:space="preserve">a) El Ministerio Fiscal calificó definitivamente los hechos del hoy recurrente de amparo como constitutivos de un delito de abandono de familia, solicitando las penas correspondientes y las siguientes sumas en concepto de responsabilidad civil: 2.500.000 pesetas, como perjuicios materiales directos derivados del impago de la pensión durante cincuenta y siete meses; 220.000 pesetas, como perjuicios de orden moral, incrementada dicha suma en los intereses legales; todo ello con independencia del posible ejercicio de las acciones civiles que corresponden a la esposa del recurrente. </w:t>
      </w:r>
    </w:p>
    <w:p w:rsidR="00FA0779" w:rsidRDefault="00FA0779" w:rsidP="00FA0779">
      <w:pPr>
        <w:pStyle w:val="TextoNormal"/>
      </w:pPr>
      <w:r>
        <w:t xml:space="preserve">b) La Sentencia condenó al Sr. Rodríguez Valdivia como autor de un delito de abandono de familia a las penas de dos meses de arresto mayor, accesorias de suspensión de cargo público y derecho de sufragio durante el tiempo de condena, y multa de 200.000 pesetas, con veinte días de arresto sustitutorio en caso de impago, previa excusión de sus bienes, así como al pago de las costas procesales; añadiendo: «Sin que haya lugar a pronunciamientos civiles». </w:t>
      </w:r>
    </w:p>
    <w:p w:rsidR="00FA0779" w:rsidRDefault="00FA0779" w:rsidP="00FA0779">
      <w:pPr>
        <w:pStyle w:val="TextoNormal"/>
      </w:pPr>
      <w:r>
        <w:t xml:space="preserve">Este último contenido del fallo venía razonado extensamente en el fundamento cuarto de la Sentencia, poniéndose de relieve que la ausencia de condena civil venía justificada en diversos argumentos y que de esta manera se cambiaba el criterio anterior de los Juzgados de lo Penal de Girona. </w:t>
      </w:r>
    </w:p>
    <w:p w:rsidR="00FA0779" w:rsidRDefault="00FA0779" w:rsidP="00FA0779">
      <w:pPr>
        <w:pStyle w:val="TextoNormal"/>
      </w:pPr>
      <w:r>
        <w:t xml:space="preserve">e) El Ministerio Fiscal interpuso recurso de apelación contra la resolución del Juzgado de lo Penal, solicitando la condena al acusado en concepto de responsabilidad civil del </w:t>
      </w:r>
      <w:r>
        <w:lastRenderedPageBreak/>
        <w:t xml:space="preserve">pago de las cantidades adeudadas y de los perjuicios ocasionados por el impago que se encuentren acreditados. El ahora recurrente de amparo se opuso al recurso. </w:t>
      </w:r>
    </w:p>
    <w:p w:rsidR="00FA0779" w:rsidRDefault="00FA0779" w:rsidP="00FA0779">
      <w:pPr>
        <w:pStyle w:val="TextoNormal"/>
      </w:pPr>
      <w:r>
        <w:t xml:space="preserve">d) Habiendo entrado en vigor el nuevo C.P. de 1995, la Audiencia Provincial requirió a las partes que expresaran qué legislación, la derogada o la vigente, consideraban más favorable para el reo. Contestando el acusado que consideraba más beneficiosa la aplicación del C.P. derogado de 1973, aunque sin razonar por qué. </w:t>
      </w:r>
    </w:p>
    <w:p w:rsidR="00FA0779" w:rsidRDefault="00FA0779" w:rsidP="00FA0779">
      <w:pPr>
        <w:pStyle w:val="TextoNormal"/>
      </w:pPr>
      <w:r>
        <w:t xml:space="preserve">e) .,La Sentencia de la Audiencia consideró, sin embargo, que comparando las penas privativas de libertad y las de multa, resultaba más beneficioso el C.P. de 1995, añadiendo «Y ello aunque su aplicación obliga a contemplar la responsabilidad civil en el delito, lo cual no puede considerarse nunca como pena, sino reparación del daño cometido por el delito». </w:t>
      </w:r>
    </w:p>
    <w:p w:rsidR="00FA0779" w:rsidRDefault="00FA0779" w:rsidP="00FA0779">
      <w:pPr>
        <w:pStyle w:val="TextoNormal"/>
      </w:pPr>
      <w:r>
        <w:t>En consecuencia, se estimó el recurso de apelación y se modificó el fallo de la Sentencia de instancia, condenando al Sr. Rodríguez Valdivia a la pena de arresto de diez fines de semana y al pago de las costas procesales; y asimismo, en concepto de reparación del daño, al pago de 2.500.000 pesetas, en las que están comprendidas 220.000 pesetas que corresponden al daño de orden moral.</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solicitó la anulación de la Sentencia de la Audiencia Provincial de Girona por entender vulnerado el art. 25.1 de la C.E., que incorrectamente es considerado principio de seguridad jurídica, cuando lo correcto es denominarlo principio de legalidad penal en su vertiente de irretroactividad de la ley penal posterior. El recurrente considera que, habiendo él optado por la aplicación del C.P. de 1973, la Sentencia de apelación decidió aplicar el C.P. de 1995, lo que le perjudica por las siguientes razones: </w:t>
      </w:r>
    </w:p>
    <w:p w:rsidR="00FA0779" w:rsidRDefault="00FA0779" w:rsidP="00FA0779">
      <w:pPr>
        <w:pStyle w:val="TextoNormal"/>
      </w:pPr>
      <w:r>
        <w:t xml:space="preserve">a) La jurisprudencia había llegado ala conclusión de que las cantidades adeudadas por el delito de impago de pensión del antiguo art. 487 bis del C.P. de 1973 no constituían responsabilidad civil derivada de delito, sino que debían ser reclamadas ante el orden jurisdiccional civil. Mientras que el art. 227 del nuevo C.P. de 1995, relativo al mismo delito, contiene un apartado 3 que dispone rotundamente que «la reparación del daño procedente del delito comportará siempre el pago de las cuantías adeudadas». </w:t>
      </w:r>
    </w:p>
    <w:p w:rsidR="00FA0779" w:rsidRDefault="00FA0779" w:rsidP="00FA0779">
      <w:pPr>
        <w:pStyle w:val="TextoNormal"/>
      </w:pPr>
      <w:r>
        <w:t>b) El art. 93 del C.P. de 1973 establecía una serie de requisitos para la suspensión condicional de la pena, entre los que no se encontraba el de haber satisfecho las responsabilidades civiles. En tanto que el nuevo art. 81.3 del C.P. de 1995 exige precisamente ese requisito, entre otros, para conceder la suspensión de la ejecución de la pena. Puesto que el recurrente no tiene suficientes recursos económicos para hacer frente al pago de 2.500.000 pesetas, la aplicación del nuevo C.P. podría suponer la necesidad de cumplir la pena privativa de libertad.</w:t>
      </w:r>
    </w:p>
    <w:p w:rsidR="00FA0779" w:rsidRDefault="00FA0779" w:rsidP="00FA0779">
      <w:pPr>
        <w:pStyle w:val="TextoNormal"/>
      </w:pPr>
    </w:p>
    <w:p w:rsidR="00FA0779" w:rsidRDefault="00FA0779" w:rsidP="00FA0779">
      <w:pPr>
        <w:pStyle w:val="TextoNormal"/>
      </w:pPr>
      <w:r w:rsidRPr="00FA0779">
        <w:rPr>
          <w:rStyle w:val="NumeroAFNegritaCaracter"/>
        </w:rPr>
        <w:t>4</w:t>
      </w:r>
      <w:r>
        <w:t>. Mediante providencia de 17 de marzo de 1997, la Sección Tercera de este Tribunal acordó, de conformidad con lo dispuesto en el art. 50.3 de la LOTC, conceder al demandante de amparo y al Ministerio, Fiscal el plazo común de diez días para que formularan, con las aportaciones documentales que procedieran, las alegaciones que estimasen pertinentes en relación con la carencia manifiesta de contenido constitucional de la demanda [art. 50.1 c) de la LOTC].</w:t>
      </w:r>
    </w:p>
    <w:p w:rsidR="00FA0779" w:rsidRDefault="00FA0779" w:rsidP="00FA0779">
      <w:pPr>
        <w:pStyle w:val="TextoNormal"/>
      </w:pPr>
    </w:p>
    <w:p w:rsidR="00FA0779" w:rsidRDefault="00FA0779" w:rsidP="00FA0779">
      <w:pPr>
        <w:pStyle w:val="TextoNormal"/>
      </w:pPr>
      <w:r w:rsidRPr="00FA0779">
        <w:rPr>
          <w:rStyle w:val="NumeroAFNegritaCaracter"/>
        </w:rPr>
        <w:t>5</w:t>
      </w:r>
      <w:r>
        <w:t>. El recurrente evacuó el trámite de alegaciones por escrito de 31 de marzo de 1997, en el que se reiteran los razonamientos ya expuestos en la demanda, al entender que el Tribunal de apelación ha infringido el art. 25.1 de la C.E. en cuanto ha aplicado la legisla</w:t>
      </w:r>
      <w:r>
        <w:lastRenderedPageBreak/>
        <w:t>ción más desfavorable contenida en el C.P. de 1995. Al escrito acompañó una serie de documentos.</w:t>
      </w:r>
    </w:p>
    <w:p w:rsidR="00FA0779" w:rsidRDefault="00FA0779" w:rsidP="00FA0779">
      <w:pPr>
        <w:pStyle w:val="TextoNormal"/>
      </w:pPr>
    </w:p>
    <w:p w:rsidR="00FA0779" w:rsidRDefault="00FA0779" w:rsidP="00FA0779">
      <w:pPr>
        <w:pStyle w:val="TextoNormal"/>
      </w:pPr>
      <w:r w:rsidRPr="00FA0779">
        <w:rPr>
          <w:rStyle w:val="NumeroAFNegritaCaracter"/>
        </w:rPr>
        <w:t>6</w:t>
      </w:r>
      <w:r>
        <w:t>. El Fiscal ante el Tribunal Constitucional presentó sus alegaciones en escrito de 22 de abril de 1997, interesando la inadmisión de la demanda, por carecer ésta manifiestamente de contenido constitucional. El hecho de que haya existido una consulta al interesado y que éste haya solicitado la aplicación del C.P. de 1973, no constituye Un factor decisivo, pues los Tribunales deberán aplicar la legislación que consideren más favorable, tomando en consideración la sanción penal que se establece para cada supuesto. El razonamiento de la Audiencia es correcto y está razonablemente expuesto en cuanto a la sanción que se impone con cada una de las legislaciones. Evidentemente, los aspectos relativos a la responsabilidad civil no deben ser tomados en consideración a la hora de la comparación de las sanciones que pudieran imponerse de conformidad con cada una de ellas. Bien es cierto -continúa el Ministerio Fiscal- que podría entenderse que, rigiéndose la responsabilidad civil por las normas civiles, existe una irretroactividad que alcanza al nuevo precepto en relación con el antiguo en cuanto a la reparación que se contiene en la Sentencia. Sin embargo, según la legislación derogada tampoco existía una prohibición legal en cuanto al establecimiento de responsabilidad civil, por lo que conforme a la misma podría haber sido acordada, independientemente de la interpretación que sobre tal supuesto pudieran hacer los Tribunales. Ciertamente la Sentencia de apelación fija la responsabilidad civil mediante la aplicación del nuevo texto penal, pero sobre la base del razonamiento anterior la consecuencia podría haber sido la misma, y en consecuencia no se produjo vulneración de derecho alguno.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Si bien la demanda aduce erróneamente el motivo de vulneración de la seguridad jurídica por la Sentencia de apelación, que se entiende incardinado en el art. 25.1 de la C.E., es lo cierto que de las alegaciones contenidas en el recurso se deduce claramente que se considera lesionado el principio de irretroactividad de las leyes penales contenido a su vez en el de legalidad penal y sancionador administrativo, y enmarcado en dicho precepto constitucional.</w:t>
      </w:r>
    </w:p>
    <w:p w:rsidR="00FA0779" w:rsidRDefault="00FA0779" w:rsidP="00FA0779">
      <w:pPr>
        <w:pStyle w:val="TextoNormal"/>
      </w:pPr>
    </w:p>
    <w:p w:rsidR="00FA0779" w:rsidRDefault="00FA0779" w:rsidP="00FA0779">
      <w:pPr>
        <w:pStyle w:val="TextoNormal"/>
      </w:pPr>
      <w:r>
        <w:t>El actor alega que, habiendo manifestado en el trámite de audiencia que le resultaba más favorable la aplicación del C.P. de 1973, la Audiencia resolvió el recurso de apelación mediante la aplicación del C.P. de 1995, por entender este órgano judicial más benigna la penalidad que correspondía de conformidad con este texto legal, pero con imposición de la indemnización derivada de la responsabilidad civil, que el Tribunal de instancia no había considerado procedente imponer, ello tendría además consecuencias en cuanto a la posible suspensión de la ejecución de la pena, imposibilitando su disfrute. En definitiva, la Sentencia de la Audiencia habría vulnerado el art. 25.1 al aplicar retroactivamente la ley penal posterior que resulta perjudicial, en opinión del demandante.</w:t>
      </w:r>
    </w:p>
    <w:p w:rsidR="00FA0779" w:rsidRDefault="00FA0779" w:rsidP="00FA0779">
      <w:pPr>
        <w:pStyle w:val="TextoNormal"/>
      </w:pPr>
    </w:p>
    <w:p w:rsidR="00FA0779" w:rsidRDefault="00FA0779" w:rsidP="00FA0779">
      <w:pPr>
        <w:pStyle w:val="TextoNormal"/>
      </w:pPr>
      <w:r>
        <w:t>La Constitución garantiza la irretroactividad de las normas desfavorables en general en su art. 9.3 y de las penales en concreto, en su art. 25.1, que configura el principio como un derecho fundamental subjetivo para el ciudadano (STC 73/1982).</w:t>
      </w:r>
    </w:p>
    <w:p w:rsidR="00FA0779" w:rsidRDefault="00FA0779" w:rsidP="00FA0779">
      <w:pPr>
        <w:pStyle w:val="TextoNormal"/>
      </w:pPr>
    </w:p>
    <w:p w:rsidR="00FA0779" w:rsidRDefault="00FA0779" w:rsidP="00FA0779">
      <w:pPr>
        <w:pStyle w:val="TextoNormal"/>
      </w:pPr>
      <w:r>
        <w:lastRenderedPageBreak/>
        <w:t>Asimismo, el principio está contemplado en el art. 11.2 de la Declaración Universal de Derechos Humanos de 1948, en el art. 7.1 del Convenio Europeo para la Protección de los Derechos Humanos y de las Libertades Fundamentales de 1950, y en el art. 15.1 del Pacto Internacional de Derechos Civiles y Políticos de 1966.</w:t>
      </w:r>
    </w:p>
    <w:p w:rsidR="00FA0779" w:rsidRDefault="00FA0779" w:rsidP="00FA0779">
      <w:pPr>
        <w:pStyle w:val="TextoNormal"/>
      </w:pPr>
    </w:p>
    <w:p w:rsidR="00FA0779" w:rsidRDefault="00FA0779" w:rsidP="00FA0779">
      <w:pPr>
        <w:pStyle w:val="TextoNormal"/>
      </w:pPr>
      <w:r w:rsidRPr="00FA0779">
        <w:rPr>
          <w:rStyle w:val="NumeroAFNegritaCaracter"/>
        </w:rPr>
        <w:t>2</w:t>
      </w:r>
      <w:r>
        <w:t>. La irretroactividad garantizada constitucionalmente sólo despliega sus efectos cuando, desde una perspectiva fáctica, la nueva ley penal afecta a los presupuestos del delito o falta o de las penas o. medidas de seguridad, por lo que no rige para la responsabilidad civil derivada de delito, como hemos afirmado reiteradamente (SSTC 210/1991, 21/1993, 119/1993, 237/1993, 259/1993, 261/1993 y 58/1996; AATC 126/1982, 365/1990 y 151/1992). Y desde una perspectiva legal, se precisa que la ley penal posterior cambie o altere la regulación jurídico-penal preexistente en sentido perjudicial (ATC 470/1984), por lo que si se mantiene la identidad de las normas, el principio de irretroactividad no entra en juego (STC 21/1993).</w:t>
      </w:r>
    </w:p>
    <w:p w:rsidR="00FA0779" w:rsidRDefault="00FA0779" w:rsidP="00FA0779">
      <w:pPr>
        <w:pStyle w:val="TextoNormal"/>
      </w:pPr>
    </w:p>
    <w:p w:rsidR="00FA0779" w:rsidRDefault="00FA0779" w:rsidP="00FA0779">
      <w:pPr>
        <w:pStyle w:val="TextoNormal"/>
      </w:pPr>
      <w:r w:rsidRPr="00FA0779">
        <w:rPr>
          <w:rStyle w:val="NumeroAFNegritaCaracter"/>
        </w:rPr>
        <w:t>3</w:t>
      </w:r>
      <w:r>
        <w:t>. En el presente caso, el nuevo C.P. de 1995 entró en vigor cuando ya se había dictado la Sentencia de instancia y se estaba sustanciando el oportuno recurso de apelación. Consta que en la tramitación se le dio al recurrente el trámite de audiencia, preceptivo en virtud del art. 2.2 y de las Disposiciones transitorias segunda, cuarta y novena a) del mencionado Cuerpo punitivo. Ahora bien, ni la Constitución ni el C.P. de 1995 establecen que la opinión del reo sea vinculante para el Tribunal, que únicamente está vinculado con la irretroactividad in peius de la ley penal, lo que le obliga a inaplicar la ley penal posterior desfavorable, carácter éste que el Tribunal debe valorar según su criterio, pero con observancia de las garantías legales y constitucionales.  El recurrente no alega la vulneración de estas últimas, por lo que desde este ángulo no se aprecia vulneración alguna del derecho fundamental a la irretroactividad contenido en el art. 25.1 C.E.</w:t>
      </w:r>
    </w:p>
    <w:p w:rsidR="00FA0779" w:rsidRDefault="00FA0779" w:rsidP="00FA0779">
      <w:pPr>
        <w:pStyle w:val="TextoNormal"/>
      </w:pPr>
      <w:r>
        <w:t>Por lo demás, la demanda considera que el principio de irretroactividad comprendido en el mencionado precepto alcanza a las normas del C.P. que regulan la responsabilidad civil derivada de delito, lo que como se ha indicado en el fundamento anterior no es conforme con lo declarado en nuestra doctrina de forma reiterada.</w:t>
      </w:r>
    </w:p>
    <w:p w:rsidR="00FA0779" w:rsidRDefault="00FA0779" w:rsidP="00FA0779">
      <w:pPr>
        <w:pStyle w:val="TextoNormal"/>
      </w:pPr>
      <w:r>
        <w:t>Además, como razona el Ministerio Fiscal, tampoco se cumple el presupuesto legal de que la nueva ley haya modificado la regulación jurídica anterior, pues si bien es cierto que el precepto relativo al impago de prestaciones en el nuevo C.P. contiene una regla expresa relativa a la responsabilidad civil (art. 227.3), en la legislación derogada tampoco existía una prohibición legal en cuanto al establecimiento de tal responsabilidad (art. 487 bis C.P. 1973).  De modo que la consecuencia jurídica indemnizatoria establecida por la Audiencia Provincial de Girona, también podría haber sido impuesta al resolver la apelación interpuesta por el Ministerio Fiscal, en aplicación del C.P.  derogado.</w:t>
      </w:r>
    </w:p>
    <w:p w:rsidR="00FA0779" w:rsidRDefault="00FA0779" w:rsidP="00FA0779">
      <w:pPr>
        <w:pStyle w:val="TextoNormal"/>
      </w:pPr>
      <w:r>
        <w:t>Se confirma así la inicial apreciación, puesta de manifiesto en nuestra providencia del 17 de marzo pasado, de que la demanda carece manifiestamente de contenido constitucional, al no haber vulnerado el derecho fundamental a la irretroactividad penal la Sentencia de apelación de 6 de noviembre de 1996, dictada por la Sección Tercera de la Audiencia Provincial de Girona.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anteriormente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8" w:name="AUTO_1997_155"/>
      <w:r>
        <w:lastRenderedPageBreak/>
        <w:t>AUTO 155/1997, de 19 de mayo de 1997</w:t>
      </w:r>
    </w:p>
    <w:bookmarkEnd w:id="88"/>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ECLI:ES:TC:1997:155A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condicionada de la ejecución del acto que origina el recurso de amparo 4.495/1996.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presentado en el Juzgado de Guardia el 5 de diciembre de 1996 -registrado en este Tribunal el siguiente día 10- la Procuradora de los Tribunales doña Alicia Casado Deleito, en nombre y representación de don Amador González Vidal, interpuso recurso de amparo contra la Sentencia de la Sala Primera del Tribunal Supremo de 13 de noviembre de 1996, desestimatoria del recurso de casación interpuesto contra la dictada por la Sección Vigésima de la Audiencia Provincial de Madrid en 4 de diciembre de 1992, en procedimiento sobre indemnización de daños y perjuicios.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presentada se basa en los siguientes hechos: </w:t>
      </w:r>
    </w:p>
    <w:p w:rsidR="00FA0779" w:rsidRDefault="00FA0779" w:rsidP="00FA0779">
      <w:pPr>
        <w:pStyle w:val="TextoNormal"/>
      </w:pPr>
      <w:r>
        <w:t xml:space="preserve">a) La entonces Magistratura Provincial de Trabajo núm. 13 de Madrid en Sentencia de 27 de julio de 1988 declaró la improcedencia del despido del ahora recurrente, con las consecuencias legales inherentes a tal declaración. Recurrida en casación por el demandado, la Sala Cuarta del Tribunal Supremo en Sentencia, de 23 de enero de 1990, estimó el recurso y revocó la de instancia sin entrar en el fondo del asunto, por la incompetencia del orden social de la jurisdicción para conocer de la reclamación formulada En virtud de lo dispuesto en el art. 227 de la L.P.L. de 1980 la demandada abonó al actor la suma de 5.960.715 pesetas en concepto de retribución devengada durante la tramitación del recurso. </w:t>
      </w:r>
    </w:p>
    <w:p w:rsidR="00FA0779" w:rsidRDefault="00FA0779" w:rsidP="00FA0779">
      <w:pPr>
        <w:pStyle w:val="TextoNormal"/>
      </w:pPr>
      <w:r>
        <w:t xml:space="preserve">b) En vía civil el demandado reclamó al actor los daños y perjuicios causados, en concreto el reintegro de los salarios de tramitación indebidamente percibidos, los gastos derivados del aval bancario constituido para formalizar la casación (1.028.363 pesetas) y de asesoramiento y defensa jurídica, más los intereses legales. </w:t>
      </w:r>
    </w:p>
    <w:p w:rsidR="00FA0779" w:rsidRDefault="00FA0779" w:rsidP="00FA0779">
      <w:pPr>
        <w:pStyle w:val="TextoNormal"/>
      </w:pPr>
      <w:r>
        <w:t xml:space="preserve">El Juzgado de Primera Instancia núm. 1 de Alcobendas, en Sentencia de 4 de septiembre de 1991, desestimó la demanda. Recurrida en apelación, la Sección Vigésima de la Audiencia Provincial de Madrid en Sentencia de 4 de diciembre de 1992 estimó parcialmente el recurso y revocó la de instancia, condenando a satisfacer la cantidad correspondiente a los salarios de tramitación del recurso. El posterior recurso de casación fue desestimado por Sentencia de la Sala Primera del Tribunal Supremo de 13 de noviembre de 1996. </w:t>
      </w:r>
    </w:p>
    <w:p w:rsidR="00FA0779" w:rsidRDefault="00FA0779" w:rsidP="00FA0779">
      <w:pPr>
        <w:pStyle w:val="TextoNormal"/>
      </w:pPr>
      <w:r>
        <w:lastRenderedPageBreak/>
        <w:t>«... mientras estuvieron vigentes -razonaba la Sala- el art. 227 de la L.P.L. y el Real Decreto 924/1982, de 17 de abril, "las empresas sólo podían resarcirse con cargo al Estado de los salarios abonados durante la tramitación de los recursos cuando el despido se declaraba improcedente en la primera instancia y válido en el siguiente grado jurisdiccional, circunstancias que no se han dado en el juicio seguido..."» (fundamento de Derecho segundo).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formalmente se dirige contra la expresada Sentencia del Tribunal Supremo, a la que imputa haber vulnerado el art. 14 C.E. y «por repercusión» el art. 24.1 C.E. Respecto de la igualdad en la aplicación de la ley se argumenta que la resolución impugnada contradice abiertamente el criterio sostenido por la Sala Cuarta del Tribunal Supremo (Sentencias de 6 de abril y 4 de mayo de 1990, 17 de julio de 1993 y 6 de octubre de 1995; las dos últimas citaban además la STC 234/1992) e incluso por el propio Tribunal Constitucional a propósito del art. 227 de la L.P.L. de 1980. Con independencia de la división del trabajo entre las Salas del Tribunal Supremo, es un único órgano jurisdiccional (arts. 123.1 C.E. y 53 de la L.O.P.J.), pero la Sala Primera se desmarca totalmente de tan clara postura y sobre la base de la Sentencia de 25 de mayo de 1992 llega a una solución no sólo errónea sino injusta y desigual, sin afrontar siquiera el estudio o análisis del art. 227 de la L.P.L. Los salarios de sustanciación del recurso corresponden y son característica consecuencia de un proceso autónomo, supuesta una declaración de condena por despido improcedente o nulo. La percepción de cantidades equivalentes al salario sin servirse a cambio de la actividad del trabajador despedido es una opción libérrimamente asumida por el deudor. </w:t>
      </w:r>
    </w:p>
    <w:p w:rsidR="00FA0779" w:rsidRDefault="00FA0779" w:rsidP="00FA0779">
      <w:pPr>
        <w:pStyle w:val="TextoNormal"/>
      </w:pPr>
      <w:r>
        <w:t>La Sentencia de un orden jurisdiccional que, además de discrepar del sentido del art. 227 de la L.P.L. -único precepto básico en este asunto-, contradice y priva de lo judicialmente otorgado por otro orden jurisdiccional, está cometiendo un atentado rotundo al principio de tutela judicial efectiva.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en providencia de 21 de marzo de 1997 acordó admitir a trámite la demanda presentada y, en aplicación de lo dispuesto en el art. 51 de la LOTC, interesar de los órganos judiciales intervinientes la remisión de certificación o fotocopia adverada de las actuaciones, así como la práctica de los correspondientes emplazamientos</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En proveído de la misma fecha la Sección acordó incoar la oportuna pieza para la tramitación del incidente de suspensión y, conforme determina el art. 56 de la LOTC, conceder a la parte recurrente y al Ministerio Fiscal el plazo común de tres días para alegar lo que estimasen pertinente sobre dicha suspensión. </w:t>
      </w:r>
    </w:p>
    <w:p w:rsidR="00FA0779" w:rsidRDefault="00FA0779" w:rsidP="00FA0779">
      <w:pPr>
        <w:pStyle w:val="TextoNormal"/>
      </w:pPr>
      <w:r>
        <w:t>Cumplimentando el trámite conferido la representación procesal del demandante de amparo solicitó la suspensión de la ejecución de la Sentencia impugnada. La cantidad objeto de condena, que se ha convertido hoy por el imparable devengo de intereses en la 10.679.050 pesetas, fue percibida en virtud de una resolución dictada por el orden jurisdiccional social como consecuencia de una obligación legalmente impuesta a todo recurrente que no ostente la condición de trabajador, y tiene su origen en la separación profesional y económica del despacho del demandado en el que el actor había trabajado durante dieciséis años como Ahogado, lo que se tradujo en una considerable merma de sus ingresos profesionales. La ejecución supondría, pues, el embargo, evalúo y venta de su vivienda y la subsecuente transmisión a terceros de buena fe y, por tanto, debe acordarse la suspen</w:t>
      </w:r>
      <w:r>
        <w:lastRenderedPageBreak/>
        <w:t xml:space="preserve">sión como hizo el ATC 59/1996 en un caso similar Tampoco se derivarían de la suspensión perjuicios para el ejecutante, porque la cantidad líquida determinada a su favor sigue devengando intereses, mientras el Tribunal no se pronuncie en contra; la solvencia inmobiliaria del ejecutado absorbería la cantidad, si se desestimara en amparo; y no existe peligro alguno de disposición por parte del actor que pudiera hacer ilusoria la ejecución de la Sentencia. </w:t>
      </w:r>
    </w:p>
    <w:p w:rsidR="00FA0779" w:rsidRDefault="00FA0779" w:rsidP="00FA0779">
      <w:pPr>
        <w:pStyle w:val="TextoNormal"/>
      </w:pPr>
      <w:r>
        <w:t>Por su parte, el Fiscal ante el Tribunal Constitucional interesó la denegación de suspensión. La regla general en relación con las resoluciones de contenido económico es la de no acordar la suspensión, a no ser que pudiera ocasionar daños irreparables que en todo caso habrán de ser acreditados (AATC 235/1995 y 118/1996). Las razones que se esgrimen en el otrosí de la demanda no poseen fuerza suficiente para apartarse de este criterio, máxime teniendo en cuenta que, al ser el perjuicio económico eventualmente resarcible, no se causa daño irreparable en el patrimonio del demandante de amparo.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de la LOTC impone la suspensión de la ejecución del acto impugnado en amparo cuando la ejecución comporte un perjuicio que haría perder al recurso su finalidad, pero permite también denegar la suspensión cuando ocasione perturbación grave de los intereses generales y de los derechos fundamentales o libertades públicas de un tercero.</w:t>
      </w:r>
    </w:p>
    <w:p w:rsidR="00FA0779" w:rsidRDefault="00FA0779" w:rsidP="00FA0779">
      <w:pPr>
        <w:pStyle w:val="TextoNormal"/>
      </w:pPr>
      <w:r>
        <w:t>Reiteradamente hemos declarado que si versa sobre resoluciones judiciales concurre en principio un interés general en preservar su cumplimiento y eficacia, salvo que la decisión no suspensiva acarree un quebranto irreparable o difícilmente reparable, circunstancia que incumbe acreditar al recurrente.  En concreto, no procede acordar la suspensión de 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(por todos, ATC 9/1996).</w:t>
      </w:r>
    </w:p>
    <w:p w:rsidR="00FA0779" w:rsidRDefault="00FA0779" w:rsidP="00FA0779">
      <w:pPr>
        <w:pStyle w:val="TextoNormal"/>
      </w:pPr>
    </w:p>
    <w:p w:rsidR="00FA0779" w:rsidRDefault="00FA0779" w:rsidP="00FA0779">
      <w:pPr>
        <w:pStyle w:val="TextoNormal"/>
      </w:pPr>
      <w:r w:rsidRPr="00FA0779">
        <w:rPr>
          <w:rStyle w:val="NumeroAFNegritaCaracter"/>
        </w:rPr>
        <w:t>2</w:t>
      </w:r>
      <w:r>
        <w:t>. En el presente caso la resolución impugnada tiene un contenido exclusivamente económico y no se acredita que por su importe la ejecución ocasione un daño de difícil reparación, pues el recurrente lo alega sin refrendo probatorio alguno. Ciertamente hemos considerado difícilmente reparable el perjuicio resultante de la ejecución que desemboca en la definitiva transmisión de un bien a un tercero (AATC 360/1983, 565/1986, 52/1989 y 59/1996), pero tal circunstancia no concurre en el momento presente.</w:t>
      </w:r>
    </w:p>
    <w:p w:rsidR="00FA0779" w:rsidRDefault="00FA0779" w:rsidP="00FA0779">
      <w:pPr>
        <w:pStyle w:val="TextoNormal"/>
      </w:pPr>
      <w:r>
        <w:t>No obstante, la suma a cuyo pago ha sido condenado el recurrente la percibió en virtud de resolución del orden jurisdiccional social que aplicó lo dispuesto en el art. 227 de la L.P.L. de 1980, y la pretensión de amparo, de ser estimada, afectaría al fondo de la cuestión litigiosa en la medida en que plantea el carácter autónomo del procedimiento de ejecución provisional.  Extremos éstos que pueden aconsejar, si el órgano judicial lo estima procedente, a la constitución por el ejecutante de caución suficiente para responder de los perjuicios que pudieran originarse.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denegar la suspensión de la ejecución de la Sentencia recurrida, sin perjuicio de que, si el órgano judicial lo estima pertinente, acuerde que el ejecutante constituya en la forma y cuantía que aquél determine,</w:t>
      </w:r>
    </w:p>
    <w:p w:rsidR="00FA0779" w:rsidRDefault="00FA0779" w:rsidP="00FA0779">
      <w:pPr>
        <w:pStyle w:val="TextoNormal"/>
      </w:pPr>
      <w:r>
        <w:t>caución suficiente para responder del reintegro y de los daños y perjuicios que pudieran originarse por la ejecución.</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89" w:name="AUTO_1997_156"/>
      <w:r>
        <w:lastRenderedPageBreak/>
        <w:t>AUTO 156/1997, de 19 de mayo de 1997</w:t>
      </w:r>
    </w:p>
    <w:bookmarkEnd w:id="89"/>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ECLI:ES:TC:1997:156A</w:t>
      </w:r>
    </w:p>
    <w:p w:rsidR="00FA0779" w:rsidRDefault="00FA0779" w:rsidP="00FA0779">
      <w:pPr>
        <w:pStyle w:val="SntesisDescriptiva"/>
      </w:pPr>
    </w:p>
    <w:p w:rsidR="00FA0779" w:rsidRDefault="00FA0779" w:rsidP="00FA0779">
      <w:pPr>
        <w:pStyle w:val="SntesisDescriptiva"/>
      </w:pPr>
      <w:r>
        <w:t>Excms. Srs. don Álvaro Rodríguez Bereijo,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condicionada de la ejecución del acto que origina el recurso de amparo 4.538/1996.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presentado en el Juzgado de Guardia el 11 de diciembre de 1996 y registrado en este Tribunal dos días después, el Procurador de los Tribunales don Luciano Rosch Nadal, en nombre y representación de don Agustín Jover Moreno, interpuso recurso de amparo contra la Sentencia de la Sección Segunda de la Audiencia Provincial de Sevilla de 28 de octubre de 1996, dictada en apelación en un juicio de cognición sobre resolución de un contrato de arrendamiento urbano por causa de necesidad.</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basa en los siguientes hechos: </w:t>
      </w:r>
    </w:p>
    <w:p w:rsidR="00FA0779" w:rsidRDefault="00FA0779" w:rsidP="00FA0779">
      <w:pPr>
        <w:pStyle w:val="TextoNormal"/>
      </w:pPr>
      <w:r>
        <w:t xml:space="preserve">a) Doña María del Carmen Rus Velázquez presentó contra el actual recurrente en amparo demanda para la resolución del contrato de arrendamiento existente entre ambos desde el 1 de abril de 1961 en relación con un piso sito en la ciudad de Sevilla, cuyo conocimiento correspondió al Juzgado de Primera Instancia núm. 19 de Sevilla (juicio núm. 1.049/95). La acción de desahucio se fundamentó en la causa 11 del art. 114, de la Ley de Arrendamientos Urbanos de 1964 (en adelante, L.A.U.), en relación con el art. 62 de la misma, y, en concreto, en la necesidad que del piso tenía una hija de la arrendataria, debido a su reingreso en el servicio activo como funcionaria de la Diputación Provincial de Sevilla, producido, a su vez, «tanto por motivos económicos como por expirar el período de excedencia que tenía concedido por el citado organismo». Iguales razones se alegaron en el requerimiento notarial previo al ejercicio de la acción. </w:t>
      </w:r>
    </w:p>
    <w:p w:rsidR="00FA0779" w:rsidRDefault="00FA0779" w:rsidP="00FA0779">
      <w:pPr>
        <w:pStyle w:val="TextoNormal"/>
      </w:pPr>
      <w:r>
        <w:t xml:space="preserve">b) En la contestación a la demanda, el actual recurrente en amparo alegó la artificiosidad de la causa invocada por la demandante para impedir la prórroga forzosa del contrato. </w:t>
      </w:r>
    </w:p>
    <w:p w:rsidR="00FA0779" w:rsidRDefault="00FA0779" w:rsidP="00FA0779">
      <w:pPr>
        <w:pStyle w:val="TextoNormal"/>
      </w:pPr>
      <w:r>
        <w:t xml:space="preserve">Y en el acto del juicio, y recibido el pleito a prueba, se practicaron las propuestas por las partes, a excepción de la documental pública propuesta por el hoy recurrente en amparo, que fue declarada impertinente. Contra su inadmisión se interpuso recurso de reposición, con invocación del art. 24.2 C.E., que fue desestimado, dejándose constancia en el acta de la oportuna protesta a los efectos de una eventual solicitud de su práctica en la segunda instancia. </w:t>
      </w:r>
    </w:p>
    <w:p w:rsidR="00FA0779" w:rsidRDefault="00FA0779" w:rsidP="00FA0779">
      <w:pPr>
        <w:pStyle w:val="TextoNormal"/>
      </w:pPr>
      <w:r>
        <w:t>c) Finalmente, el Juzgado de Primera Instancia núm. 19 de Sevilla dictó Sentencia, con fecha de 9 de julio de 1996, por la que, estimando íntegramente la demanda, declaró re</w:t>
      </w:r>
      <w:r>
        <w:lastRenderedPageBreak/>
        <w:t xml:space="preserve">suelto el contrato de arrendamiento y condenó al hoy recurrente en amparo a desalojar la vivienda y dejarla libre y a disposición de la actora, bajo apercibimiento de lanzamiento. </w:t>
      </w:r>
    </w:p>
    <w:p w:rsidR="00FA0779" w:rsidRDefault="00FA0779" w:rsidP="00FA0779">
      <w:pPr>
        <w:pStyle w:val="TextoNormal"/>
      </w:pPr>
      <w:r>
        <w:t>d) Contra dicha Sentencia interpuso recurso de apelación, con solicitud expresa de recibimiento del pleito a prueba en la segunda instancia (rollo de apelación núm. 2.805/96). Sin pronunciarse sobre dicha solicitud, la Sección Segunda de la Audiencia Provincial de Sevilla dictó Sentencia, con fecha de 28 de octubre de 1996 (notificada al hoy recurrente el 20 de noviembre), desestimatoria del recurso y confirmatoria de la Sentencia apelada.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Entiende el recurrente que la Audiencia Provincial de Sevilla ha vulnerado sus derechos a la tutela judicial efectiva con prohibición de indefensión (art. 24.1 C.E.), a la defensa y a la utilización de los medios de prueba pertinentes para la misma (art. 24.2 C.E.), al dictar Sentencia directamente sin pronunciarse previamente sobre la solicitud de recibimiento a prueba en la segunda instancia. </w:t>
      </w:r>
    </w:p>
    <w:p w:rsidR="00FA0779" w:rsidRDefault="00FA0779" w:rsidP="00FA0779">
      <w:pPr>
        <w:pStyle w:val="TextoNormal"/>
      </w:pPr>
      <w:r>
        <w:t xml:space="preserve">La prueba propuesta fue la documental pública inadmitida en la primera instancia, que, entre otras cosas, incluía la petición de que se librara oficio al Presidente de la Diputación Provincial de Sevilla para que emitiera certificación relativa, entre otros extremos, al tiempo de permanencia en servicio activo y de baja la hija de la actora. Con toda la prueba documental se pretendía demostrar que el único motivo que había llevado a la hija de la actora a solicitar el reingreso en la Diputación Provincial era la extinción del contrato de arrendamiento, y no ningún motivo económico ni de proximidad del fin de la excedencia. </w:t>
      </w:r>
    </w:p>
    <w:p w:rsidR="00FA0779" w:rsidRDefault="00FA0779" w:rsidP="00FA0779">
      <w:pPr>
        <w:pStyle w:val="TextoNormal"/>
      </w:pPr>
      <w:r>
        <w:t xml:space="preserve">Para justificar la indefensión sufrida, alega el recurrente que la Sentencia impugnada (en su fundamento jurídico 1.º) señala que «... incumbía al demandado acreditar la artificiosidad de la causa esgrimida ... », que sería precisamente lo que le fue Impedido con la falta de pronunciamiento sobre la petición de recibimiento a prueba. </w:t>
      </w:r>
    </w:p>
    <w:p w:rsidR="00FA0779" w:rsidRDefault="00FA0779" w:rsidP="00FA0779">
      <w:pPr>
        <w:pStyle w:val="TextoNormal"/>
      </w:pPr>
      <w:r>
        <w:t>Por todo ello se solicita que se declare la nulidad de la Sentencia impugnada y se ordene la retroacción de las actuaciones al momento inmediatamente anterior para que se resuelva sobre la admisión de la prueba documental pública propuesta en el recurso de apelación.</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17 de febrero de 1997 tuvo entrada en el Registro de este Tribunal un escrito de la representación procesal del recurrente, presentado en el Juzgado de Guardia el 14 de febrero de 1997, mediante el cual se solicitaba la suspensión de la ejecución de la Sentencia impugnada. </w:t>
      </w:r>
    </w:p>
    <w:p w:rsidR="00FA0779" w:rsidRDefault="00FA0779" w:rsidP="00FA0779">
      <w:pPr>
        <w:pStyle w:val="TextoNormal"/>
      </w:pPr>
      <w:r>
        <w:t xml:space="preserve">Expone, en primer lugar, que, a instancias de la parte actora, el Juzgado de Primera Instancia núm. 19 de Sevilla dictó el 21 de enero de 1997 una providencia decretando la ejecución de la Sentencia y requiriendo al actual demandante de amparo para que desalojara la vivienda en el plazo de ocho días, con apercibimiento de que en caso contrario sería lanzado sin prórroga alguna. </w:t>
      </w:r>
    </w:p>
    <w:p w:rsidR="00FA0779" w:rsidRDefault="00FA0779" w:rsidP="00FA0779">
      <w:pPr>
        <w:pStyle w:val="TextoNormal"/>
      </w:pPr>
      <w:r>
        <w:t xml:space="preserve">Alega, seguidamente, en apoyo de su solicitud, que, de no decretarse la suspensión de la Sentencia y producirse el lanzamiento, el recurso de amparo perdería su finalidad. </w:t>
      </w:r>
    </w:p>
    <w:p w:rsidR="00FA0779" w:rsidRDefault="00FA0779" w:rsidP="00FA0779">
      <w:pPr>
        <w:pStyle w:val="TextoNormal"/>
      </w:pPr>
      <w:r>
        <w:t>Solicita, además, que la suspensión se acuerde sin afianzamiento por cuanto el recurrente es Procurador de los Tribunales en Sevilla, de edad avanzada, no tiene ingresos por la procuraduría, y únicamente vive de la modesta pensión que percibe por haber sido empleado del Instituto de Meteorología, careciendo de patrimonio.</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20 de febrero de 1997, la Sección Segunda de este Tribunal tuvo por recibido el precedente. escrito, y acordó, con carácter previo a la decisión sobre admi</w:t>
      </w:r>
      <w:r>
        <w:lastRenderedPageBreak/>
        <w:t>sión del recurso y la petición de suspensión, y de conformidad con lo previsto en el art. 88 LOTC, requerir atentamente a la Sección Segunda de la Audiencia Provincial de Sevilla para la remisión de testimonio del rollo de apelación núm. 2.805/96.</w:t>
      </w:r>
    </w:p>
    <w:p w:rsidR="00FA0779" w:rsidRDefault="00FA0779" w:rsidP="00FA0779">
      <w:pPr>
        <w:pStyle w:val="TextoNormal"/>
      </w:pPr>
    </w:p>
    <w:p w:rsidR="00FA0779" w:rsidRDefault="00FA0779" w:rsidP="00FA0779">
      <w:pPr>
        <w:pStyle w:val="TextoNormal"/>
      </w:pPr>
      <w:r w:rsidRPr="00FA0779">
        <w:rPr>
          <w:rStyle w:val="NumeroAFNegritaCaracter"/>
        </w:rPr>
        <w:t>6</w:t>
      </w:r>
      <w:r>
        <w:t>. El 28 de abril de 1997 tuvo entrada en el Registro de este Tribunal un nuevo escrito de la representación procesal del recurrente, presentado en el Juzgado de Guardia el 25 de abril de 1997, por el cual se pone en conocimiento de este Tribunal la existencia de una diligencia de ordenación de la Secretaría del Servicio Común de Notificaciones y Embargos por la que se señala para la práctica de la diligencia de lanzamiento el próximo día 5 de mayo de 1997 a las nueve horas de la mañana, y se solicita se resuelva sobre la admisión del presente recurso de amparo.</w:t>
      </w:r>
    </w:p>
    <w:p w:rsidR="00FA0779" w:rsidRDefault="00FA0779" w:rsidP="00FA0779">
      <w:pPr>
        <w:pStyle w:val="TextoNormal"/>
      </w:pPr>
    </w:p>
    <w:p w:rsidR="00FA0779" w:rsidRDefault="00FA0779" w:rsidP="00FA0779">
      <w:pPr>
        <w:pStyle w:val="TextoNormal"/>
      </w:pPr>
      <w:r w:rsidRPr="00FA0779">
        <w:rPr>
          <w:rStyle w:val="NumeroAFNegritaCaracter"/>
        </w:rPr>
        <w:t>7</w:t>
      </w:r>
      <w:r>
        <w:t>. Por providencia de 30 de abril de 1997, la Sección Segunda acordó admitir a trámite la demanda de amparo, sin perjuicio de lo que resulte de los antecedentes; a tenor de lo dispuesto en el art. 51 LOTC, requerir atentamente al Juzgado de Primera Instancia núm. 19 de Sevilla y a la Sección Segunda de la Audiencia Provincial de Sevilla para la Comisión de testimonio del juicio de cognición núm. 1.049/95 y del rollo de apelación núm. 2.805/96, respectivamente, interesándose al propio tiempo el emplazamiento de cuantos fueron parte en el procedimiento judicial, excepto el recurrente en amparo, para su posible comparecencia en el presente proceso constitucional; y, conforme a lo solicitado por la parte actora, formar la correspondiente pieza separada de suspensión.</w:t>
      </w:r>
    </w:p>
    <w:p w:rsidR="00FA0779" w:rsidRDefault="00FA0779" w:rsidP="00FA0779">
      <w:pPr>
        <w:pStyle w:val="TextoNormal"/>
      </w:pPr>
    </w:p>
    <w:p w:rsidR="00FA0779" w:rsidRDefault="00FA0779" w:rsidP="00FA0779">
      <w:pPr>
        <w:pStyle w:val="TextoNormal"/>
      </w:pPr>
      <w:r w:rsidRPr="00FA0779">
        <w:rPr>
          <w:rStyle w:val="NumeroAFNegritaCaracter"/>
        </w:rPr>
        <w:t>8</w:t>
      </w:r>
      <w:r>
        <w:t>.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9</w:t>
      </w:r>
      <w:r>
        <w:t>. Mediante escrito registrado el 8 de mayo de 1997, el Ministerio Fiscal entiende que procede otorgar la suspensión solicitada, por ser el criterio seguido en casos semejantes por este Tribunal (AATC 314/1994, 276/1995 y 143/1996). En efecto, si el amparo llegara a otorgarse y el desplazamiento de la posesión de la vivienda se materializara por el lanzamiento, su eventual recuperación por el recurrente en la nueva Sentencia que se dictara originaría una dificultosa reparabilidad del perjuicio causado. De otro lado, la suspensión sólo originaría un retraso en la solución del litigio que quedará definitivamente zanjado cuando este Tribunal dicte Sentencia.</w:t>
      </w:r>
    </w:p>
    <w:p w:rsidR="00FA0779" w:rsidRDefault="00FA0779" w:rsidP="00FA0779">
      <w:pPr>
        <w:pStyle w:val="TextoNormal"/>
      </w:pPr>
    </w:p>
    <w:p w:rsidR="00FA0779" w:rsidRDefault="00FA0779" w:rsidP="00FA0779">
      <w:pPr>
        <w:pStyle w:val="TextoNormal"/>
      </w:pPr>
      <w:r w:rsidRPr="00FA0779">
        <w:rPr>
          <w:rStyle w:val="NumeroAFNegritaCaracter"/>
        </w:rPr>
        <w:t>10</w:t>
      </w:r>
      <w:r>
        <w:t xml:space="preserve">. Mediante escrito presentado en el Juzgado de Guardia el 6 de mayo de 1997 y registrado en este Tribunal dos días después, la representación del recurrente reiteró su solicitud de suspensión de la ejecución de la Sentencia recurrida. </w:t>
      </w:r>
    </w:p>
    <w:p w:rsidR="00FA0779" w:rsidRDefault="00FA0779" w:rsidP="00FA0779">
      <w:pPr>
        <w:pStyle w:val="TextoNormal"/>
      </w:pPr>
      <w:r>
        <w:t xml:space="preserve">Recuerda, en primer lugar, la existencia de la providencia del Juzgado de Primera Instancia núm. 19 de Sevilla de 21 de enero de 1997, por la que se requiere el desalojo de la vivienda. </w:t>
      </w:r>
    </w:p>
    <w:p w:rsidR="00FA0779" w:rsidRDefault="00FA0779" w:rsidP="00FA0779">
      <w:pPr>
        <w:pStyle w:val="TextoNormal"/>
      </w:pPr>
      <w:r>
        <w:t xml:space="preserve">Dicho esto, entiende que procede otorgar la suspensión solicitada, por cuanto de no accederse a la misma el presente recurso perdería su finalidad. De nada serviría, señala, la estimación de la demanda de amparo, e incluso que el resultado de la prueba propuesta y no practicada le fuese favorable y se dictara Sentencia revocatoria de la de primera instancia, declarando no haber lugar al desahucio, pues una vez lanzado ya de la vivienda, el </w:t>
      </w:r>
      <w:r>
        <w:lastRenderedPageBreak/>
        <w:t xml:space="preserve">recurrente nunca podría volver a habitarla de nuevo, con lo que se le causaría un daño irreparable. Así, en diversas ocasiones (AATC 395/1983, 812/1992 y de 17 de enero y 16 de febrero de 1994) este Tribunal ha proclamado la procedencia de la suspensión de Sentencias de condena a prestaciones de hacer, como las de desahucio, pues el lanzamiento del arrendatario y la posibilidad de entrada de un nuevo ocupante hacen imposible su vuelta. </w:t>
      </w:r>
    </w:p>
    <w:p w:rsidR="00FA0779" w:rsidRDefault="00FA0779" w:rsidP="00FA0779">
      <w:pPr>
        <w:pStyle w:val="TextoNormal"/>
      </w:pPr>
      <w:r>
        <w:t xml:space="preserve">Alega, además, que la suspensión no conculcaría ningún interés de carácter público o incluso privado, pues la arrendadora seguiría percibiendo la renta durante la tramitación del recurso. </w:t>
      </w:r>
    </w:p>
    <w:p w:rsidR="00FA0779" w:rsidRDefault="00FA0779" w:rsidP="00FA0779">
      <w:pPr>
        <w:pStyle w:val="TextoNormal"/>
      </w:pPr>
      <w:r>
        <w:t>Finalmente, y en atención a las condiciones económicas en que se encuentra el recurrente, ya expuestas en el anterior escrito de solicitud de la suspensión, entiende que ha de ser decretada sin fianza.</w:t>
      </w:r>
    </w:p>
    <w:p w:rsidR="00FA0779" w:rsidRDefault="00FA0779" w:rsidP="00FA0779">
      <w:pPr>
        <w:pStyle w:val="TextoNormal"/>
      </w:pPr>
    </w:p>
    <w:p w:rsidR="00FA0779" w:rsidRDefault="00FA0779" w:rsidP="00FA0779">
      <w:pPr>
        <w:pStyle w:val="TextoNormal"/>
      </w:pPr>
      <w:r w:rsidRPr="00FA0779">
        <w:rPr>
          <w:rStyle w:val="NumeroAFNegritaCaracter"/>
        </w:rPr>
        <w:t>11</w:t>
      </w:r>
      <w:r>
        <w:t>. El 14 de mayo de 1997 tuvo entrada en el Registro de este Tribunal un nuevo escrito de la representación procesal del recurrente, presentado en el Juzgado de Guardia el 7 de mayo de 1997, por el que pone en conocimiento de este Tribunal la recepción, el pasado día 6 de mayo de una diligencia de ordenación de la Secretaría del Servicio Común de Notificaciones y Embargos por la que se señala para la práctica de la diligencia de lanzamiento el próximo 16 de mayo de 1997 a las nueve horas de la mañana. Pide en consecuencia a este Tribunal que acuerde la suspensión solicitada antes de dicha fecha, a fin de que el presente recurso de amparo no quede vacío de contenido.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FA0779" w:rsidRDefault="00FA0779" w:rsidP="00FA0779">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respecto de las cuales, por ello, la regla general viene siendo la no suspensión, y aquellas otras que afectan a bienes o derechos de difícil o imposible restitución a su estado anterior, como las que imponen penas privativas de libertad, en cuyo caso la regla general viene siendo la suspensión (AATC 321/1995, 118/1996 y 122/1996), teniendo en cuenta que, en definitiva, el criterio que ha de observarse en materia de suspensión es el de la preservación de la eficacia de un posible pronunciamiento estimatorio (ATC 258/1996).</w:t>
      </w:r>
    </w:p>
    <w:p w:rsidR="00FA0779" w:rsidRDefault="00FA0779" w:rsidP="00FA0779">
      <w:pPr>
        <w:pStyle w:val="TextoNormal"/>
      </w:pPr>
      <w:r>
        <w:lastRenderedPageBreak/>
        <w:t>En consonancia con tales criterios, y como recuerdan tanto el demandante de amparo como el Ministerio Fiscal, cuando se trata de la ejecución de Sentencias determinantes del desalojo de viviendas (por resolución, por ejemplo, de una relación arrendaticia), la regla general viene siendo el otorgamiento de la suspensión, debido a las dificultades que podría encontrar el recurrente para volver a ocupar la vivienda si, por no accederse a aquélla, llegara a producirse la enajenación del inmueble o la cesión de su uso a un tercero de buena fe (AATC 314/1994, 98/1995, 171/1995 y 234/1995, entre otros recientes).</w:t>
      </w:r>
    </w:p>
    <w:p w:rsidR="00FA0779" w:rsidRDefault="00FA0779" w:rsidP="00FA0779">
      <w:pPr>
        <w:pStyle w:val="TextoNormal"/>
      </w:pPr>
    </w:p>
    <w:p w:rsidR="00FA0779" w:rsidRDefault="00FA0779" w:rsidP="00FA0779">
      <w:pPr>
        <w:pStyle w:val="TextoNormal"/>
      </w:pPr>
      <w:r w:rsidRPr="00FA0779">
        <w:rPr>
          <w:rStyle w:val="NumeroAFNegritaCaracter"/>
        </w:rPr>
        <w:t>2</w:t>
      </w:r>
      <w:r>
        <w:t>. En el caso presente la solicitud de suspensión se refiere a la ejecución de una Sentencia que, en grado de apelación, convirtió en firme la resolución de un contrato de arrendamiento de vivienda acordada en la primera instancia, con la consiguiente obligación, ahora perentoria, del inquilino y actual demandante de amparo de desalojarla y dejarla a disposición de la arrendataria/actora en el pleito principal. Por esta razón, y considerando además la avanzada edad del recurrente (ATC 314/1994), procede, en aplicación de la doctrina expuesta en el fundamento anterior, acceder a la suspensión instada.</w:t>
      </w:r>
    </w:p>
    <w:p w:rsidR="00FA0779" w:rsidRDefault="00FA0779" w:rsidP="00FA0779">
      <w:pPr>
        <w:pStyle w:val="TextoNormal"/>
      </w:pPr>
      <w:r>
        <w:t>Ello sin perjuicio de que por parte del Juzgado de Primera Instancia encargado de la ejecución se adopten, en su caso, las medidas de aseguramiento necesarias (y apropiadas a las circunstancias, incluida la situación económica del recurrente) para garantizar el eventual resarcimiento de los perjuicios que la suspensión pudiera ocasionar a la parte actora y vencedora en el pleito principal (en el mismo sentido, AATC 171/1995 y 213/1995, entre los más recientes).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haber lugar a la suspensión de la ejecución de la Sentencia impugnada de la Sección Segunda de la Audiencia Provincial de Sevilla de 28 de octubre de 1996.</w:t>
      </w:r>
    </w:p>
    <w:p w:rsidR="00FA0779" w:rsidRDefault="00FA0779" w:rsidP="00FA0779">
      <w:pPr>
        <w:pStyle w:val="TextoNormal"/>
      </w:pPr>
      <w:r>
        <w:t>Ello, sin perjuicio de las medidas de aseguramiento que, en su caso, puedan ser adoptadas por el Juzgado de Primera Instancia núm. 19 de Sevilla para garantizar el resarcimiento de los perjuicios derivados de la suspensión.</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0" w:name="AUTO_1997_157"/>
      <w:r>
        <w:lastRenderedPageBreak/>
        <w:t>AUTO 157/1997, de 19 de mayo de 1997</w:t>
      </w:r>
    </w:p>
    <w:bookmarkEnd w:id="90"/>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ECLI:ES:TC:1997:157A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4.571/1996.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16 de diciembre de 1996, procedente del Juzgado de Guardia de Madrid, tuvo entrada en el Registro de este Tribunal escrito del Procurador de los Tribunales don Pablo Hornedo Muguiro, por medio del cual, y en nombre de doña María del Pilar Carazo Lázaro y otras veinte personas, se interpone recurso de amparo frente al Auto del Juzgado de lo Social núm. 19 de Madrid de 8 de noviembre de 1996, dictado en el procedimiento núm. 1.017/88.</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que fundamentan la demanda de amparo, brevemente expuestos, son los siguientes: </w:t>
      </w:r>
    </w:p>
    <w:p w:rsidR="00FA0779" w:rsidRDefault="00FA0779" w:rsidP="00FA0779">
      <w:pPr>
        <w:pStyle w:val="TextoNormal"/>
      </w:pPr>
      <w:r>
        <w:t xml:space="preserve">A) Con fecha 15 de febrero de 1991, tras el correspondiente procedimiento núm. 1.017/88 seguido bajo el rótulo «sobre derecho», fue dictada Sentencia por el Juzgado de lo Social núm. 19 de Madrid por la que, estimando las pretensiones de los ahora recurrentes en amparo frente al INSALUD y la Cruz Roja Española, se les reconoció su derecho a ser integrados en el Grupo de Gestión de las Instituciones Sanitarias de la Seguridad Social, así como a la retroacción de los derechos económicos por diferencia de retribución al año inmediatamente anterior a la fecha de reclamación, con reflejo en todos los conceptos de nómina incluida la antigüedad. </w:t>
      </w:r>
    </w:p>
    <w:p w:rsidR="00FA0779" w:rsidRDefault="00FA0779" w:rsidP="00FA0779">
      <w:pPr>
        <w:pStyle w:val="TextoNormal"/>
      </w:pPr>
      <w:r>
        <w:t xml:space="preserve">B) Tal Sentencia fue recurrida por la Cruz Roja y el INSALUD, siendo revocada por la de la Sala de lo Social del Tribunal Superior de Justicia de Madrid de 13 de marzo de 1992, desestimatoria de las demandas. No obstante, y finalmente, la Sentencia de la Sala Cuarta del Tribunal Supremo de 1 de abril de 1993, estimó que el pleito versaba en realidad sobre clasificación profesional, por lo que no debió admitirse el recurso de suplicación; por ello anuló y dejó sin efecto la Sentencia del Tribunal Superior de Justicia, ganando firmeza la de instancia. </w:t>
      </w:r>
    </w:p>
    <w:p w:rsidR="00FA0779" w:rsidRDefault="00FA0779" w:rsidP="00FA0779">
      <w:pPr>
        <w:pStyle w:val="TextoNormal"/>
      </w:pPr>
      <w:r>
        <w:t xml:space="preserve">C) Instada la ejecución, tras diversos incidentes y requerimientos, por Auto de 20 de diciembre de 1994 el Juzgado de lo Social mencionado declaró correctamente ejecutada la Sentencia y acordó el archivo de las actuaciones. Tal Auto fue objeto sucesivamente de recurso de reposición, desestimado por Auto de 26 de enero de 1995 -luego aclarado por otro de 24 de febrero siguiente-, y de recurso de amparo ante este Tribunal, que tramitado con el núm. 1.098/95, fue inadmitido a trámite por providencia de la Sección Cuarta por la que se apreció su manifiesta carencia de contenido constitucional [art. 50.1 c) LOTC]. </w:t>
      </w:r>
    </w:p>
    <w:p w:rsidR="00FA0779" w:rsidRDefault="00FA0779" w:rsidP="00FA0779">
      <w:pPr>
        <w:pStyle w:val="TextoNormal"/>
      </w:pPr>
      <w:r>
        <w:lastRenderedPageBreak/>
        <w:t xml:space="preserve">D) Ulteriormente, y con fecha 19 de junio de 1996, la representación de los recurrentes reiteró la ejecución de la Sentencia, ahora tan sólo en lo que se refiere a los intereses a partir de los tres meses ,de que se dictara Sentencia en la instancia y hasta que fue totalmente ejecutada, y ello con fundamento en la STC 69/1996, fundamento jurídico 6.º Denegada tal pretensión por providencia de 7 de octubre de 1996, fue presentado recurso de reposición, fundado de nuevo en la mencionada Sentencia y denunciando la vulneración de los derechos fundamentales a la ejecución de la Sentencia firme y a acceder a la tutela judicial. </w:t>
      </w:r>
    </w:p>
    <w:p w:rsidR="00FA0779" w:rsidRDefault="00FA0779" w:rsidP="00FA0779">
      <w:pPr>
        <w:pStyle w:val="TextoNormal"/>
      </w:pPr>
      <w:r>
        <w:t xml:space="preserve">E) Tal recurso fue definitivamente desestimado por el Auto de 8 de noviembre de 1996, objeto de la demanda de amparo, cuyo fundamento único razona el sentido de la resolución, en lo que aquí interesa, con los siguientes términos literales: </w:t>
      </w:r>
    </w:p>
    <w:p w:rsidR="00FA0779" w:rsidRDefault="00FA0779" w:rsidP="00FA0779">
      <w:pPr>
        <w:pStyle w:val="TextoNormal"/>
      </w:pPr>
      <w:r>
        <w:t xml:space="preserve">«( ... ) Evidentemente la ejecución de la presente Sentencia, como manifestación del principio judicial de tutela efectiva de Jueces y Tribunales no puede extenderse, precisamente en base a tal principio, más allá de lo recogido en el fallo de ésta, ni pretender extender o ampliar su contenido a cuestiones nuevas que, por desconocidas al tiempo de celebrarse el juicio, no pudieron ser tenidas en cuenta para dictarla. </w:t>
      </w:r>
    </w:p>
    <w:p w:rsidR="00FA0779" w:rsidRDefault="00FA0779" w:rsidP="00FA0779">
      <w:pPr>
        <w:pStyle w:val="TextoNormal"/>
      </w:pPr>
      <w:r>
        <w:t xml:space="preserve">Por lo expuesto ( ... ) no puede concluirse más que es correcta la ejecución de la presente Sentencia, cuyo contenido, declarativo de categoría profesional y de efectos retroactivos de los derechos económicos al año inmediatamente anterior a la reclamación previa ha sido debidamente cumplida, debiendo los actores, si entienden que hay sumas a discutir posteriores a la Sentencia y por tanto no cubiertas por ella al carecer de condena de futuro. ejercitar las correspondientes acciones legales. Asimismo y sobre las cantidades abonadas ( ... ) no cabe la reclamación alguna de intereses por no contener el fallo de la Sentencia condena alguna al abono de cantidad liquida y atendidas las circunstancias del caso, siendo el ordinal 5.º de Hechos Probados de la Sentencia ejecutada una mera mención del parámetro diferencial en retribución de las dos categorías a fin de justificar la procedencia del recurso de suplicación al haberse articulado la demanda como derecho, aunque luego resultaría ser de clasificación profesional. </w:t>
      </w:r>
    </w:p>
    <w:p w:rsidR="00FA0779" w:rsidRDefault="00FA0779" w:rsidP="00FA0779">
      <w:pPr>
        <w:pStyle w:val="TextoNormal"/>
      </w:pPr>
      <w:r>
        <w:t>Por lo expuesto, no cabe estimar el recurso interpuesto, sin que esté de más recordar que la firmeza de una resolución juega para las partes, terceros y para el propio órgano judicial como manifestación de la intangibilidad de las resoluciones judiciales, lo que nada tiene que ver con renuncia de derechos fundamentales en Sentencia firme ( ...) »</w:t>
      </w:r>
    </w:p>
    <w:p w:rsidR="00FA0779" w:rsidRDefault="00FA0779" w:rsidP="00FA0779">
      <w:pPr>
        <w:pStyle w:val="TextoNormal"/>
      </w:pPr>
    </w:p>
    <w:p w:rsidR="00FA0779" w:rsidRDefault="00FA0779" w:rsidP="00FA0779">
      <w:pPr>
        <w:pStyle w:val="TextoNormal"/>
      </w:pPr>
      <w:r w:rsidRPr="00FA0779">
        <w:rPr>
          <w:rStyle w:val="NumeroAFNegritaCaracter"/>
        </w:rPr>
        <w:t>3</w:t>
      </w:r>
      <w:r>
        <w:t>. Tal resolución la reputan los actores, en primer lugar, vulneradora del derecho a la igualdad, del art. 14 C.E., con el argumento de que el art. 45 de la Ley General Presupuestaria introduce una discriminación subjetiva favorable a la Administración, que resulta liberada de las consecuencias derivadas del art. 921 L.E.C. cuando es la parte demandada de una reclamación, y sin embargo puede exigir su exacto cumplimiento cuando actúa como actora en una reclamación civil. En segundo lugar, también resultaría vulnerado el derecho de los recurrentes a la ejecución de las resoluciones judiciales firmes en sus propios términos, derecho que incluiría la correcta aplicación de lo dispuesto en el art. 921 L.E.C.</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la Sección Tercera de 10 de marzo de 1997, se acordó conceder a los recurrentes y al Ministerio Fiscal plazo común de diez días para que, de conformidad con lo dispuesto en el art. 50.3 LOTC y con las aportaciones documentales que procedieran, formularan cuantas alegaciones estimasen pertinentes en orden a la posible concu</w:t>
      </w:r>
      <w:r>
        <w:lastRenderedPageBreak/>
        <w:t>rrencia de la causa de inadmisibilidad consistente en la carencia manifiesta de contenido constitucional de la demanda de amparo [art. 50.1 c) LOTC].</w:t>
      </w:r>
    </w:p>
    <w:p w:rsidR="00FA0779" w:rsidRDefault="00FA0779" w:rsidP="00FA0779">
      <w:pPr>
        <w:pStyle w:val="TextoNormal"/>
      </w:pPr>
    </w:p>
    <w:p w:rsidR="00FA0779" w:rsidRDefault="00FA0779" w:rsidP="00FA0779">
      <w:pPr>
        <w:pStyle w:val="TextoNormal"/>
      </w:pPr>
      <w:r w:rsidRPr="00FA0779">
        <w:rPr>
          <w:rStyle w:val="NumeroAFNegritaCaracter"/>
        </w:rPr>
        <w:t>5</w:t>
      </w:r>
      <w:r>
        <w:t>. Con fecha 25 de marzo siguiente cumplimentaron dicho trámite los recurrentes, acompañando copia testimoniada de la resolución recurrida y de la Sentencia cuya ejecución se solicita, e insistiendo en que de la STC 69/1996, fundamento jurídico 6.º, se desprende la vulneración por el Auto recurrido de los arts. 14 y 24.1 C.E., por lo que se suplica la admisión a trámite del recurso.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10 de abril siguiente tuvo entrada en el Registro del Tribunal el escrito del Fiscal, con el que se solicita la inadmisión a trámite de la demanda. </w:t>
      </w:r>
    </w:p>
    <w:p w:rsidR="00FA0779" w:rsidRDefault="00FA0779" w:rsidP="00FA0779">
      <w:pPr>
        <w:pStyle w:val="TextoNormal"/>
      </w:pPr>
      <w:r>
        <w:t xml:space="preserve">Tras un detenido recorrido por los antecedentes lácticos y la fundamentación del recurso, comienza el Fiscal su argumentación apreciando, en cuanto al primero de los motivos sustentados, la concurrencia de la causa de inadmisibilidad prevista en el art. 44.1 c) LOTC, al no haber sido invocado formalmente en la vía judicial ordinaria la vulneración del derecho fundamental contenido en el art. 14 C.E., lo que ha impedido al órgano judicial resolver sobre este concreto extremo de la demanda de amparo y el desempeño de su función de primera protección de los derechos fundamentales (AATC 110/1989 y 2/1991, entre otros). En todo caso, y siempre sobre este primer motivo, entiende el Fiscal que se apoya en argumentos ajenos al debate procesal, que en ningún momento versó sobre la aplicabilidad del art. 45 L.G.P., tampoco tenido en cuenta por el Juzgado para desestimar la reclamación de intereses. </w:t>
      </w:r>
    </w:p>
    <w:p w:rsidR="00FA0779" w:rsidRDefault="00FA0779" w:rsidP="00FA0779">
      <w:pPr>
        <w:pStyle w:val="TextoNormal"/>
      </w:pPr>
      <w:r>
        <w:t xml:space="preserve">Por lo que se refiere al derecho a la intangibilidad de las resoluciones judiciales firmes y a la ejecución de las mismas en sus precisos términos, se argumenta que, si bien este Tribunal ha afirmado reiteradamente (STC 18/1997, por todas) que la ejecución de las Sentencias forma parte del derecho a la tutela judicial y que dicho derecho impide que el órgano judicial se aparte sin causa justificada del fallo recaído, o que se abstenga de adoptar las medidas necesarias para proveer a la ejecución del mismo, también ha señalado que no es cometido del Tribunal Constitucional la determinación de cuáles han de ser las decisiones que en cada caso hayan de ser adoptadas para la ejecución, aunque sí deberá estar vigilante cuando se trate de decisiones arbitrarias o irrazonables o la lesión se origine por la inactividad del órgano judicial para adoptar las medidas que aseguren la satisfacción del derecho. </w:t>
      </w:r>
    </w:p>
    <w:p w:rsidR="00FA0779" w:rsidRDefault="00FA0779" w:rsidP="00FA0779">
      <w:pPr>
        <w:pStyle w:val="TextoNormal"/>
      </w:pPr>
      <w:r>
        <w:t xml:space="preserve">A la luz de esta doctrina, y examinando la resolución impugnada, entiende el Fiscal incontestable que la pretensión originariamente sustentada fue únicamente la de clasificación profesional, como definitivamente resolviera el Tribunal Supremo en la Sentencia recaída sobre el presente litigio en fecha 1 de abril de 1993. No referida la demanda, por tanto, a reclamaciones de diferencias salariales, la segunda de las afirmaciones de la parte dispositiva de la Sentencia de instancia no podía tener contenido económico, sino que, como indica el propio Auto impugnado, se trataba de «una mera mención del parámetro diferencial en retribución de las dos categorías a fin de justificar la procedencia del recurso de suplicación, al haberse articulado la demanda como derecho, aunque luego resultaría ser de clasificación profesional». En definitiva, pues, lo que afirma el Auto recurrido, con apoyo en la Sentencia del Tribunal Supremo, es que no se produjeron pronunciamientos de tipo económico derivados de reclamaciones salariales, por lo que tampoco procedía la exacción de los intereses legales reclamados, dejando abierta a los recurrentes la vía judicial correspondiente para la reclamación de los mismos. </w:t>
      </w:r>
    </w:p>
    <w:p w:rsidR="00FA0779" w:rsidRDefault="00FA0779" w:rsidP="00FA0779">
      <w:pPr>
        <w:pStyle w:val="TextoNormal"/>
      </w:pPr>
      <w:r>
        <w:lastRenderedPageBreak/>
        <w:t>Por todo ello entiende el Fiscal que la resolución impugnada está debidamente razonada y fundamentada legalmente, por lo que no afectó al contenido de los pronunciamientos firmes que fueron dictados en la fase declarativa del procedimiento mediante la Sentencia, de 15 de febrero de 1991, cuya supuesta falta de ejecución fundamenta este segundo motivo de la demanda.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No resulta improcedente, tras recibir las alegaciones precedentemente expuestas, comenzar la presente resolución recordando que el examen de las causas insubsanables de inadmisibilidad en que puede incurrir una demanda de amparo puede ser siempre abordada o reemprendida por este Tribunal, incluso de oficio y llegado el trámite de dictar Sentencia, en cualquier momento procesal (SSTC 90/1987, 50/1991 y 107/1995, entre muchas otras); tal posibilidad se deriva tanto de la naturaleza imperativa de dichas causas de inadmisibilidad, como del carácter meramente potestativo del trámite en que aquí nos encontramos (ya afirmado en la STC 81/1983, fundamento jurídico 1.º), que por ello mismo carece de eficacia preclusiva a los efectos que ahora importan.</w:t>
      </w:r>
    </w:p>
    <w:p w:rsidR="00FA0779" w:rsidRDefault="00FA0779" w:rsidP="00FA0779">
      <w:pPr>
        <w:pStyle w:val="TextoNormal"/>
      </w:pPr>
    </w:p>
    <w:p w:rsidR="00FA0779" w:rsidRDefault="00FA0779" w:rsidP="00FA0779">
      <w:pPr>
        <w:pStyle w:val="TextoNormal"/>
      </w:pPr>
      <w:r w:rsidRPr="00FA0779">
        <w:rPr>
          <w:rStyle w:val="NumeroAFNegritaCaracter"/>
        </w:rPr>
        <w:t>2</w:t>
      </w:r>
      <w:r>
        <w:t>. Tiene ello relevancia por cuanto, como queda expuesto, el representante del Ministerio Fiscal ha suscitado, más allá de la causa de inadmisibilidad puesta de relieve en nuestra providencia de 10 de marzo anterior, la concurrencia de otra distinta, aunque referida tan sólo al primero de los motivos de amparo deducidos en la demanda, consistente en la falta de previa invocación en el proceso ordinario de la supuesta vulneración del derecho contenido en el art.  14 C.E., art. 44.1 c) LOTC, lo que habría privado al órgano judicial ordinario de la posibilidad de remediar la supuesta lesión padecida (SSTC 152/1987, 176/1987, 164/1989 y otras muchas), y a la otra parte en el proceso de argumentar, en su caso, la falta de consistencia de la queja (STC 77/1989, entre otras muchas).</w:t>
      </w:r>
    </w:p>
    <w:p w:rsidR="00FA0779" w:rsidRDefault="00FA0779" w:rsidP="00FA0779">
      <w:pPr>
        <w:pStyle w:val="TextoNormal"/>
      </w:pPr>
      <w:r>
        <w:t>Tal causa de inadmisión, en lo que se refiere al primero de los motivos, debe ser efectivamente afirmada. Ni en el escrito por el que se solicitó la ejecución en el extremo aquí debatido, de fecha 11 de junio de 1996, ni en el de interposición del recurso de reposición que dio lugar al Auto objeto del presente proceso -ambos aportados por los propios recurrentes como documentación de su demanda- existe la más leve alusión, siquiera implícita o indirecta, al derecho a la igualdad. Por ello, y por más flexible que sea este Tribunal en la exigencia de este requisito (SSTC 30/1986, 162/1990, ó 105/1992, por ejemplo), lo cierto es que la absoluta ausencia de debate previo y temporáneo sobre el extremo ahora argumentado obliga a su exclusión del presente recurso, pues otra cosa supondría una abierta contravención del principio de subsidiariedad que determina la totalidad del proceso constitucional de amparo.</w:t>
      </w:r>
    </w:p>
    <w:p w:rsidR="00FA0779" w:rsidRDefault="00FA0779" w:rsidP="00FA0779">
      <w:pPr>
        <w:pStyle w:val="TextoNormal"/>
      </w:pPr>
    </w:p>
    <w:p w:rsidR="00FA0779" w:rsidRDefault="00FA0779" w:rsidP="00FA0779">
      <w:pPr>
        <w:pStyle w:val="TextoNormal"/>
      </w:pPr>
      <w:r w:rsidRPr="00FA0779">
        <w:rPr>
          <w:rStyle w:val="NumeroAFNegritaCaracter"/>
        </w:rPr>
        <w:t>3</w:t>
      </w:r>
      <w:r>
        <w:t>. Centrado así el examen de admisibilidad del recurso en la queja relativa a la supuesta vulneración del derecho a la ejecución en sus propios términos de las resoluciones judiciales firmes, hemos de confirmar nuestra inicial impresión relativa a la carencia de contenido constitucional de la demanda, como también sostiene el representante del Ministerio Público en las alegaciones resumidas en antecedentes.</w:t>
      </w:r>
    </w:p>
    <w:p w:rsidR="00FA0779" w:rsidRDefault="00FA0779" w:rsidP="00FA0779">
      <w:pPr>
        <w:pStyle w:val="TextoNormal"/>
      </w:pPr>
      <w:r>
        <w:t>En efecto, siendo indubitada la existencia y encaje en el art. 24.1 C.E. del referido derecho fundamental, no lo es menos, y así lo ha recordado este Tribunal en numerosas ocasiones, que la determinación del sentido del fallo judicial es función netamente jurisdic</w:t>
      </w:r>
      <w:r>
        <w:lastRenderedPageBreak/>
        <w:t>cional, y asimismo lo es apreciar en cada caso cuáles sean los términos precisos de cada fallo judicial, sin que el Tribunal Constitucional pueda sustituirles en esa función de interpretación y aplicación de la legalidad, a menos que la resolución judicial impugnada pueda resultar incongruente, arbitraria o abiertamente irrazonable (SSTC 125/1987, 120/1991, 242/1992, 92/1993 y 135/1994, entre otras muchas).</w:t>
      </w:r>
    </w:p>
    <w:p w:rsidR="00FA0779" w:rsidRDefault="00FA0779" w:rsidP="00FA0779">
      <w:pPr>
        <w:pStyle w:val="TextoNormal"/>
      </w:pPr>
    </w:p>
    <w:p w:rsidR="00FA0779" w:rsidRDefault="00FA0779" w:rsidP="00FA0779">
      <w:pPr>
        <w:pStyle w:val="TextoNormal"/>
      </w:pPr>
      <w:r w:rsidRPr="00FA0779">
        <w:rPr>
          <w:rStyle w:val="NumeroAFNegritaCaracter"/>
        </w:rPr>
        <w:t>4</w:t>
      </w:r>
      <w:r>
        <w:t>. La aplicación de esta constante doctrina al supuesto ahora enjuiciado conduce sin duda a que apreciemos la causa de inadmisibilidad puesta de manifiesto a los recurrentes en nuestra anterior providencia. Como nos recuerda el Fiscal, el órgano judicial se apoya explícitamente en la resolución del Tribunal Supremo que puso fin al litigio en su fase declarativa, resolución del todo inamovible a estas alturas, para rechazar la existencia de pronunciamientos de condena de cantidad líquida en el dispositivo cuya ejecución se instara. Así interpretado, de modo razonable y por quien constitucionalmente se halla legitimado para ello el referido fallo, es manifiesto que nos encontramos ante una pretensión de ejecución de cuestión no abordada en el fallo o con la que éste no guarda una inmediata y directa relación de causalidad, lo que obliga a su rechazo pues otra solución «no sólo vulneraría las normas legales que regulan la ejecución sino que podría resultar menoscabado, asimismo, el derecho a la tutela judicial efectiva de las otras partes procesales o de terceros (SSTC 125/1987, fundamentos jurídicos 4º y 5º, 167/1987, fundamento jurídico 2, 215/1988, fundamento jurídico 3 y 149/1989, fundamento jurídico 4º)» (STC 120/1991, fundamento jurídico 2.º). Tal es justamente el sentido de la resolución impugnada, lo que explica tanto el último de los párrafos antes transcritos, como la remisión al procedimiento que legalmente corresponda para la reclamación de las cantidades a que creen tener derecho los recurrentes, también contenida en la resolución impugnada; ello debe permitir, por lo demás, la ulterior satisfacción del interés sustancial que está en la base del presente recurso.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inadmitir el presente recurso y decretar el archivo de las actuaciones.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1" w:name="AUTO_1997_158"/>
      <w:r>
        <w:lastRenderedPageBreak/>
        <w:t>AUTO 158/1997, de 19 de mayo de 1997</w:t>
      </w:r>
    </w:p>
    <w:bookmarkEnd w:id="91"/>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ECLI:ES:TC:1997:158A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211/1997.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16 de enero de 1997, doña Myriam Alvarez del Valle Laverque, Procuradora de los Tribunales y de don Manuel Gil Quero y de don Adolfo y don Leopoldo Villén Villén interpone recurso de amparo contra Sentencia de la Audiencia Provincial de Málaga, de 27 de noviembre de 1996, recaída en apelación contra la dictada por el Juzgado de lo Penal núm. 4 de la misma ciudad, el 28 de septiembre de 1996, por delitos de estafa y falso testimonio.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hechos: </w:t>
      </w:r>
    </w:p>
    <w:p w:rsidR="00FA0779" w:rsidRDefault="00FA0779" w:rsidP="00FA0779">
      <w:pPr>
        <w:pStyle w:val="TextoNormal"/>
      </w:pPr>
      <w:r>
        <w:t xml:space="preserve">a) Las diligencias previas 937/90 se iniciaron por el Juzgado de Instrucción núm. 3 de Málaga en virtud de querella formulada por doña Encarnación Villén Villén contra sus hermanos don Leopoldo y don Adolfo Villén Villén y contra su hermano político don Manuel Gil Quero, casado con la hermana de la querellante doña Mercedes. </w:t>
      </w:r>
    </w:p>
    <w:p w:rsidR="00FA0779" w:rsidRDefault="00FA0779" w:rsidP="00FA0779">
      <w:pPr>
        <w:pStyle w:val="TextoNormal"/>
      </w:pPr>
      <w:r>
        <w:t xml:space="preserve">b) La defensa de los acusados planteó artículo de previo pronunciamiento que fue reiterado en la sesión del juicio oral, de 13 de junio de 1993, y que dio lugar al Auto de la Sección Primera de la Audiencia Provincial, de 15 de septiembre de 1993, por el que se resolvió admitir parcialmente la cuestión planteada declarando la falta de legitimación de la acusación particular representada por doña Encarnación Villén Villén, la cual quedó apartada de las actuaciones por aplicación de lo dispuesto en el art. 103 de la L.E.Crim., manteniéndose, sin embargo, como parte, al Ministerio Público y decretando no haber lugar a la nulidad de actuaciones interesada por la representación de los querellados. </w:t>
      </w:r>
    </w:p>
    <w:p w:rsidR="00FA0779" w:rsidRDefault="00FA0779" w:rsidP="00FA0779">
      <w:pPr>
        <w:pStyle w:val="TextoNormal"/>
      </w:pPr>
      <w:r>
        <w:t xml:space="preserve">c) El Juzgado de lo Penal núm. 4, estableció los siguientes hechos probados: </w:t>
      </w:r>
    </w:p>
    <w:p w:rsidR="00FA0779" w:rsidRDefault="00FA0779" w:rsidP="00FA0779">
      <w:pPr>
        <w:pStyle w:val="TextoNormal"/>
      </w:pPr>
      <w:r>
        <w:t xml:space="preserve">«Con fecha 5 de marzo de 1974, ante el Notario de Rute Don Francisco Cruces Márquez, don Leopoldo Villén Cruz, viudo de sus únicas nupcias con doña Encarnación Pérez Jiménez, otorga escritura de venta de la casa núms. 7 y 9 de la Calle Lezcano de Málaga, a favor del acusado don Manuel Gil Quero, sin antecedentes penales, por un precio estipulado en 560.000 pesetas que el vendedor confiesa tener recibidas, bajo el protocolo núm. 85, sin que conste documentación alguna pública o privada de una venta anterior o posterior a favor de don José Villén Pérez, hijo del vendedor. Una vez falleció don Leopoldo, doña Encarnación Villén Villén, nieta del vendedor, requirió formalmente, a través de Notario a </w:t>
      </w:r>
      <w:r>
        <w:lastRenderedPageBreak/>
        <w:t xml:space="preserve">don Manuel Gil Quero, el día 18 de agosto de 1988, para que, en el término no superior a ocho días, reconociera que la venta fue simulada, perteneciendo el inmueble a la familia de la requirente. Fue requerido don Manuel Gil Quero, nuevamente, por carta de 2 de mayo de 1989, por conducto notarial, por doña Encarnación Villén Villén y sus hermanas doña Emilia y doña Carmen María, en su nombre y en el de su cuñada doña Estrella Sabal Alvarado, a fin de que otorgara escritura a favor de doña Emilia Villén Castro (viuda de don José Villén Pérez) o de sus herederos. El acusado no accedió a los requerimientos alegando la titularidad de la finca cuestionada. </w:t>
      </w:r>
    </w:p>
    <w:p w:rsidR="00FA0779" w:rsidRDefault="00FA0779" w:rsidP="00FA0779">
      <w:pPr>
        <w:pStyle w:val="TextoNormal"/>
      </w:pPr>
      <w:r>
        <w:t xml:space="preserve">En el procedimiento civil de menor cuantía núm. 866189 seguido ante el Juzgado de Primera Instancia núm. 2 de Málaga, don Manuel Gil Quero, así como los coacusados don Leopoldo y don Adolfo Villén Villén, sin antecedentes penales, al declarar como testigos el día 25 de enero de 1990, manifestaron que la venta de 5 de marzo de 1974 era verdadera y no simulada. </w:t>
      </w:r>
    </w:p>
    <w:p w:rsidR="00FA0779" w:rsidRDefault="00FA0779" w:rsidP="00FA0779">
      <w:pPr>
        <w:pStyle w:val="TextoNormal"/>
      </w:pPr>
      <w:r>
        <w:t xml:space="preserve">La finca numerada a los núms. 7 y 9 de la calle Lezcano ha sido valorada en 19.950.000 pesetas. El escrito fechado el día 6 de febrero de 1975, el vendedor autorizó a su nieto don Leopoldo Villén Villén, acusado, para que haciendo uso del poder notarial que le confió, otorgue escritura de compraventa de la casa de la calle Lezcano núms. 7 y 9 vendida a don Manuel Gil Quero.» </w:t>
      </w:r>
    </w:p>
    <w:p w:rsidR="00FA0779" w:rsidRDefault="00FA0779" w:rsidP="00FA0779">
      <w:pPr>
        <w:pStyle w:val="TextoNormal"/>
      </w:pPr>
      <w:r>
        <w:t xml:space="preserve">Dicha Sentencia absolvió a los tres acusados del delito de falso testimonio en causa civil que les imputaba el Ministerio Fiscal y a don Manuel Gil Quero del delito de estafa. </w:t>
      </w:r>
    </w:p>
    <w:p w:rsidR="00FA0779" w:rsidRDefault="00FA0779" w:rsidP="00FA0779">
      <w:pPr>
        <w:pStyle w:val="TextoNormal"/>
      </w:pPr>
      <w:r>
        <w:t xml:space="preserve">d) Tal Sentencia fue apelada por el Ministerio Fiscal correspondiendo su tramitación a la Sección Primera de lo Penal de la Audiencia Provincial de Málaga como recurso de apelación núm. 693/96, la cual señaló para que tuviera lugar la vista, y su consiguiente deliberación y fallo del recurso, el día 21 de noviembre de 1996. </w:t>
      </w:r>
    </w:p>
    <w:p w:rsidR="00FA0779" w:rsidRDefault="00FA0779" w:rsidP="00FA0779">
      <w:pPr>
        <w:pStyle w:val="TextoNormal"/>
      </w:pPr>
      <w:r>
        <w:t xml:space="preserve">Dos días antes de dicha fecha la Sala, que estaba compuesta por cuatro Magistrados titulares, esto es, por su Presidente don Manuel Torres Vela y los Magistrados don Fernando González Zubiera, don José Godino Izquierdo y don Enrique Peralta Prieto dicta con intervención de los cuatro por la que se acuerda y establece que encontrándose el próximo día 21 de noviembre de 1996 el Presidente don Manuel Torres Vela con licencia por estudios y el Magistrado don José Godino Izquierdo con permiso por asuntos particulares se designa como Magistrado para constituir Sala conforme a las normas de sustitución de Magistrados aprobadas por la Sala de Gobierno del T.S.J.A. al Magistrado de la Sección Tercera don Andrés Rodero González, quien a su vez es designado como Ponente. </w:t>
      </w:r>
    </w:p>
    <w:p w:rsidR="00FA0779" w:rsidRDefault="00FA0779" w:rsidP="00FA0779">
      <w:pPr>
        <w:pStyle w:val="TextoNormal"/>
      </w:pPr>
      <w:r>
        <w:t>e) Así compuesta la Sala celebró la vista del recurso, no el día 21, como estaba inicialmente previsto, sino el siguiente día 22, dictando Sentencia el 27 de noviembre de 1996 por la que estima el recurso de apelación del Ministerio Fiscal, revoca la Sentencia dictada por el Juzgado y condena a don Manuel Gil Quero, don Adolfo Villén Villén y don Leopoldo Villén Villén como autores de un delito de falso testimonio a la pena de seis meses y un día de prisión menor, con las accesorias correspondientes y pago de costas, y al último de los citados, además, a indemnizar a todos los herederos de don José Villén Pérez (excluida su esposa) en la décima parte a cada uno de ellos del valor total del inmueble sito en la calle Lezcano, núms. 7 y 9, de Málaga, que se cifra en 19.950.000 pesetas.</w:t>
      </w:r>
    </w:p>
    <w:p w:rsidR="00FA0779" w:rsidRDefault="00FA0779" w:rsidP="00FA0779">
      <w:pPr>
        <w:pStyle w:val="TextoNormal"/>
      </w:pPr>
    </w:p>
    <w:p w:rsidR="00FA0779" w:rsidRDefault="00FA0779" w:rsidP="00FA0779">
      <w:pPr>
        <w:pStyle w:val="TextoNormal"/>
      </w:pPr>
      <w:r w:rsidRPr="00FA0779">
        <w:rPr>
          <w:rStyle w:val="NumeroAFNegritaCaracter"/>
        </w:rPr>
        <w:t>3</w:t>
      </w:r>
      <w:r>
        <w:t>. Manifiestan los recurrentes en amparo que la querellante doña Encarnación Villén Villén está casada con don José María Muñoz Caparrós, actualmente Presidente de la Sección Segunda de la Audiencia Provincial de Málaga y anteriormente miembro de la Sección Primera, que es la Sala que resuelve el recurso, habiendo tenido el mismo una parti</w:t>
      </w:r>
      <w:r>
        <w:lastRenderedPageBreak/>
        <w:t xml:space="preserve">cipación activa en los hechos enjuiciados e incluso en el propio proceso, en el que llegó a declarar como testigo. </w:t>
      </w:r>
    </w:p>
    <w:p w:rsidR="00FA0779" w:rsidRDefault="00FA0779" w:rsidP="00FA0779">
      <w:pPr>
        <w:pStyle w:val="TextoNormal"/>
      </w:pPr>
      <w:r>
        <w:t xml:space="preserve">Dicen que tal procedimiento penal se fue desenvolviendo sin ninguna intervención del Ministerio Fiscal, quien no solicitó diligencia alguna ni intervino en la práctica de las que se llevaron a cabo, y a los solos impulsos de la parte querellante, que fue presentando sucesivos escritos y solicitando diversas diligencias de prueba, las únicas llevadas a cabo ya que ninguna se realizó de oficio o a instancia del Ministerio Público, hasta la formulación del escrito de acusación, en la que ésta se dedujo frente a los recurrentes tanto por dicho Ministerio como por la parte querellante. </w:t>
      </w:r>
    </w:p>
    <w:p w:rsidR="00FA0779" w:rsidRDefault="00FA0779" w:rsidP="00FA0779">
      <w:pPr>
        <w:pStyle w:val="TextoNormal"/>
      </w:pPr>
      <w:r>
        <w:t xml:space="preserve">También manifiestan que fue tan grave como significativo que en una Sala integrada por cuatro Magistrados, en vísperas de ver y fallar este caso, su más cualificado integrante como es el Presidente se excuse de su función «por estudios» y otro de sus componentes, precisamente el Ponente igualmente se excluya de tener que fallar este recurso «por asuntos propios», dando con ello lugar a una distinta composición del Tribunal natural por entrada de un nuevo miembro perteneciente a otra Sala, que además asume la importante función de la ponencia. </w:t>
      </w:r>
    </w:p>
    <w:p w:rsidR="00FA0779" w:rsidRDefault="00FA0779" w:rsidP="00FA0779">
      <w:pPr>
        <w:pStyle w:val="TextoNormal"/>
      </w:pPr>
      <w:r>
        <w:t xml:space="preserve">Para los recurrentes el justiciable tiene derecho, dentro del turno de azar que entra en juego cuando un asunto se reparte en aquellos lugares donde existe más de un Juzgado o Tribunal, a que el órgano jurisdiccional que juzgue esté compuesto por sus titulares, salvo casos de verdadera fuerza mayor, y esa exigencia debe ser tanto más observable cuando concurren circunstancias especiales como en este caso, en que detrás del asunto están los intereses personales de otro miembro del mismo Tribunal orgánico, en este caso de la Audiencia Provincial de Málaga, y concretamente, de su actual Presidente de la Sección Segunda y antiguo Magistrado de la Sección Primera, don José María Muñoz Caparrós. Dicen los recurrentes que no pueden evitar pensar si ese juego de excusas y sustituciones no pudo ser en realidad una maniobra para colocar en el Tribunal un miembro ad hoc. </w:t>
      </w:r>
    </w:p>
    <w:p w:rsidR="00FA0779" w:rsidRDefault="00FA0779" w:rsidP="00FA0779">
      <w:pPr>
        <w:pStyle w:val="TextoNormal"/>
      </w:pPr>
      <w:r>
        <w:t xml:space="preserve">Manifiestan los recurrentes que dentro del breve plazo que tenían para la formalización del recurso, intentaron conseguir las que la providencia, de fecha 19 de noviembre de 1996, llama «normas de sustitución de Magistrados aprobadas por la Sala de Gobierno del T.S.J.A.», pero no les fue posible obtener las mismas. No saben si les será posible lograrlas posteriormente para aportarlas a este Tribunal, al que, en su caso, no podrán serle negadas, pero tienen la casi certeza y evidencia que la aplicación de esas normas no podían permitir, sin más, designar nominatim a una determinada persona, concretamente al Magistrado de la Sección Tercera, don Andrés Rodero González. Si su designación fue tan irregular como caprichosa es evidente, dicen, que por tal motivo se habría conculcado más gravemente el derecho al juez ordinario predeterminado por la Ley. </w:t>
      </w:r>
    </w:p>
    <w:p w:rsidR="00FA0779" w:rsidRDefault="00FA0779" w:rsidP="00FA0779">
      <w:pPr>
        <w:pStyle w:val="TextoNormal"/>
      </w:pPr>
      <w:r>
        <w:t xml:space="preserve">Para los recurrentes tampoco parece que fuera lo más correcto, acertado y conveniente confiar la ponencia del caso, con todo lo que ello comporta, a un Magistrado agregado al órgano jurisdiccional colegiado, teniendo en cuenta lo que dispone la L.O.P.J. en sus artículos 203 y siguientes, especialmente el 204, en cuanto impone tal función a «los Magistrados de la Sala o Sección», por lo que parece que deban quedar excluidos, por obvias razones, los suplentes o los que excepcionalmente son llamados para formar Sala sin haber podido intervenir antes en las demás funciones que al Ponente encomienda el art. 205. </w:t>
      </w:r>
    </w:p>
    <w:p w:rsidR="00FA0779" w:rsidRDefault="00FA0779" w:rsidP="00FA0779">
      <w:pPr>
        <w:pStyle w:val="TextoNormal"/>
      </w:pPr>
      <w:r>
        <w:t xml:space="preserve">También invocan la infracción del derecho fundamental a obtener la tutela judicial efectiva que consagra el art. 24.1 C.E., en correlación con los derechos al juez ordinario predeterminado por la Ley y a un proceso con todas las garantías (art. 24.2 C.E.). </w:t>
      </w:r>
    </w:p>
    <w:p w:rsidR="00FA0779" w:rsidRDefault="00FA0779" w:rsidP="00FA0779">
      <w:pPr>
        <w:pStyle w:val="TextoNormal"/>
      </w:pPr>
      <w:r>
        <w:t>Dicen que en contra de lo que, con muy claros y nada desdeñables argumentos que han de tenerse muy presente a la hora de enjuiciarse este caso, estableció la Sentencia del Juz</w:t>
      </w:r>
      <w:r>
        <w:lastRenderedPageBreak/>
        <w:t xml:space="preserve">gado de lo Penal núm. 4 de Málaga, la que lleva a cabo la dictada por la Sección Primera de la Audiencia Provincial en grado de apelación, como presupuesto fáctico necesario para la condena por estafa y la correlativa por falso testimonio es un verdadero enjuiciamiento previo de una cuestión civil, hasta el punto de que cualquiera que leyera esta parte de la resolución creería encontrarse ante una Sentencia dictada en el orden civil y no en el penal. </w:t>
      </w:r>
    </w:p>
    <w:p w:rsidR="00FA0779" w:rsidRDefault="00FA0779" w:rsidP="00FA0779">
      <w:pPr>
        <w:pStyle w:val="TextoNormal"/>
      </w:pPr>
      <w:r>
        <w:t xml:space="preserve">Manifiestan que debe abordarse esta importante cuestión de la prejudicialidad a la luz de las SSTC 30/1996 y 50/1996. </w:t>
      </w:r>
    </w:p>
    <w:p w:rsidR="00FA0779" w:rsidRDefault="00FA0779" w:rsidP="00FA0779">
      <w:pPr>
        <w:pStyle w:val="TextoNormal"/>
      </w:pPr>
      <w:r>
        <w:t xml:space="preserve">Obsérvese, dicen, como estas dos Sentencias distinguen muy bien entre lo que es la mera «cuestión incidental» del art. 3 de la L.E.Crim. y la «cuestión devolutiva» prevista en el art. 4 y que obliga a suspender el procedimiento hasta la resolución, por el Tribunal competente para ello de la cuestión previa sobre la que ha de fundarse el pronunciamiento de culpabilidad o inocencia. </w:t>
      </w:r>
    </w:p>
    <w:p w:rsidR="00FA0779" w:rsidRDefault="00FA0779" w:rsidP="00FA0779">
      <w:pPr>
        <w:pStyle w:val="TextoNormal"/>
      </w:pPr>
      <w:r>
        <w:t xml:space="preserve">Para los recurrentes el supuesto del que se parte es el de que don Manuel Gil Quero es titular escriturario y registral, de la casa núms. 7 y 9 de la calle Lezcano de Málaga, y como tal está amparado no sólo por los derechos de propiedad que consagran los arts. 348 y siguientes del C.C., sino por la fundamental presunción que establece el art. 38 de la L.H. </w:t>
      </w:r>
    </w:p>
    <w:p w:rsidR="00FA0779" w:rsidRDefault="00FA0779" w:rsidP="00FA0779">
      <w:pPr>
        <w:pStyle w:val="TextoNormal"/>
      </w:pPr>
      <w:r>
        <w:t xml:space="preserve">Continúan diciendo que las determinaciones que tal precepto hipotecario establece con rango de ley son precisamente las que demuestran que nos hallamos ante una cuestión prejudicial devolutiva del art. 4 de la L.E.Crim., cuando como presupuesto de la condena ha de establecerse si el titular de un derecho inscrito en el Registro es realmente el propietario o mero fiduciario pues tal determinación requiere la previa demanda contradictoria y su sustanciación en la jurisdicción civil. </w:t>
      </w:r>
    </w:p>
    <w:p w:rsidR="00FA0779" w:rsidRDefault="00FA0779" w:rsidP="00FA0779">
      <w:pPr>
        <w:pStyle w:val="TextoNormal"/>
      </w:pPr>
      <w:r>
        <w:t xml:space="preserve">Pero tan importantes, y al mismo tiempo tan elementales consideraciones no han impedido a la Sala, constituida como órgano jurisdiccional penal y enjuiciando en dicho orden, para «resolver» una serie de complejas cuestiones civiles para llegar a declarar que la titularidad del Sr. Gil Quero sobre el inmueble no es real sino fiduciaria, sin duda para obviar el obstáculo que supone el antes citado art. 38 de la L.H. </w:t>
      </w:r>
    </w:p>
    <w:p w:rsidR="00FA0779" w:rsidRDefault="00FA0779" w:rsidP="00FA0779">
      <w:pPr>
        <w:pStyle w:val="TextoNormal"/>
      </w:pPr>
      <w:r>
        <w:t xml:space="preserve">Y todo eso lo ha hecho, dicen, planteando y resolviendo la cuestión en la Sentencia penal, sin dar posibilidad al interesado, al que se ha causado con ello manifiesta y gravísima indefensión, de alegar y probar la vigencia, bondad y certeza de su título y derecho en el correspondiente procedimiento civil. </w:t>
      </w:r>
    </w:p>
    <w:p w:rsidR="00FA0779" w:rsidRDefault="00FA0779" w:rsidP="00FA0779">
      <w:pPr>
        <w:pStyle w:val="TextoNormal"/>
      </w:pPr>
      <w:r>
        <w:t xml:space="preserve">Por todo ello entienden que al haberse obviado por la Sentencia recurrida una clarísima cuestión prejudicial civil y haberse enjuiciado una cuestión de tal orden por la jurisdicción penal, se ha infringido el fundamental derecho de tutela judicial efectiva, de idéntica manera a como lo han entendido y declarado las citadas SSTC 30/1996 y 50/1996, e incluso podría extenderse tal infracción de derechos fundamentales a la del Juez ordinario predeterminado por la ley (que para resolver tales cuestiones sería el civil y no el penal) y a un proceso con todas las garantías, puesto que, para discernir sobre, tan importante cuestión sobre si una titularidad es real o fiduciaria el proceso que ofrece todas las garantías es precisamente el civil y no el penal, por las notorias diferencias que ambos tienen en su desarrollo, tanto en la fase expositiva (demanda y contestación) como en el período probatorio e incluso en sus remedios procesales, ya que mientras en el primero sólo caben dos instancias, en el segundo son posibles tres, el acceso a la casación y el definitivo enjuiciamiento por el Tribunal Supremo. </w:t>
      </w:r>
    </w:p>
    <w:p w:rsidR="00FA0779" w:rsidRDefault="00FA0779" w:rsidP="00FA0779">
      <w:pPr>
        <w:pStyle w:val="TextoNormal"/>
      </w:pPr>
      <w:r>
        <w:t xml:space="preserve">También alegan infracción del derecho constitucional a la presunción de inocencia (art. 24.2 C.E.) en correlación con el art. 25.1 del mismo texto legal conforme al cual nadie </w:t>
      </w:r>
      <w:r>
        <w:lastRenderedPageBreak/>
        <w:t xml:space="preserve">puede ser condenado por acciones que no constituyan delito (principio de legalidad sancionadora). </w:t>
      </w:r>
    </w:p>
    <w:p w:rsidR="00FA0779" w:rsidRDefault="00FA0779" w:rsidP="00FA0779">
      <w:pPr>
        <w:pStyle w:val="TextoNormal"/>
      </w:pPr>
      <w:r>
        <w:t xml:space="preserve">Manifiestan que el principio de presunción de inocencia, amplia y correctamente entendido no puede limitarse tan sólo al más común de los supuestos de que nadie puede ser condenado sin suficiente prueba de cargo, sino que, antecedentemente y por encima de ello, forzosamente ha de implicar que para que tal presunción se vea desvirtuada el hecho imputado tiene que empezar por ser constitutivo de delito. No otra cosa es lo que se establece en el siguiente art. 25.1 C.E. a través del denominado «principio de legalidad sancionadora» conforme al cual, y según el texto literal del precepto, «nadie puede ser condenado por acciones que en el momento de producirse no constituyan delito, según la legislación vigente». </w:t>
      </w:r>
    </w:p>
    <w:p w:rsidR="00FA0779" w:rsidRDefault="00FA0779" w:rsidP="00FA0779">
      <w:pPr>
        <w:pStyle w:val="TextoNormal"/>
      </w:pPr>
      <w:r>
        <w:t xml:space="preserve">Según los recurrentes, la cuestión no es baladí ni intrascendente, pues siendo una cuestión pacíficamente admitida, como las dos Sentencias dictadas en las respectivas instancias se encargan también de recordarnos, que el elemento sustancial de la estafa es un engaño generado por el sujeto activo del delito frente a los sujetos pasivos, antecedentes o coincidente con el desplazamiento patrimonial que en virtud del mismo se provoca, ¿dónde encontrar la coincidente concurrencia de uno y otra en el presente caso? A la hora de buscar la existencia de ese engaño, como elemento necesario para desvirtuar la presunción de inocencia, hemos de coincidir con una frase lapidaria, con un argumento incontrovertible, de la Sentencia del Juzgado, que la de la Audiencia pasa por alto y no contempla: «Lógicamente, no se puede aparentar una titularidad adquirida por venta ante Notario». </w:t>
      </w:r>
    </w:p>
    <w:p w:rsidR="00FA0779" w:rsidRDefault="00FA0779" w:rsidP="00FA0779">
      <w:pPr>
        <w:pStyle w:val="TextoNormal"/>
      </w:pPr>
      <w:r>
        <w:t xml:space="preserve">Por lo que se refiere al delito de falso testimonio, debiendo concretarse y constreñirse éste en cuanto al Sr. Gil Quero, por imperativo del principio acusatorio sólo a la imputación que el Ministerio Fiscal le hizo en la ampliación de su conclusión provisional núm. 1 al elevarla a definitiva en el acto del juicio de haber faltado a la verdad cuando al declarar como testigo en un pleito civil manifestó que la operación de compraventa otorgada el 14 de agosto de 1985 «fue una operación real y no un contrato simulado, lo que permite reivindicar su propiedad», es evidente que sería incluso en la tesis punitiva que mantiene la Sentencia de la Audiencia una manifestación más de la conducta o modo de proceder que sirve al Tribunal para incardinar su actuación dentro del tipo penal de la estafa, por lo que penarla por separado como falso testimonio sería una evidente manifestación del principio non bis in idem. </w:t>
      </w:r>
    </w:p>
    <w:p w:rsidR="00FA0779" w:rsidRDefault="00FA0779" w:rsidP="00FA0779">
      <w:pPr>
        <w:pStyle w:val="TextoNormal"/>
      </w:pPr>
      <w:r>
        <w:t xml:space="preserve">También dicen que hay una nueva vulneración del derecho constitucional de la presunción de inocencia (art. 24 C.E.) que surgiría de la inexistencia de prueba de cargo válida sobre la comisión del delito. </w:t>
      </w:r>
    </w:p>
    <w:p w:rsidR="00FA0779" w:rsidRDefault="00FA0779" w:rsidP="00FA0779">
      <w:pPr>
        <w:pStyle w:val="TextoNormal"/>
      </w:pPr>
      <w:r>
        <w:t xml:space="preserve">Este motivo de amparo lo articulan de forma alternativa y subsidiaria al anterior, para el supuesto de que se estimara que la acción imputada al Sr. Gil Quero (mera permanencia en la situación jurídica de titularidad fiduciaria, que la Sentencia le achaca) fuera constitutiva de delito. </w:t>
      </w:r>
    </w:p>
    <w:p w:rsidR="00FA0779" w:rsidRDefault="00FA0779" w:rsidP="00FA0779">
      <w:pPr>
        <w:pStyle w:val="TextoNormal"/>
      </w:pPr>
      <w:r>
        <w:t xml:space="preserve">Sostienen que en tal supuesto tampoco existe, ni se ha practicado, ni la Sentencia impugnada evidencia, prueba de cargo válida y suficiente para la imputación de tal delito. </w:t>
      </w:r>
    </w:p>
    <w:p w:rsidR="00FA0779" w:rsidRDefault="00FA0779" w:rsidP="00FA0779">
      <w:pPr>
        <w:pStyle w:val="TextoNormal"/>
      </w:pPr>
      <w:r>
        <w:t xml:space="preserve">Frente a la contundente manifestación de la Sentencia dictada en primera instancia por el Juzgado de lo Penal de que «no existe ninguna prueba documental en los autos que pueda servir de apoyo a las alegaciones de «simulación y venta» y apariencia de titularidad», tal simulación y tal apariencia las da, sin embargo, como probadas el Tribunal de apelación. Suponiendo que en base a ellas pudiera construirse artificiosamente el delito de estafa, entienden los recurrentes que ninguna prueba de cargo válida se ha practicado ni se recoge en la Sentencia frente a la que el amparo, se deduce. </w:t>
      </w:r>
    </w:p>
    <w:p w:rsidR="00FA0779" w:rsidRDefault="00FA0779" w:rsidP="00FA0779">
      <w:pPr>
        <w:pStyle w:val="TextoNormal"/>
      </w:pPr>
      <w:r>
        <w:lastRenderedPageBreak/>
        <w:t xml:space="preserve">Pues bien, continúan los recurrentes, si se examina con algún detenimiento la Sentencia recurrida se observa que fundamentalmente la misma va dirigida a desvirtuar o privar de valor a las numerosas pruebas que el Sr. Gil Quero aportó (sin tener por qué hacerlo) en orden a demostrar que su titularidad respecto del inmueble era real y que a lo largo de los años había procedido y actuado siempre como verdadero dueño de la casa, sin oposición por parte de nadie. </w:t>
      </w:r>
    </w:p>
    <w:p w:rsidR="00FA0779" w:rsidRDefault="00FA0779" w:rsidP="00FA0779">
      <w:pPr>
        <w:pStyle w:val="TextoNormal"/>
      </w:pPr>
      <w:r>
        <w:t xml:space="preserve">También alegan infracción del Derecho constitucional de defensa y del derecho a no sufrir indefensión consagrados por el art. 24.2 C.E. </w:t>
      </w:r>
    </w:p>
    <w:p w:rsidR="00FA0779" w:rsidRDefault="00FA0779" w:rsidP="00FA0779">
      <w:pPr>
        <w:pStyle w:val="TextoNormal"/>
      </w:pPr>
      <w:r>
        <w:t xml:space="preserve">Se refiere especialmente este último motivo del recurso de amparo al delito de falso testimonio por el que resultan condenados los tres recurrentes, en función de la acusación de que fueron objeto por parte del Ministerio Fiscal y de la posterior condena que le fue impuesta por la Sentencia dictada en fecha 27 de noviembre de 1996. </w:t>
      </w:r>
    </w:p>
    <w:p w:rsidR="00FA0779" w:rsidRDefault="00FA0779" w:rsidP="00FA0779">
      <w:pPr>
        <w:pStyle w:val="TextoNormal"/>
      </w:pPr>
      <w:r>
        <w:t xml:space="preserve">Dicen los recurrentes que al propio Ministerio Fiscal debió parecerle insuficiente tal incriminación y, ciertamente sin mucho respeto al principio de «lealtad procesal en el acto del juicio, en el momento en que ya todas las pruebas habían sido propuesta y practicadas y en el trámite de elevación de las conclusiones a definitivas, completó o amplió su acusación, según se desprende de la lectura del antecedente de hecho primero de la Sentencia del Juzgado, y aunque no dijo mucho más, formuló un «acusación sorpresiva» por ampliación y por tanto rechazable. </w:t>
      </w:r>
    </w:p>
    <w:p w:rsidR="00FA0779" w:rsidRDefault="00FA0779" w:rsidP="00FA0779">
      <w:pPr>
        <w:pStyle w:val="TextoNormal"/>
      </w:pPr>
      <w:r>
        <w:t xml:space="preserve">Para los recurrentes sorprende ver como la Sentencia de la Audiencia en el hecho probado séptimo y octavo se extiende a lo largo de cuatro páginas y de distinto epígrafes en la imputación de una serie de «hechos nuevos» y completamente distinto del que concretamente fue objeto de acusación y, por tanto de defensa, y no contenta con eso, en un esfuerzo que sería digno de mejor causa y que manifiestamente rebasa el que se ha venido a denominar «principio de proporcionalidad», en el fundamento de Derecho tercero se extiende de nuevo a lo largo de otras cinco páginas de apretad literatura en infinitas consideraciones desmenuzando preguntas y respuestas en u penoso ejercicio dialéctico, tan improcedente como estéril por su exceso, pues es rebasando notoriamente con tales hechos nuevos los estrictos límites de la acusación. </w:t>
      </w:r>
    </w:p>
    <w:p w:rsidR="00FA0779" w:rsidRDefault="00FA0779" w:rsidP="00FA0779">
      <w:pPr>
        <w:pStyle w:val="TextoNormal"/>
      </w:pPr>
      <w:r>
        <w:t>Solicitan la suspensión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t>4</w:t>
      </w:r>
      <w:r>
        <w:t>. Por sendas providencias de 15 de abril de 1997, la Sección Tercera acordó admitir a trámite la demanda de amparo y formar pieza para la tramitación de incidente sobre suspensión, y conforme determina el art. 56 de la LOTC conceder un plazo común de tres días a la parte recurrente y al Ministerio Fiscal para que alegase lo que estimaran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Por escrito registrado en este Tribunal el 22 de abril de 1997, la parte recurrente reitera su solicitud de suspensión cautelar de la Sentencia recurrida hecha en 1 demanda.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por escrito que tuvo entrada en este Tribunal el 28 d abril de 1997, interesa que se suspenda la ejecución de la pena privativa de libertad impuesta, así como sus accesorias legales, y de los arrestos sustitutorios impuesto por el impago de las multas establecidas en la Sentencia, por cuanto de no hacerse así y el presente recurso de amparo se estimara, su objeto quedaría desprovisto de virtualidad. En este sentido manifiesta que al ser la duración de las penas privativas de libertad impuestas un mes y un día de arresto mayor y seis meses y un di de prisión menor no puede reputarse excesiva su </w:t>
      </w:r>
      <w:r>
        <w:lastRenderedPageBreak/>
        <w:t>duración y en caso de prospera el amparo éste quedaría ineficaz. No obstante, también interesa que no se suspendan los pronunciamientos relativos al pago de las multas, responsabilidad civil y costas por ser éstos de contenido meramente económico y, en consecuencia, posteriormente reparables.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objeto del presente Auto es resolver acerca de la solicitada suspensión de la ejecución de la Sentencia de la Sección Primera de la Audiencia Provincia de Málaga, de 27 de noviembre de 1996, que condenaba a los recurrentes como autores responsables de un delito de falso testimonio del art. 329 del C.P. vigente al tiempo de los hechos de autos, a cada uno de ellos a las penas de un mes y un día de arresto mayor y multa de 100.000 pesetas, con arresto sustitutorio de veinte días en caso de impago, a razón de un día por cada fracción de 5.000 pesetas impagadas, y asimismo, a don Manuel Gil Quero como autor responsable de un delito de estafa de los arts. 528 y 529.7 del C.P., a la pena de seis meses y un día de prisión menor, con las accesorias a todos ellos de suspensión de todo cargo público y derecho de sufragio durante el tiempo de las señaladas penas de arresto mayor y prisión menor, condenando igualmente a don Adolfo y a don Leopoldo Villén Villén al pago de una sexta parte de las costas, respectivamente, y a don Manuel Gil Quero al pago de las cuatro sextas partes restantes de costas, y además a este último a indemnizar por vía de responsabilidad civil a los herederos de don José Villén Pérez a excepción de su cónyuge doña María de las Mercedes Villén Villén, en la décima parte a cada uno de ellos del valor total del inmueble sito en la calle Lezcano núms. 7 y 9 de Málaga, que se cifra en 19.950.000 pesetas.</w:t>
      </w:r>
    </w:p>
    <w:p w:rsidR="00FA0779" w:rsidRDefault="00FA0779" w:rsidP="00FA0779">
      <w:pPr>
        <w:pStyle w:val="TextoNormal"/>
      </w:pPr>
    </w:p>
    <w:p w:rsidR="00FA0779" w:rsidRDefault="00FA0779" w:rsidP="00FA0779">
      <w:pPr>
        <w:pStyle w:val="TextoNormal"/>
      </w:pPr>
      <w:r w:rsidRPr="00FA0779">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FA0779" w:rsidRDefault="00FA0779" w:rsidP="00FA0779">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C.E.</w:t>
      </w:r>
    </w:p>
    <w:p w:rsidR="00FA0779" w:rsidRDefault="00FA0779" w:rsidP="00FA0779">
      <w:pPr>
        <w:pStyle w:val="TextoNormal"/>
      </w:pPr>
      <w:r>
        <w:t>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Aplicada la doctrina expuesta al presente caso, ha de accederse a la suspensión solicitada por los recurrentes respecto de las penas privativas de libertad impuestas y de sus </w:t>
      </w:r>
      <w:r>
        <w:lastRenderedPageBreak/>
        <w:t>accesorias, que siguen la misma suerte que la principal (AATC 202/1992 y 6/1996, entre otros), así como para los arrestos sustitutorios en caso de impago de la multa. En cuanto a los pronunciamientos de contenido económico de la Sentencia impugnada, es decir, las penas de multa, las costas y las indemnizaciones de responsabilidad civil no procede la suspensión, pues se trata de un perjuicio que en caso de estimarse el amparo podría ser fácilmente reparado (AATC 88/1995 y 103/1995).</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w:t>
      </w:r>
    </w:p>
    <w:p w:rsidR="00FA0779" w:rsidRDefault="00FA0779" w:rsidP="00FA0779">
      <w:pPr>
        <w:pStyle w:val="TextoNormal"/>
      </w:pPr>
      <w:r>
        <w:t>1.º Suspender la ejecución de la Sentencia, de 27 de noviembre de 1996, de la Sección Primera de la Audiencia Provincial de Málaga, tan sólo respecto a las penas privativas de libertad impuestas, sus accesorias legales y arrestos sustitutorios.</w:t>
      </w:r>
    </w:p>
    <w:p w:rsidR="00FA0779" w:rsidRDefault="00FA0779" w:rsidP="00FA0779">
      <w:pPr>
        <w:pStyle w:val="TextoNormal"/>
      </w:pPr>
      <w:r>
        <w:t>2.º No suspender la ejecución de las penas de multa, de las indemnizaciones por responsabilidad civil ni el pago de las costas procesales impuestas.</w:t>
      </w:r>
    </w:p>
    <w:p w:rsidR="00FA0779" w:rsidRDefault="00FA0779" w:rsidP="00FA0779">
      <w:pPr>
        <w:pStyle w:val="TextoNormal"/>
      </w:pPr>
    </w:p>
    <w:p w:rsidR="00FA0779" w:rsidRDefault="00FA0779" w:rsidP="00FA0779">
      <w:pPr>
        <w:pStyle w:val="TextoNormal"/>
      </w:pPr>
      <w:r>
        <w:t>Madrid, a diecinueve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2" w:name="AUTO_1997_159"/>
      <w:r>
        <w:lastRenderedPageBreak/>
        <w:t>AUTO 159/1997, de 19 de mayo de 1997</w:t>
      </w:r>
    </w:p>
    <w:bookmarkEnd w:id="92"/>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ECLI:ES:TC:1997:159A</w:t>
      </w:r>
    </w:p>
    <w:p w:rsidR="00FA0779" w:rsidRDefault="00FA0779" w:rsidP="00FA0779">
      <w:pPr>
        <w:pStyle w:val="SntesisDescriptiva"/>
      </w:pPr>
    </w:p>
    <w:p w:rsidR="00FA0779" w:rsidRDefault="00FA0779" w:rsidP="00FA0779">
      <w:pPr>
        <w:pStyle w:val="SntesisDescriptiva"/>
      </w:pPr>
      <w:r>
        <w:t>Excms. Srs. don Álvaro Rodríguez Bereijo,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TtuloResolucin"/>
      </w:pPr>
      <w:r>
        <w:t>*Este auto no incorpora doctrina constitucional.</w:t>
      </w:r>
    </w:p>
    <w:p w:rsidR="00FA0779" w:rsidRDefault="00FA0779">
      <w:pPr>
        <w:rPr>
          <w:rFonts w:ascii="Times New Roman" w:eastAsia="Times New Roman" w:hAnsi="Times New Roman" w:cs="Times New Roman"/>
          <w:b/>
          <w:sz w:val="24"/>
          <w:szCs w:val="24"/>
          <w:lang w:eastAsia="es-ES"/>
        </w:rPr>
      </w:pPr>
      <w:r>
        <w:br w:type="page"/>
      </w:r>
    </w:p>
    <w:p w:rsidR="00FA0779" w:rsidRDefault="00FA0779" w:rsidP="00FA0779">
      <w:pPr>
        <w:pStyle w:val="TtuloResolucin"/>
      </w:pPr>
      <w:bookmarkStart w:id="93" w:name="AUTO_1997_160"/>
      <w:r>
        <w:lastRenderedPageBreak/>
        <w:t>AUTO 160/1997, de 20 de mayo de 1997</w:t>
      </w:r>
    </w:p>
    <w:bookmarkEnd w:id="93"/>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ECLI:ES:TC:1997:160A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3.802/1996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4" w:name="AUTO_1997_161"/>
      <w:r>
        <w:lastRenderedPageBreak/>
        <w:t>AUTO 161/1997, de 20 de mayo de 1997</w:t>
      </w:r>
    </w:p>
    <w:bookmarkEnd w:id="94"/>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ECLI:ES:TC:1997:161A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3.803/1996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5" w:name="AUTO_1997_162"/>
      <w:r>
        <w:lastRenderedPageBreak/>
        <w:t>AUTO 162/1997, de 20 de mayo de 1997</w:t>
      </w:r>
    </w:p>
    <w:bookmarkEnd w:id="95"/>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ECLI:ES:TC:1997:162A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3.804/1996.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6" w:name="AUTO_1997_163"/>
      <w:r>
        <w:lastRenderedPageBreak/>
        <w:t>AUTO 163/1997, de 20 de mayo de 1997</w:t>
      </w:r>
    </w:p>
    <w:bookmarkEnd w:id="96"/>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ECLI:ES:TC:1997:163A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3.822/1996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7" w:name="AUTO_1997_164"/>
      <w:r>
        <w:lastRenderedPageBreak/>
        <w:t>AUTO 164/1997, de 20 de mayo de 1997</w:t>
      </w:r>
    </w:p>
    <w:bookmarkEnd w:id="97"/>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ECLI:ES:TC:1997:164A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3.823/1996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8" w:name="AUTO_1997_165"/>
      <w:r>
        <w:lastRenderedPageBreak/>
        <w:t>AUTO 165/1997, de 20 de mayo de 1997</w:t>
      </w:r>
    </w:p>
    <w:bookmarkEnd w:id="98"/>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ECLI:ES:TC:1997:165A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4.382/1996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99" w:name="AUTO_1997_166"/>
      <w:r>
        <w:lastRenderedPageBreak/>
        <w:t>AUTO 166/1997, de 20 de mayo de 1997</w:t>
      </w:r>
    </w:p>
    <w:bookmarkEnd w:id="99"/>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ECLI:ES:TC:1997:166A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4.383/1996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0" w:name="AUTO_1997_167"/>
      <w:r>
        <w:lastRenderedPageBreak/>
        <w:t>AUTO 167/1997, de 20 de mayo de 1997</w:t>
      </w:r>
    </w:p>
    <w:bookmarkEnd w:id="100"/>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ECLI:ES:TC:1997:167A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4.384/1996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1" w:name="AUTO_1997_168"/>
      <w:r>
        <w:lastRenderedPageBreak/>
        <w:t>AUTO 168/1997, de 20 de mayo de 1997</w:t>
      </w:r>
    </w:p>
    <w:bookmarkEnd w:id="101"/>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ECLI:ES:TC:1997:168A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4.397/1996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2" w:name="AUTO_1997_169"/>
      <w:r>
        <w:lastRenderedPageBreak/>
        <w:t>AUTO 169/1997, de 20 de mayo de 1997</w:t>
      </w:r>
    </w:p>
    <w:bookmarkEnd w:id="102"/>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ECLI:ES:TC:1997:169A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4.398/1996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3" w:name="AUTO_1997_170"/>
      <w:r>
        <w:lastRenderedPageBreak/>
        <w:t>AUTO 170/1997, de 20 de mayo de 1997</w:t>
      </w:r>
    </w:p>
    <w:bookmarkEnd w:id="103"/>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ECLI:ES:TC:1997:170A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272/1997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4" w:name="AUTO_1997_171"/>
      <w:r>
        <w:lastRenderedPageBreak/>
        <w:t>AUTO 171/1997, de 20 de mayo de 1997</w:t>
      </w:r>
    </w:p>
    <w:bookmarkEnd w:id="104"/>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ECLI:ES:TC:1997:171A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273/1997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5" w:name="AUTO_1997_172"/>
      <w:r>
        <w:lastRenderedPageBreak/>
        <w:t>AUTO 172/1997, de 20 de mayo de 1997</w:t>
      </w:r>
    </w:p>
    <w:bookmarkEnd w:id="105"/>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ECLI:ES:TC:1997:172A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Acuerda la inadmisión de la cuestión de inconstitucionalidad 281/1997.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6" w:name="AUTO_1997_173"/>
      <w:r>
        <w:lastRenderedPageBreak/>
        <w:t>AUTO 173/1997, de 20 de mayo de 1997</w:t>
      </w:r>
    </w:p>
    <w:bookmarkEnd w:id="106"/>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ECLI:ES:TC:1997:173A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Acuerda el desistimiento parcialmente al Gobierno de la Nación del recurso de inconstitucionalidad número 1.297/97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Abogado del Estado, en nombre del Presidente del Gobierno, mediante escrito presentado el 26 de marzo de 1997, interpuso recurso de inconstitucionalidad contra el art. 51 y la Disposición adicional vigésima quinta de la Ley 5/1996, de 27 de diciembre, de Presupuestos Generales de la Comunidad Autónoma de Canarias. </w:t>
      </w:r>
    </w:p>
    <w:p w:rsidR="00FA0779" w:rsidRDefault="00FA0779" w:rsidP="00FA0779">
      <w:pPr>
        <w:pStyle w:val="TextoNormal"/>
      </w:pPr>
      <w:r>
        <w:t>Se hizo expresa invocación del art. 161.2 C.E., a efectos de la suspensión de la vigencia y aplicación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Tercera, mediante providencia de 8 de abril de 1997, acordó admitir a trámite el recurso dando traslado de la demanda y documentos presentados, conforme establece el art. 34 LOTC, al Congreso, al Senado, así como al Gobierno y al Parlamento de Canarias, por conducto de sus Presidentes, al objeto de que, en el plazo de quince días, pudieran personarse en el proceso y formular las alegaciones que estimaren convenientes. Al haber sido invocado por el Presidente del Gobierno el art. 161.2 de la C.E., y conforme establece el art. 30 de la LOTC, se acordó asimismo la suspensión de la vigencia y aplicación de los preceptos impugnados, para las partes desde la fecha de interposición del recurso y desde el día en que apareciera publicada la suspensión en el «Boletín Oficial del Estado» para los terceros; lo que se comunicó a los Presidentes del Gobierno y del Parlamento de Canarias.</w:t>
      </w:r>
    </w:p>
    <w:p w:rsidR="00FA0779" w:rsidRDefault="00FA0779" w:rsidP="00FA0779">
      <w:pPr>
        <w:pStyle w:val="TextoNormal"/>
      </w:pPr>
    </w:p>
    <w:p w:rsidR="00FA0779" w:rsidRDefault="00FA0779" w:rsidP="00FA0779">
      <w:pPr>
        <w:pStyle w:val="TextoNormal"/>
      </w:pPr>
      <w:r w:rsidRPr="00FA0779">
        <w:rPr>
          <w:rStyle w:val="NumeroAFNegritaCaracter"/>
        </w:rPr>
        <w:t>3</w:t>
      </w:r>
      <w:r>
        <w:t>. Dentro del plazo conferido se personaron en el proceso los representantes procesales del Gobierno y del Parlamento de Canarias, solicitando ambos prórroga para la formalización de los escritos de alegaciones, que les fue concedida en providencias dictadas, respectivamente, el 29 de abril y 6 de mayo de 1997.</w:t>
      </w:r>
    </w:p>
    <w:p w:rsidR="00FA0779" w:rsidRDefault="00FA0779" w:rsidP="00FA0779">
      <w:pPr>
        <w:pStyle w:val="TextoNormal"/>
      </w:pPr>
    </w:p>
    <w:p w:rsidR="00FA0779" w:rsidRDefault="00FA0779" w:rsidP="00FA0779">
      <w:pPr>
        <w:pStyle w:val="TextoNormal"/>
      </w:pPr>
      <w:r w:rsidRPr="00FA0779">
        <w:rPr>
          <w:rStyle w:val="NumeroAFNegritaCaracter"/>
        </w:rPr>
        <w:t>4</w:t>
      </w:r>
      <w:r>
        <w:t>. El 28 de abril de 1997 tuvo ingreso en el Registro del Tribunal un escrito de la misma fecha, por el que el Abogado del Estado debidamente autorizado, según consta en la certificación que adjunta del acuerdo del Consejo de Ministros celebrado el 18 de abril anterior, desiste parcialmente del presente recurso en relación con la Disposición adicio</w:t>
      </w:r>
      <w:r>
        <w:lastRenderedPageBreak/>
        <w:t>nal-vigésima quinta de la Ley 5/1996, de Canarias, señalándose que, al dirigirse el objeto del recurso de inconstitucionalidad contra varios artículos de la Ley se puede entender, conforme tuvo ocasión el Tribunal de establecer en STC 237/1992, que existen tantos recursos como normas concretas de su articulado se impugnan. Solicita, en consecuencia, se tenga por desistido al Gobierno de la Nación del presente recurso de inconstitucionalidad en relación con la citada Disposición adicional vigésima quinta.</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La Sección Tercera en providencia dictada el 6 de mayo siguiente, acordó dar traslado al Parlamento y al Gobierno de Canarias del escrito de desistimiento ,para que pudieran alegar lo que considerasen conveniente acerca del mismo. </w:t>
      </w:r>
    </w:p>
    <w:p w:rsidR="00FA0779" w:rsidRDefault="00FA0779" w:rsidP="00FA0779">
      <w:pPr>
        <w:pStyle w:val="TextoNormal"/>
      </w:pPr>
      <w:r>
        <w:t xml:space="preserve">El Director General del Servicio Jurídico del Gobierno de Canarias, en escrito recibido el 9 de mayo, muestra su conformidad con el desistimiento parcial formulado. En otrosí al escrito manifiesta que debe acordarse también el levantamiento de la suspensión de la Disposición adicional vigésima quinta, con efectos desde la fecha de presentación del escrito de desistimiento parcial. </w:t>
      </w:r>
    </w:p>
    <w:p w:rsidR="00FA0779" w:rsidRDefault="00FA0779" w:rsidP="00FA0779">
      <w:pPr>
        <w:pStyle w:val="TextoNormal"/>
      </w:pPr>
      <w:r>
        <w:t>El Letrado Secretario General del Parlamento de Canarias, mediante escrito que se recibe el 12 de mayo, dice que la representación del Parlamento de Canarias no se opone a que por el Tribunal se estime la solicitud de desistimiento parcial.</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FA0779" w:rsidRDefault="00FA0779" w:rsidP="00FA0779">
      <w:pPr>
        <w:pStyle w:val="TextoNormal"/>
      </w:pPr>
      <w:r>
        <w:t>de este acto procesal. En virtud de lo dispuesto en tales preceptos puede estimarse como forma admitida para poner fin a un recurso de inconstitucionalidad, total o parcialmente, la manifestación de la voluntad de desistir, según reiterada jurisprudencia</w:t>
      </w:r>
    </w:p>
    <w:p w:rsidR="00FA0779" w:rsidRDefault="00FA0779" w:rsidP="00FA0779">
      <w:pPr>
        <w:pStyle w:val="TextoNormal"/>
      </w:pPr>
      <w:r>
        <w:t>de este Tribunal, siempre que no se opongan las demás partes personadas a través de un motivo declarado válido por este Tribunal, ni se advierta un interés constitucional que aconseje la prosecución del proceso hasta su finalización por Sentencia.</w:t>
      </w:r>
    </w:p>
    <w:p w:rsidR="00FA0779" w:rsidRDefault="00FA0779" w:rsidP="00FA0779">
      <w:pPr>
        <w:pStyle w:val="TextoNormal"/>
      </w:pPr>
      <w:r>
        <w:t>El Abogado del Estado, debidamente autorizado, según certificación del acuerdo adoptado al efecto por el Consejo de Ministros, pide que se le tenga por desistido parcialmente del presente recurso, respecto de la Disposición adicional vigésima quinta de la Ley 5/1996 de la Comunidad Autónoma de Canarias. Las representaciones procesales del Gobierno y del Parlamento de Canarias no plantean objeción alguna al desistimiento parcial formulado, sin que se advierta algún interés constitucional que aconseje la prosecución del recurso, también en cuanto a la Disposición Adicional desistida, hasta su finalización por sentencia.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acuerda tener por desistido parcialmente al Gobierno de la Nación del recurso de inconstitucionalidad número 1.297/97 por lo que se refiere a la Disposición adicional vigésima quinta de la Ley 5/1996, de 27 de diciembre, de</w:t>
      </w:r>
    </w:p>
    <w:p w:rsidR="00FA0779" w:rsidRDefault="00FA0779" w:rsidP="00FA0779">
      <w:pPr>
        <w:pStyle w:val="TextoNormal"/>
      </w:pPr>
      <w:r>
        <w:lastRenderedPageBreak/>
        <w:t>Presupuestos Generales de la Comunidad Autónoma de Canarias y dejar sin efecto la suspensión de la vigencia de la citada Disposición, acordada por providencia de 8 de abril de 1997. Se mantiene el recurso de inconstitucionalidad interpuesto contra el</w:t>
      </w:r>
    </w:p>
    <w:p w:rsidR="00FA0779" w:rsidRDefault="00FA0779" w:rsidP="00FA0779">
      <w:pPr>
        <w:pStyle w:val="TextoNormal"/>
      </w:pPr>
      <w:r>
        <w:t>art. 51 de la mencionada Ley 5/1996.</w:t>
      </w:r>
    </w:p>
    <w:p w:rsidR="00FA0779" w:rsidRDefault="00FA0779" w:rsidP="00FA0779">
      <w:pPr>
        <w:pStyle w:val="TextoNormal"/>
      </w:pPr>
    </w:p>
    <w:p w:rsidR="00FA0779" w:rsidRDefault="00FA0779" w:rsidP="00FA0779">
      <w:pPr>
        <w:pStyle w:val="TextoNormal"/>
      </w:pPr>
      <w:r>
        <w:t>Madrid, a veinte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7" w:name="AUTO_1997_174"/>
      <w:r>
        <w:lastRenderedPageBreak/>
        <w:t>AUTO 174/1997, de 21 de mayo de 1997</w:t>
      </w:r>
    </w:p>
    <w:bookmarkEnd w:id="107"/>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ECLI:ES:TC:1997:174A</w:t>
      </w:r>
    </w:p>
    <w:p w:rsidR="00FA0779" w:rsidRDefault="00FA0779" w:rsidP="00FA0779">
      <w:pPr>
        <w:pStyle w:val="SntesisDescriptiva"/>
      </w:pPr>
    </w:p>
    <w:p w:rsidR="00FA0779" w:rsidRDefault="00FA0779" w:rsidP="00FA0779">
      <w:pPr>
        <w:pStyle w:val="SntesisDescriptiva"/>
      </w:pPr>
      <w:r>
        <w:t>Excms. Srs. don Carles Viver Pi-Sunyer, don Tomás Salvador Vives Antón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112/1996.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medio de escrito registrado en este Tribunal el 10 de enero de 1996, la representación procesal de la demandante de amparo ha interpuesto recurso de amparo contra la Sentencia de 13 de noviembre de 1995 de la Sección Primera de la Sala Tercera del Tribunal Supremo que inadmite por extemporáneo recurso extraordinario de revisión contra la Sentencia de 10 de febrero de 1992 de la misma Sala (recurso de revisión 6.850/92).</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que dan lugar al presente recurso de amparo son, en síntesis, los siguientes: </w:t>
      </w:r>
    </w:p>
    <w:p w:rsidR="00FA0779" w:rsidRDefault="00FA0779" w:rsidP="00FA0779">
      <w:pPr>
        <w:pStyle w:val="TextoNormal"/>
      </w:pPr>
      <w:r>
        <w:t xml:space="preserve">La demandante de amparo interpuso recurso de revisión, al amparo del art. 102, apartados a) y b), de la Ley reguladora de la Jurisdicción Contencioso-Administrativa, contra la Sentencia de 10 de febrero de 1992 de la Sección Séptima de la Sala Tercera, que había sido notificada al demandante el 11 de marzo de 1992. El escrito por el que se solicitaba la revisión tiene fecha de 10 de abril de 1992. </w:t>
      </w:r>
    </w:p>
    <w:p w:rsidR="00FA0779" w:rsidRDefault="00FA0779" w:rsidP="00FA0779">
      <w:pPr>
        <w:pStyle w:val="TextoNormal"/>
      </w:pPr>
      <w:r>
        <w:t xml:space="preserve">La solicitud fue tramitada por la Sala Tercera conforme a lo previsto por los arts. 1.801 y siguientes de la L.E.C., y en su virtud fue oído el Ministerio Fiscal y la contraparte, recibido el pleito a prueba y practicada la propuesta, se señaló para votación y fallo el día 6 de noviembre de 1995. </w:t>
      </w:r>
    </w:p>
    <w:p w:rsidR="00FA0779" w:rsidRDefault="00FA0779" w:rsidP="00FA0779">
      <w:pPr>
        <w:pStyle w:val="TextoNormal"/>
      </w:pPr>
      <w:r>
        <w:t xml:space="preserve">La demanda de revisión fue inadmitida por Sentencia de 13 de noviembre de 1995, notificada el 12 de diciembre, al considerarla extemporánea, dado que de las actuaciones se desprendía, por el sello estampillado al efecto, que el recurso de revisión había tenido su entrada en el Registro General del Tribunal Supremo el 14 de abril de 1992, es decir, un mes y tres días después de la notificación de la resolución impugnada, superando con ello el plazo de un mes establecido para su interposición en el art. 102 de la Ley procesal. </w:t>
      </w:r>
    </w:p>
    <w:p w:rsidR="00FA0779" w:rsidRDefault="00FA0779" w:rsidP="00FA0779">
      <w:pPr>
        <w:pStyle w:val="TextoNormal"/>
      </w:pPr>
      <w:r>
        <w:t>Contra dicha resolución interpuso todavía el demandante escrito de aclaración con la misma fundamentación de esta demanda de amparo, a la que luego se hará referencia, el cual fue desestimado al entender que la pretensión en él planteada no era susceptible de ser atendida en los estrechos cauces de rectificación que admite el art. 267.2 de la L.O.P.J.</w:t>
      </w:r>
    </w:p>
    <w:p w:rsidR="00FA0779" w:rsidRDefault="00FA0779" w:rsidP="00FA0779">
      <w:pPr>
        <w:pStyle w:val="TextoNormal"/>
      </w:pPr>
    </w:p>
    <w:p w:rsidR="00FA0779" w:rsidRDefault="00FA0779" w:rsidP="00FA0779">
      <w:pPr>
        <w:pStyle w:val="TextoNormal"/>
      </w:pPr>
      <w:r w:rsidRPr="00FA0779">
        <w:rPr>
          <w:rStyle w:val="NumeroAFNegritaCaracter"/>
        </w:rPr>
        <w:t>3</w:t>
      </w:r>
      <w:r>
        <w:t>. Presentada por el recurrente demanda de amparo, el pasado 8 de enero de 1996, la Sección Cuarta (Sala Segunda) de este Tribunal Constitucional acordó el pasado 12 de febrero de 1997, de conformidad, con lo previsto en el número 3 del art. 50 de la Ley Or</w:t>
      </w:r>
      <w:r>
        <w:lastRenderedPageBreak/>
        <w:t>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Por escrito presentado el 14 de marzo de 1997 la recurrente reitera lo manifestado en la demanda de amparo, y pone de manifiesto que en su opinión la resolución judicial de inadmisión vulnera su derecho a obtener la tutela judicial efectiva, ya que, por error, se cerró la posibilidad de obtener la protección judicial de sus intereses. </w:t>
      </w:r>
    </w:p>
    <w:p w:rsidR="00FA0779" w:rsidRDefault="00FA0779" w:rsidP="00FA0779">
      <w:pPr>
        <w:pStyle w:val="TextoNormal"/>
      </w:pPr>
      <w:r>
        <w:t xml:space="preserve">El error se habría producido al tomar como fecha de interposición del recurso la que aparece en la demanda original unida a las actuaciones como fecha de entrada en el Registro General del Tribunal Supremo -el 14 de abril de 1992- cuando la realidad es que el escrito de solicitud de revisión se presentó el 11 de abril de 1992, día en que vencía el plazo de un mes desde la notificación de la resolución impugnada en el Juzgado de Guardia de Madrid. </w:t>
      </w:r>
    </w:p>
    <w:p w:rsidR="00FA0779" w:rsidRDefault="00FA0779" w:rsidP="00FA0779">
      <w:pPr>
        <w:pStyle w:val="TextoNormal"/>
      </w:pPr>
      <w:r>
        <w:t xml:space="preserve">Según manifiesta el demandante, al parecer y por error del Juzgado de Instrucción de Guardia, no se selló el original del recurso de revisión y no se hizo constar en él la fecha de presentación. Remitida la solicitud al Tribunal Supremo, sin fecha de entrada en el Juzgado de Guardia, la única fecha que se estampilló en el original fue la del día en que tuvo entrada en el Registro General del Tribunal Supremo -tres días más tarde y ya fuera de plazo-. Tal aseveración la trata de acreditar con una copia del escrito por el que se interponga el recurso de revisión, que aporta con la demanda de amparo, y en cuya primera página aparece estampillado sello de entrada el 11 de abril de 1992 en el Juzgado de Instrucción núm. 43 de Madrid, en funciones de Guardia. </w:t>
      </w:r>
    </w:p>
    <w:p w:rsidR="00FA0779" w:rsidRDefault="00FA0779" w:rsidP="00FA0779">
      <w:pPr>
        <w:pStyle w:val="TextoNormal"/>
      </w:pPr>
      <w:r>
        <w:t>Para el demandante, tal error, cometido por el Juzgado de Guardia de Madrid, ha provocado que el Tribunal Supremo estime una causa de inadmisibilidad del recurso que no concurría, siendo, por tanto, el error atribuible a la Administración de Justicia, el cual le ha producido indefensión.</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en escrito que tuvo entrada en este Tribunal el 10 de marzo de 1997 interesó la inadmisión a trámite de la demanda por carecer de contenido constitucional aunque en su escrito señalaba que «si la copia sellada en el Juzgado de Guardia de Madrid advera que se presentó el día 11 de abril de 1992, como se afirma, el recurso de amparo debe ser admitido ya que los errores de los órganos judiciales no pueden producir efectos negativos en la esfera jurídica del ciudadano.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objeto de la presente pretensión de amparo consiste en determinar si la Sentencia de 13 de noviembre de 1995 en la que la Sección Primera de la Sala Tercera del Tribunal Supremo apreció la inadmisión por extemporaneidad del recurso extraordinario de revisión planteado, vulneró, al no pronunciarse sobre el fondo del mismo, el derecho a la tutela judicial efectiva del demandante. Para éste, dicha resolución vino propiciada por un error de la Administración de Justicia que hizo que la Sala apreciara una causa de inadmisión inexistente, al omitirse en el Juzgado de Guardia de Madrid el sello del registro de entrada que acredita la fecha de la presentación del escrito, y provocó así que fuera tenida </w:t>
      </w:r>
      <w:r>
        <w:lastRenderedPageBreak/>
        <w:t>como fecha de presentación del escrito la fecha de su entrada en el Registro del Tribunal Supremo, posterior en tres días a la fecha en la que expiraba el plazo para recurrir.</w:t>
      </w:r>
    </w:p>
    <w:p w:rsidR="00FA0779" w:rsidRDefault="00FA0779" w:rsidP="00FA0779">
      <w:pPr>
        <w:pStyle w:val="TextoNormal"/>
      </w:pPr>
    </w:p>
    <w:p w:rsidR="00FA0779" w:rsidRDefault="00FA0779" w:rsidP="00FA0779">
      <w:pPr>
        <w:pStyle w:val="TextoNormal"/>
      </w:pPr>
      <w:r w:rsidRPr="00FA0779">
        <w:rPr>
          <w:rStyle w:val="NumeroAFNegritaCaracter"/>
        </w:rPr>
        <w:t>2</w:t>
      </w:r>
      <w:r>
        <w:t>. Desde sus primeras Sentencias (SSTC 9/1981, 13/1981 y 11/1982), este Tribunal ha declarado que el art. 24.1 C.E. reconoce el derecho de todos los ciudadanos a la jurisdicción, y que este derecho no puede interpretarse como un derecho incondicional a la prestación jurisdiccional, sino como un derecho a obtenerla siempre que se ejerza por las vías procesales legalmente establecidas. De este modo, el derecho a la tutela judicial efectiva comprende el derecho a obtener una resolución motivada y fundada en Derecho, a ser posible sobre el fondo de las pretensiones formuladas, pero que podrá ser de inadmisión cuando concurra alguna causa legal para ello y así lo acuerde el Juez o Tribunal en aplicación no arbitraria, razonada y razonable de la misma (entre otras muchas, STC 68/1983 y, más recientemente, SSTC 192/1992 y 20/1993).</w:t>
      </w:r>
    </w:p>
    <w:p w:rsidR="00FA0779" w:rsidRDefault="00FA0779" w:rsidP="00FA0779">
      <w:pPr>
        <w:pStyle w:val="TextoNormal"/>
      </w:pPr>
      <w:r>
        <w:t>Debe recordarse que en el supuesto sometido a nuestra consideración la resolución impugnada no impide el acceso al proceso, pues éste ya se ventiló y resolvió anteriormente por la Sala Tercera, sino que impide un segundo pronunciamiento judicial al inadmitir un recurso (el de revisión) por una causa legalmente establecida (su interposición fuera de plazo). 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válida constitución del proceso. únicamente cuando se deniegue el acceso al recurso de forma inmotivada (STC 18/1990), basándose en una causa legal inexistente o en error patente (SSTC 192/1992, 255/1994, 219/1993 ó 162/1995) o, finalmente, mediante una interpretación de la misma manifiestamente arbitraria e infundada que no podría considerarse expresión del ejercicio de la justicia (por todas, SSTC 148/1994 y 55/1995), es posible su revisión en sede constitucional, pues sólo en tales casos existe una lesión constitucionalmente relevante del citado derecho fundamental.</w:t>
      </w:r>
    </w:p>
    <w:p w:rsidR="00FA0779" w:rsidRDefault="00FA0779" w:rsidP="00FA0779">
      <w:pPr>
        <w:pStyle w:val="TextoNormal"/>
      </w:pPr>
      <w:r>
        <w:t>Ahora bien, ya en la temprana STC 3/1983 (fundamento jurídico 4.º), el Tribunal Constitucional ha subrayado también el diferente relieve constitucional del derecho al acceso a la jurisdicción y el de acceso a los recursos legalmente establecidos, aunque ambos se encuentren insitos en el art. 24.1 C.E., porque este último presupone inexorablemente el primero del cual viene a ser tan sólo un corolario, pues el derecho a acceder a la justicia no viene otorgado por la Ley sino por la Constitución misma. Lo que se traduce en que el principio pro actione ha de operar en la protección constitucional del derecho al acceso a la jurisdicción, dada la diferente trascendencia que cabe otorgar -desde la perspectiva constitucional- a los requisitos de acceso al proceso, en tanto pueden obstaculizar o eliminar el derecho de los ciudadanos a someter el caso al conocimiento y pronunciamiento de un Juez y, por tanto, causar indefensión, y a los requisitos de inadmisión de los recursos legalmente establecidos, en que se pretende la revisión de la respuesta judicial ya contenida en la Sentencia de instancia previamente dictada, que ya habría satisfecho el núcleo de su derecho fundamental (STC 255/1993, fundamento jurídico 3.º) a una tutela judicial efectiva sin indefensión. Doctrina recientemente reafirmada en las SSTC 37/1995 y 9/1997.</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Desde esta perspectiva debe afirmarse, como se anticipó ya en la providencia que puso de manifiesto a las partes la posible concurrencia de una causa de inadmisión, que la </w:t>
      </w:r>
      <w:r>
        <w:lastRenderedPageBreak/>
        <w:t>demanda carece de contenido constitucional que justifique una resolución de fondo por parte de este Tribunal, por cuanto no cabe afirmar que la resolución impugnada se halle en alguno de los supuestos reseñados que permiten advertir lesión del derecho a la tutela judicial efectiva.</w:t>
      </w:r>
    </w:p>
    <w:p w:rsidR="00FA0779" w:rsidRDefault="00FA0779" w:rsidP="00FA0779">
      <w:pPr>
        <w:pStyle w:val="TextoNormal"/>
      </w:pPr>
      <w:r>
        <w:t>No cabe apreciar que la resolución impugnada carezca de motivación, pues expresa las razones por las que decide, ni que la misma se base en una causa inexistente, pues los recursos están sometidos a plazo, ni que se haya incurrido en un error patente al aplicar las normas procesales sobre inadmisión, como luego se razonará. La extemporaneidad del recurso de revisión presentado se dedujo de los datos que obran en las actuaciones tal y como reconoce la demanda. La Sala Tercera del Tribunal Supremo tomó como fecha de presentación del recurso aquélla en que el mismo aparece presentado en el Registro General del Tribunal Supremo -el 14 de abril de 1992- conforme al original unido a la causa, y al constatar que la notificación de la Sentencia impugnada se hizo el 11 de marzo de 1992, concluye lógicamente que ha transcurrido con exceso el plazo de un mes previsto en el art. 102.1 de la Ley procesal para interponer el recurso de revisión.</w:t>
      </w:r>
    </w:p>
    <w:p w:rsidR="00FA0779" w:rsidRDefault="00FA0779" w:rsidP="00FA0779">
      <w:pPr>
        <w:pStyle w:val="TextoNormal"/>
      </w:pPr>
      <w:r>
        <w:t>Es cierto que este Tribunal -como se expone en la demanda- ha manifestado con reiteración que los errores patentes cometidos por los órganos judiciales no deben producir efectos negativos en la esfera jurídica, de manera que tales errores han de ser corregidos por este Tribunal a través de la vía del recurso de amparo: manifestaciones que pueden encontrarse, entre otras, en nuestras SSTC 107/1987, 190/1990, 55/1993, 75/1993, 77/1994, 61/1996 ó 160/1996. Ahora bien, la aplicación de esta doctrina exige, al menos, dos requisitos obvios.  En primer lugar, que el error sea patente, es decir inmediatamente verificable, de forma incontrovertible, a partir de las mismas actuaciones judiciales, por haberse llegado a una conclusión absurda, o contraria a los principios elementales de la lógica y la experiencia (SSTC 219/1993, fundamento jurídico 3.º, y 162/1995, fundamento jurídico 3.º); y, concurrentemente, que ese error haya incidido efectivamente en la vulneración de los derechos fundamentales alegados. Pues bien, en el presente supuesto no concurren tales requisitos.</w:t>
      </w:r>
    </w:p>
    <w:p w:rsidR="00FA0779" w:rsidRDefault="00FA0779" w:rsidP="00FA0779">
      <w:pPr>
        <w:pStyle w:val="TextoNormal"/>
      </w:pPr>
    </w:p>
    <w:p w:rsidR="00FA0779" w:rsidRDefault="00FA0779" w:rsidP="00FA0779">
      <w:pPr>
        <w:pStyle w:val="TextoNormal"/>
      </w:pPr>
      <w:r w:rsidRPr="00FA0779">
        <w:rPr>
          <w:rStyle w:val="NumeroAFNegritaCaracter"/>
        </w:rPr>
        <w:t>4</w:t>
      </w:r>
      <w:r>
        <w:t>. Examinadas las actuaciones se deduce que la Sala ha actuado de forma lógica y coherente a la luz de los datos que éstas le aportan. Ocurre, sin embargo, que lo que el demandante alega es que las actuaciones no recogen la realidad, y, en esa medida, la Sección argumenta sobre una situación fáctica falsa. Esta pretensión, al cuestionar la veracidad de los hechos correctamente deducidos de las actuaciones sobre los que se aplica el razonamiento jurídico, no puede ser examinada ni tenida en cuenta en este cauce de amparo, ya que no sólo le está vedado al Tribunal constitucional entrar a conocer sobre los mismos -art.  44.1 b) LOTC-, sino que, además, se trata de una cuestión nueva, no planteada ante el Tribunal ordinario y cuya resolución se pretende de éste por primera vez. Situación distinta se daría si el demandante de amparo, que conoció a través del escrito impugnatorio del Ministerio Fiscal que éste había alegado la extemporaneidad del recurso, y que tuvo oportunidad de cuestionar tal extremo y proponer prueba sobre el mismo, hubiese provocado que el órgano judicial se pronunciase sobre la certeza de una u otra fecha de presentación, pues en tal caso la respuesta judicial sí podría haber sido revisada, en su argumentación, por este Tribunal.</w:t>
      </w:r>
    </w:p>
    <w:p w:rsidR="00FA0779" w:rsidRDefault="00FA0779" w:rsidP="00FA0779">
      <w:pPr>
        <w:pStyle w:val="TextoNormal"/>
      </w:pPr>
      <w:r>
        <w:t xml:space="preserve">No puede olvidarse que el error constitucionalmente relevante que puede lesionar el derecho a la tutela judicial efectiva es siempre un error jurídico, un error sobre el razonamiento, que bien puede producirse al aplicar la norma con alteración de su contenido, o al </w:t>
      </w:r>
      <w:r>
        <w:lastRenderedPageBreak/>
        <w:t>apartarse de lo que palmaria u ostensiblemente se obtiene del simple examen de las actuaciones, al apreciar la concurrencia o no de algún presupuesto fáctico de su aplicación.</w:t>
      </w:r>
    </w:p>
    <w:p w:rsidR="00FA0779" w:rsidRDefault="00FA0779" w:rsidP="00FA0779">
      <w:pPr>
        <w:pStyle w:val="TextoNormal"/>
      </w:pPr>
      <w:r>
        <w:t>No es, sin embargo, el recurso de amparo la vía adecuada para discutir sobre la realidad de los hechos en que se basa una decisión, ni para corregir los errores que, en el funcionamiento de la Administración de Justicia, puedan provocar cualquier perjuicio al ciudadano. Para su corrección, y si no es posible, para su reparación, existen otras vías en el ordenamiento jurídico, a las que, en su caso, podría acudir el demandante.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y de conformidad con el art. 50.1 c) de la Ley Orgánica del Tribunal Constitucional, la Sección acuerda la inadmisión de la demanda de amparo y el archivo de las actuaciones.</w:t>
      </w:r>
    </w:p>
    <w:p w:rsidR="00FA0779" w:rsidRDefault="00FA0779" w:rsidP="00FA0779">
      <w:pPr>
        <w:pStyle w:val="TextoNormal"/>
      </w:pPr>
    </w:p>
    <w:p w:rsidR="00FA0779" w:rsidRDefault="00FA0779" w:rsidP="00FA0779">
      <w:pPr>
        <w:pStyle w:val="TextoNormal"/>
      </w:pPr>
      <w:r>
        <w:t>Madrid, a veintiuno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08" w:name="AUTO_1997_175"/>
      <w:r>
        <w:lastRenderedPageBreak/>
        <w:t>AUTO 175/1997, de 21 de mayo de 1997</w:t>
      </w:r>
    </w:p>
    <w:bookmarkEnd w:id="108"/>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ECLI:ES:TC:1997:175A</w:t>
      </w:r>
    </w:p>
    <w:p w:rsidR="00FA0779" w:rsidRDefault="00FA0779" w:rsidP="00FA0779">
      <w:pPr>
        <w:pStyle w:val="SntesisDescriptiva"/>
      </w:pPr>
    </w:p>
    <w:p w:rsidR="00FA0779" w:rsidRDefault="00FA0779" w:rsidP="00FA0779">
      <w:pPr>
        <w:pStyle w:val="SntesisDescriptiva"/>
      </w:pPr>
      <w:r>
        <w:t>Excms. Srs. don Carles Viver Pi-Sunyer, don Tomás Salvador Vives Antón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2.538/1996.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medio de escrito registrado en este Tribunal el 21 de junio de 1996, la representación procesal de los demandantes de amparo ha interpuesto recurso de amparo contra el Auto de la Sección Cuarta de la Audiencia Provincial de Bilbao, de 7 de mayo de 1996, dictado en el rollo de apelación 778/95, por el que se confirma el Auto de sobreseimiento provisional dictado, el 21 de septiembre de 1995, por el Juzgado de Instrucción núm. 2 de Bilbao, en diligencia previa 2.469/93 por delito del art. 191 del C.P. de 1973.</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que dan lugar al presente recurso de amparo son, en síntesis, los siguientes: </w:t>
      </w:r>
    </w:p>
    <w:p w:rsidR="00FA0779" w:rsidRDefault="00FA0779" w:rsidP="00FA0779">
      <w:pPr>
        <w:pStyle w:val="TextoNormal"/>
      </w:pPr>
      <w:r>
        <w:t xml:space="preserve">a) El 23 de septiembre de 1993 agentes de la Guardia Civil detuvieron en el domicilio de los demandantes en Bilbao a su hijo, el Abogado don Borja Irízar Belandía, que en él convivía con sus hermanos y padres. A dicho domicilio accedieron los agentes policiales en horas de madrugada, sin autorización judicial previa, en aplicación de lo previsto en el art. 553 L.E.Crim. que permite a los agentes de Policía ( ... ) proceder de propia autoridad a la inmediata detención de las personas (...) cuando se trate de presuntos responsables de las acciones a que se refiere el art. 384 bis L.E.Crim. delito cometido por persona integrada o relacionada con bandas armadas o individuos terroristas o rebeldes, cualquiera que fuese el lugar o domicilio donde se ocultasen o refugiase así como al registro que, con ocasión de aquélla, se efectúe en dichos lugares y la ocupación de los efectos e instrumentos que en ellos se hallasen y que pudiera guardar relación con el delito perseguido. </w:t>
      </w:r>
    </w:p>
    <w:p w:rsidR="00FA0779" w:rsidRDefault="00FA0779" w:rsidP="00FA0779">
      <w:pPr>
        <w:pStyle w:val="TextoNormal"/>
      </w:pPr>
      <w:r>
        <w:t xml:space="preserve">La detención se produjo a raíz de la declaración prestada ese mismo día por otro detenido en Madrid que informa a otros agentes de la Guardia Civil de que en 1987 el citado Abogado compartía un piso en el que se dio cobijo a vario presuntos miembros de la organización terrorista autodenominada «ETA». </w:t>
      </w:r>
    </w:p>
    <w:p w:rsidR="00FA0779" w:rsidRDefault="00FA0779" w:rsidP="00FA0779">
      <w:pPr>
        <w:pStyle w:val="TextoNormal"/>
      </w:pPr>
      <w:r>
        <w:t xml:space="preserve">Como consecuencia de la detención del Sr. Irizar Belandía, se siguió un proceso penal en la Audiencia Nacional contra el mismo y otras personas bajo la acusación de colaboración con banda armada. Dicho proceso, en primera instancia, acaba por Sentencia, de 20 de febrero de 1996, de la Sección Segunda de la Sala de lo Penal que le absuelve de la acusación que se le imputaba de colaboración con banda armada, aunque condena a otros implicados en la causa. </w:t>
      </w:r>
    </w:p>
    <w:p w:rsidR="00FA0779" w:rsidRDefault="00FA0779" w:rsidP="00FA0779">
      <w:pPr>
        <w:pStyle w:val="TextoNormal"/>
      </w:pPr>
      <w:r>
        <w:lastRenderedPageBreak/>
        <w:t xml:space="preserve">b) Paralelamente a dicho proceso penal, los padres de don Borja Irizar Belandía hoy demandantes en amparo, denunciaron en septiembre de 1993 ante el Juzgado de Instrucción núm. 2 de Bilbao. la intervención policial antes descrita al considerar que la misma pudiera constituir un delito de los previstos en el art. 191 del C.P. de 1973 -delito cometido por funcionario público contra los derechos fundamentales de la persona por entrada ilegal en domicilio (párrafo 1.º)-, registro legal de domcilio (párrafo 2.º) o vejación injusta con ocasión de lícito registro (párrafo 3.º) de art. 191 C.P. </w:t>
      </w:r>
    </w:p>
    <w:p w:rsidR="00FA0779" w:rsidRDefault="00FA0779" w:rsidP="00FA0779">
      <w:pPr>
        <w:pStyle w:val="TextoNormal"/>
      </w:pPr>
      <w:r>
        <w:t xml:space="preserve">El 26 de octubre de 1993 el Juez de Instrucción que recibió la denuncia, tras practicar diligencias de averiguación dirigidas a esclarecer las razones de la entrad y registro, dicta Auto de sobreseimiento libre de las actuaciones penales, al amparo de lo previsto en el art. 637.1 L.E.Crim. al, entender que no existían indicios racionales de criminalidad en la conducta de los agentes policiales. El Auto fue recurrido e reforma y confirmado por otro de 23 de noviembre de 1993, que, sin embargo fue revocado por la Audiencia Provincial de Bilbao el 15 de abril de 1994 al entender que debía continuar la investigación y practicar las diligencias de averiguación solicitadas por los denunciantes. </w:t>
      </w:r>
    </w:p>
    <w:p w:rsidR="00FA0779" w:rsidRDefault="00FA0779" w:rsidP="00FA0779">
      <w:pPr>
        <w:pStyle w:val="TextoNormal"/>
      </w:pPr>
      <w:r>
        <w:t xml:space="preserve">Tras la práctica de estas diligencias, el Juez de Instrucción núm. 2 acordó ahora el sobreseimiento provisional de la causa por Auto de 21 de septiembre de 1995 en aplicación de lo previsto en el art. 641.1 L.E.Crim., es decir, al entender que «no ha resultado debidamente justificada la perpetración del delito que dio motivo a la formación de la causa». Dicho Auto de sobreseimiento provisional fue confirmado en apelación por la Audiencia Provincial de Bilbao ratificando los argumentos expuesto en el mismo. La resolución confirmatoria es de 7 de mayo de 1996 y, junto con el Aüto citado de 21 de septiembre de 1995, constituyen el objeto del amparo </w:t>
      </w:r>
    </w:p>
    <w:p w:rsidR="00FA0779" w:rsidRDefault="00FA0779" w:rsidP="00FA0779">
      <w:pPr>
        <w:pStyle w:val="TextoNormal"/>
      </w:pPr>
      <w:r>
        <w:t xml:space="preserve">El fundamento de la decisión de sobreseimiento provisional lo fija el Juez y 1 Audiencia de una parte en el hecho de no haberse acreditado que durante la entrad y registro que motivan la denuncia se produjeran vejaciones injustas para los moradores de la vivienda -tipo penal del art. 191.3 C.P. de 1973-. Y, respecto a los otros dos tipos penales imputados -entrada o registro ilegal de los núms. 2 y 3 del, art. 191-, se basa en el hecho de apreciar la existencia de un problema de índole procesal que consideran tiene incidencia en la apreciación de la tipicidad de los hechos, que se produce por servir la diligencia de entrada y registro impugnada como soporte probatorio en otro proceso penal (el que se seguía en tal momento ante la Audiencia Nacional contra el hijo de los denunciantes por colaboración con banda armada). </w:t>
      </w:r>
    </w:p>
    <w:p w:rsidR="00FA0779" w:rsidRDefault="00FA0779" w:rsidP="00FA0779">
      <w:pPr>
        <w:pStyle w:val="TextoNormal"/>
      </w:pPr>
      <w:r>
        <w:t>El Juzgado de Instrucción, y la Audiencia Provincial lo ratifica, considera que no se puede pronunciar sobre su eventual carácter delictivo por tratarse de una diligencia de investigación que se ha incorporado a otro proceso penal, y, por tanto, la validez de dicha entrada y registro ha de dirimirse inicialmente ante dicho Tribunal y en dicho proceso, y sólo una vez se pronuncie dicho órgano jurisdiccional sobre la legalidad de dicho registro se podrá volver a plantear la reapertura de las actuaciones penales seguidas en Bilbao.</w:t>
      </w:r>
    </w:p>
    <w:p w:rsidR="00FA0779" w:rsidRDefault="00FA0779" w:rsidP="00FA0779">
      <w:pPr>
        <w:pStyle w:val="TextoNormal"/>
      </w:pPr>
    </w:p>
    <w:p w:rsidR="00FA0779" w:rsidRDefault="00FA0779" w:rsidP="00FA0779">
      <w:pPr>
        <w:pStyle w:val="TextoNormal"/>
      </w:pPr>
      <w:r w:rsidRPr="00FA0779">
        <w:rPr>
          <w:rStyle w:val="NumeroAFNegritaCaracter"/>
        </w:rPr>
        <w:t>3</w:t>
      </w:r>
      <w:r>
        <w:t>. Presentada por el recurrente demanda de amparo, el pasado 26 de febrero de 1997, la Sección Cuarta (Sala Segunda) de este Tribunal Constitucional acordó, de conformidad con lo previsto en el núm. 3 del art. 50 LOTC, conceder al demandante y al Ministerio Fiscal un plazo común de diez días para formular las alegaciones que estimen pertinentes en relación con la posible carencia manifiesta de contenido constitucional de la demanda [art. 50.1 c) LOTC].</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xml:space="preserve">. Por escrito presentado el 14 de marzo de 1997 el recurrente da por reproducidas las alegaciones contenidas en el escrito de demanda y reitera que el archivo decretado supone una doble vulneración del derecho a la tutela judicial efectiva, ya que de una parte las resoluciones impugnadas le deniegan el acceso a la protección efectiva de los Tribunales porque la Audiencia Nacional nunca se pronunciará sobre el carácter delictivo de la actuación policial, sino únicamente sobre si los hechos imputados al hijo de los denunciantes son o no delictivos. Y, de otra parte, la argumentación del Juez instructor no se encuentra prevista como causa de archivo en la Ley procesal. </w:t>
      </w:r>
    </w:p>
    <w:p w:rsidR="00FA0779" w:rsidRDefault="00FA0779" w:rsidP="00FA0779">
      <w:pPr>
        <w:pStyle w:val="TextoNormal"/>
      </w:pPr>
      <w:r>
        <w:t xml:space="preserve">Entiende también que al deferir el conocimiento de los hechos denunciados al Tribunal que conoce la causa que justificó la intervención policial denunciada, está obligando a que éstos sean conocidos por un órgano judicial manifiestamente incompetente, lo que vulnera el derecho al Juez predeterminado por la Ley. </w:t>
      </w:r>
    </w:p>
    <w:p w:rsidR="00FA0779" w:rsidRDefault="00FA0779" w:rsidP="00FA0779">
      <w:pPr>
        <w:pStyle w:val="TextoNormal"/>
      </w:pPr>
      <w:r>
        <w:t>Por último, alegan los demandantes que ha sido vulnerada la inviolabilidad de su domicilio por cuanto en la intervención policial no concurrían las circunstancias de urgente necesidad que exige el precepto legal habilitante -art. 553 L.E.Crim.-, y, por tanto, el órgano judicial al no proteger penalmente tal vulneración de un derecho fundamental está a su vez vulnerándolo.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Ministerio Fiscal, en escrito que tuvo entrada en este Tribunal el 20 de marzo, interesó la admisión a trámite de !a demanda por no carecer de contenido constitucional al coincidir en que la fundamentación de las resoluciones impugnadas no parece suficiente para entender respetado el derecho a la tutela judicial efectiva. El Juzgado de Instrucción y la Audiencia habrían incurrido en un error valorativo al confundir la posible existencia de una cuestión prejudicial penal en otro proceso penal con la competencia para enjuiciar la posible comisión de un delito del art. 191 del anterior C.P., mas nunca debió llevarles a decretar el archivo de las actuaciones. </w:t>
      </w:r>
    </w:p>
    <w:p w:rsidR="00FA0779" w:rsidRDefault="00FA0779" w:rsidP="00FA0779">
      <w:pPr>
        <w:pStyle w:val="TextoNormal"/>
      </w:pPr>
      <w:r>
        <w:t>La solución procedente hubiera sido la suspensión del curso de la causa hasta que recayera Sentencia en el proceso seguido en la Audiencia Nacional y, de considerarse competente a este órgano, lo procedente es la inhibición en su favor.</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Constituye el objeto del presente recurso de amparo el Auto de 21 de septiembre de 1995 por el que el Juzgado de Instrucción núm. 2 de los de Bilbao decretó el sobreseimiento provisional de la denuncia que, presentada por los hoy demandantes, imputaba a agentes de la Guardia Civil la comisión de un delito de los previstos en el art. 191 C.P. (entrada y registro ilegal en domicilio), en su redacción anterior a la vigente. Los hechos en que ésta se basa, así como las razones que llevaron al archivo provisional de la causa penal por no resultar debidamente justificada la perpetración del delito -art.  641.1 L.E.Crim.- han sido recogidos en los antecedentes de esta resolución. La decisión de sobreseimiento provisional de la causa se dicta «sin perjuicio de su reapertura en el momento procesal oportuno y previos los requisitos legales», según expone su parte dispositiva. A esta resolución y al Auto de 7 de mayo de 1996 de la Sección Cuarta de la Audiencia Provincial de Vizcaya que lo confirma atribuyen los demandantes la vulneración del art. 18 -inviolabilidad del domicilio- y 24 C.E. -tutela judicial efectiva y derecho al Juez predeterminado por la Ley-. Conviene aclarar por tanto, que no es la actuación policial de</w:t>
      </w:r>
      <w:r>
        <w:lastRenderedPageBreak/>
        <w:t>nunciada la que se impugna en este proceso, sino las resoluciones judiciales que provisionalmente archivan la denuncia penal que por aquellos hechos se presentó.</w:t>
      </w:r>
    </w:p>
    <w:p w:rsidR="00FA0779" w:rsidRDefault="00FA0779" w:rsidP="00FA0779">
      <w:pPr>
        <w:pStyle w:val="TextoNormal"/>
      </w:pPr>
      <w:r>
        <w:t>Cabe anticipar, ya en este momento del razonamiento, que examinadas las alegaciones expuestas por los demandantes y el Ministerio Fiscal en el trámite previsto en el art. 50.3 LOTC, hemos de confirmar la inicial apreciación de que la demanda carece manifiestamente de contenido constitucional, por lo que concurre la causa de inadmisión prevista en el art. 50.1 c) LOTC.</w:t>
      </w:r>
    </w:p>
    <w:p w:rsidR="00FA0779" w:rsidRDefault="00FA0779" w:rsidP="00FA0779">
      <w:pPr>
        <w:pStyle w:val="TextoNormal"/>
      </w:pPr>
    </w:p>
    <w:p w:rsidR="00FA0779" w:rsidRDefault="00FA0779" w:rsidP="00FA0779">
      <w:pPr>
        <w:pStyle w:val="TextoNormal"/>
      </w:pPr>
      <w:r w:rsidRPr="00FA0779">
        <w:rPr>
          <w:rStyle w:val="NumeroAFNegritaCaracter"/>
        </w:rPr>
        <w:t>2</w:t>
      </w:r>
      <w:r>
        <w:t>. Los denunciantes consideran vulnerado su derecho a la tutela judicial efectiva al entender que las resoluciones impugnadas niegan la protección jurisdiccional de sus derechos e intereses legítimos. Ante tal alegación es preciso recordar una vez más que no forma parte del contenido esencial del derecho a la tutela judicial efectiva el que la parte obtenga el triunfo de las pretensiones que ante los Tribunales de Justicia ejercite. Como reiteradamente hemos señalado, el derecho a la tutela judicial efectiva reconocido en la Constitución conlleva, tanto la exigencia de garantizar el acceso al proceso y a los recursos que la Ley establece (STC 124/1987), aspecto que aquí no se plantea, como la necesidad de obtener una resolución razonada (fundada en Derecho, hemos dicho) y a ser posible «de fondo» sobre sus pretensiones (SSTC 213/1990 ó 120/1993): todo ello sin perjuicio de que para ello hayan de observarse los presupuestos y requisitos procesales esenciales. De manera que el citado derecho fundamental se satisface no sólo con una resolución judicial que entre 11 conocer sobre el fondo, sino también cuando los órganos judiciales aprecian, de manera razonada, un motivo obstativo de tal pronunciamiento.</w:t>
      </w:r>
    </w:p>
    <w:p w:rsidR="00FA0779" w:rsidRDefault="00FA0779" w:rsidP="00FA0779">
      <w:pPr>
        <w:pStyle w:val="TextoNormal"/>
      </w:pPr>
      <w:r>
        <w:t>En relación con el ejercicio de la acción penal, hemos señalado que este derecho no otorga a sus titulares la facultad incondicionada de obtener la apertura del juicio oral, ya que es compatible con un pronunciamiento motivado en fase instructora que ponga término de forma provisional o definitiva al proceso por entender el órgano judicial que se halla ante uno de los supuestos que justifica el sobreseimiento libre o provisional de la causa (SSTC 71/1984, fundamento jurídico 4.º; 157/1990, fundamento jurídico 4.º; 31/1996, fundamento jurídico 10, y 199/1996, fundamento jurídico 9.º).</w:t>
      </w:r>
    </w:p>
    <w:p w:rsidR="00FA0779" w:rsidRDefault="00FA0779" w:rsidP="00FA0779">
      <w:pPr>
        <w:pStyle w:val="TextoNormal"/>
      </w:pPr>
      <w:r>
        <w:t>La cuestión se reduce, por tanto, a constatar si la decisión de sobreseimiento provisional es «arbitraria, manifiestamente irrazonada o irrazonable», porque sólo en este caso no podrá considerarse fundada en Derecho y en tal medida lesiva del derecho fundamental invocado. Y, en este sentido, debe afirmarse que no se aprecia la arbitrariedad alegada, ya que el análisis. de las resoluciones impugnadas pone de relieve que las mismas contienen una amplia fundamentación, cuyo acierto no nos compete valorar, que expresa las razones que llevan a decretar el sobreseimiento provisional del proceso penal hasta tanto el Tribunal que enjuicia la causa en cuya investigación se produjo se pronuncie sobre la legalidad del registro domiciliario que los demandantes consideran delictivo. Los órganos judiciales han apreciado la existencia de una cuestión prejudicial penal en otro proceso penal y han decidido que hasta tanto no se resuelva ésta deben archivar provisionalmente, la investigación penal, ya que así es procesalmente procedente. Se podrá coincidir o no con tal solución de la cuestión procesal apreciada, mas la misma no excede los límites de interpretación de la legalidad ordinaria ni pone fin a la posibilidad de reapertura de la investigación penal, ya que una vez concluido el proceso ante la Audiencia Nacional, como al parecer ya ha sucedido según manifiestan los demandantes, es posible instar la reapertura de la investigación provisionalmente archivada.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No mejor suerte ha de correr la alegada violación del derecho al Juez predeterminado por la Ley, ya que el contenido de este derecho fundamental no ampara litigios competenciales sobre cuál sea el Juez ordinario que deba pronunciarse sobre un asunto concreto, por lo que tampoco comprende, pese a la equivocada lectura que hacen los recurrentes, el derecho a que las normas sobre competencia de Tribunales se interpreten de una determinada forma, o en un determinado sentido, sin que tampoco sea cierto que al deferir la solución de su pretensión a un momento procesal posterior hayan podido lesionar el derecho fundamental invocado.</w:t>
      </w:r>
    </w:p>
    <w:p w:rsidR="00FA0779" w:rsidRDefault="00FA0779" w:rsidP="00FA0779">
      <w:pPr>
        <w:pStyle w:val="TextoNormal"/>
      </w:pPr>
      <w:r>
        <w:t>Este Tribunal ha declarado reiteradamente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47/1983, fundamento jurídico 2.º). Pero esta garantía no supone el derecho a un Juez determinado en concreto (STC 97/1987, fundamento jurídico 4.º) ni excluye, en principio, la posibilidad de establecer reglas especiales de competencia en la distribución de los asuntos entre los distintos órganos judiciales. La noción constitucional de Juez ordinario predeterminado por la Ley no se concreta en el establecimiento legislativo de unas competencias en general. sino que se integra normalmente de aquellas disposiciones legales que derogan o alteran esa competencia general (STC 55/1990).</w:t>
      </w:r>
    </w:p>
    <w:p w:rsidR="00FA0779" w:rsidRDefault="00FA0779" w:rsidP="00FA0779">
      <w:pPr>
        <w:pStyle w:val="TextoNormal"/>
      </w:pPr>
      <w:r>
        <w:t>La parte recurrente confunde, por tanto, un posible problema o cuestión de competencia o prejudicialidad entre órganos judiciales con el de la predeterminación del Juez legal que la Constitución garantiza en el art. 24.2, sometiendo ahora implícitamente a este Tribunal el problema legal de la determinación del Juez del caso por interpretación de las normas sobre competencia, trasladando indebidamente esta vía constitucional la decisión y determinación del Juez competente que lo s por previa fijación legal, por lo que esta pretensión de amparo no puede ser tampoco estimada.</w:t>
      </w:r>
    </w:p>
    <w:p w:rsidR="00FA0779" w:rsidRDefault="00FA0779" w:rsidP="00FA0779">
      <w:pPr>
        <w:pStyle w:val="TextoNormal"/>
      </w:pPr>
      <w:r>
        <w:t>Como se afirmó en nuestra STC 75/1982, cuando la disputa se centra en cuál haya de ser el órgano judicial al que, dentro de la jurisdicción ordinaria, corresponda el conocimiento de determinado asunto, cualquier decisión que se tome en torno a tal disputa no entraña por si misma una vulneración del derecho constituciónal al Juez ordinario, incluso si tal decisión fuera contraria a las normas procesal puesto que la interpretación y aplicación de éstas corresponde en principio a órganos del Consejo General del Poder Judicial.</w:t>
      </w:r>
    </w:p>
    <w:p w:rsidR="00FA0779" w:rsidRDefault="00FA0779" w:rsidP="00FA0779">
      <w:pPr>
        <w:pStyle w:val="TextoNormal"/>
      </w:pPr>
    </w:p>
    <w:p w:rsidR="00FA0779" w:rsidRDefault="00FA0779" w:rsidP="00FA0779">
      <w:pPr>
        <w:pStyle w:val="TextoNormal"/>
      </w:pPr>
      <w:r w:rsidRPr="00FA0779">
        <w:rPr>
          <w:rStyle w:val="NumeroAFNegritaCaracter"/>
        </w:rPr>
        <w:t>4</w:t>
      </w:r>
      <w:r>
        <w:t>. Resta por analizar si cabe apreciar en las resoluciones impugnadas la vulneración del derecho a la inviolabilidad del domicilio. La premisa de partida razonamiento de los demandantes es que la entrada policial y posterior registro su domicilio se produjo en circunstancias no comprendidas en el art.  553 L.E.Crim y que, por ello, constituyó el delito denunciado. La consecuencia que anudan a valoración es que en la medida que el art. 18.2 C.E. declara inviolable el domicilio exige también que cuando éste sea vulnerado se proteja a quien sufre la lesión su derecho fundamental mediante la condena penal del infractor, lo que no se 11 a cabo en las resoluciones impugnadas, pues éstas «se inhiben de cumplir las funciones que la C.E. les ha encomendado».  Entienden, por tanto, que el contenido esencial del derecho a la inviolabilidad del domicilio incluye el derecho a obtener su protección penal y que la decisión de sobreseimiento provisional vulnera también -al igual la entrada y registro policial- su inviolabilidad domiciliaria. No vamos a pronunciarnos sobre si la conducta denunciada es o no típica, pues tal valoración, como luego se dirá, excede de los límites de este proceso de amparo. Sin embargo, la segunda cuestión -que se presen</w:t>
      </w:r>
      <w:r>
        <w:lastRenderedPageBreak/>
        <w:t>ta como consecuencia necesaria de la premisa de partida- sí ha sido analizada y resuelta en sentido contrario por este Tribunal en reiteradas resoluciones de las que cabe destacar, por más recientes, las SSTC 177/1996, 199/19 y 41/1997.</w:t>
      </w:r>
    </w:p>
    <w:p w:rsidR="00FA0779" w:rsidRDefault="00FA0779" w:rsidP="00FA0779">
      <w:pPr>
        <w:pStyle w:val="TextoNormal"/>
      </w:pPr>
      <w:r>
        <w:t>En ellas hemos expresado que no existe un derecho fundamental a obtener condena penal de otra persona, por más que la pena puede erigirse en medio tutela de los derechos fundamentales cuando la vulneración frente a la que se solicita dicha tutela sea constitutiva de infracción criminal, pues el contenido de los derechos fundamentales sustantivos no comprende las pretensiones de tutela penal que se eje citen en caso de vulneración de los mismos.</w:t>
      </w:r>
    </w:p>
    <w:p w:rsidR="00FA0779" w:rsidRDefault="00FA0779" w:rsidP="00FA0779">
      <w:pPr>
        <w:pStyle w:val="TextoNormal"/>
      </w:pPr>
      <w:r>
        <w:t>Para tomar en consideración la doctrina expuesta por los demandantes este Tribunal debería apreciar si en este caso, a tenor del contenido de la denuncia presentada, se dan o pueden darse los presupuestos de la imposición de la pena, cuestión que como se anticipó, excede del ámbito del proceso de amparo, ya que hemos reiterado que son los Tribunales penales los únicos competentes para enjuiciar los hechos presentados por la acusación y la defensa, y para interpretar y aplicar la Ley penal (SSTC 89/1983, fundamento jurídico 3.º; 83/1989, fundamento jurídico 2.º; 1281199 fundamento jurídico 4.º; 31/1996, fundamento jurídico 1º, y 199/1996, fundamento jurídico 5.`).</w:t>
      </w:r>
    </w:p>
    <w:p w:rsidR="00FA0779" w:rsidRDefault="00FA0779" w:rsidP="00FA0779">
      <w:pPr>
        <w:pStyle w:val="TextoNormal"/>
      </w:pPr>
      <w:r>
        <w:t>En la citada STC 41/1997, fundamento jurídico 6.º, se señaló, y conviene aquí recordarlo, que «la jurisdicción penal sólo entra a conocer las cuestiones civiles, administrativas o constitucionales a los meros efectos de la represión (art. 3 L.E.Crim.). De modo que las decisiones que, al absolver, adopta respecto a derechos fundamentales de las partes acusadoras o cualesquiera otros temas distintos del castigo, ni causan ejecutoria, por no tener el valor de cosa juzgada, ni prejuzgan ni entorpecen la decisión que, en su caso, haya de adoptarse por la jurisdicción competente en el orden no represivo». Por ello, «en modo alguno representan ninguna resolución sobre los derechos fundamentales sustantivos de quienes ejercen la acusación; sino que, desde esa perspectiva, son razonamientos que, de ser contrarios a la Constitución, podrían ser corregidos por este Tribunal (STC 177/1996, fundamento jurídico 1l)».</w:t>
      </w:r>
    </w:p>
    <w:p w:rsidR="00FA0779" w:rsidRDefault="00FA0779" w:rsidP="00FA0779">
      <w:pPr>
        <w:pStyle w:val="TextoNormal"/>
      </w:pPr>
      <w:r>
        <w:t>Ciertamente, si la interpretación del derecho a la inviolabilidad del domicilio realizada por los órganos judiciales fuera contraria al contenido constitucional de este derecho, este Tribunal, en su función de intérprete supremo de la Constitución, podría corregirla. No obstante, en el caso sometido a nuestra consideración, no sólo es que no se haya dictado resolución absolutoria alguna, sino que ningún razonamiento de las resoluciones impugnadas cuestiona ni la verosimilitud de la denuncia ni su eventual subsunción típica, únicamente pospone su pronunciamiento de fondo a la previa resolución por otro Tribunal de una cuestión previa que considera precisa para su calificación penal. Por ello, no cabe considerarlas vulneradoras del art.  18.2 C.E., pues ni en sí mismas ni en la interpretación que hacen de este derecho fundamental lo desconocen.</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la inadmisión de la demanda de amparo y el archivo de las actuaciones.</w:t>
      </w:r>
    </w:p>
    <w:p w:rsidR="00FA0779" w:rsidRDefault="00FA0779" w:rsidP="00FA0779">
      <w:pPr>
        <w:pStyle w:val="TextoNormal"/>
      </w:pPr>
    </w:p>
    <w:p w:rsidR="00FA0779" w:rsidRDefault="00FA0779" w:rsidP="00FA0779">
      <w:pPr>
        <w:pStyle w:val="TextoNormal"/>
      </w:pPr>
      <w:r>
        <w:t>Madrid, a veintiuno de mayo de mil novecientos noventa y siete.</w:t>
      </w:r>
    </w:p>
    <w:p w:rsidR="00FA0779" w:rsidRDefault="00FA0779">
      <w:pPr>
        <w:rPr>
          <w:rFonts w:ascii="Times New Roman" w:eastAsia="Times New Roman" w:hAnsi="Times New Roman" w:cs="Times New Roman"/>
          <w:sz w:val="24"/>
          <w:szCs w:val="24"/>
          <w:lang w:eastAsia="es-ES"/>
        </w:rPr>
      </w:pPr>
      <w:r>
        <w:lastRenderedPageBreak/>
        <w:br w:type="page"/>
      </w:r>
    </w:p>
    <w:p w:rsidR="00FA0779" w:rsidRDefault="00FA0779" w:rsidP="00FA0779">
      <w:pPr>
        <w:pStyle w:val="TtuloResolucin"/>
      </w:pPr>
      <w:bookmarkStart w:id="109" w:name="AUTO_1997_176"/>
      <w:r>
        <w:lastRenderedPageBreak/>
        <w:t>AUTO 176/1997, de 21 de mayo de 1997</w:t>
      </w:r>
    </w:p>
    <w:bookmarkEnd w:id="109"/>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ECLI:ES:TC:1997:176A</w:t>
      </w:r>
    </w:p>
    <w:p w:rsidR="00FA0779" w:rsidRDefault="00FA0779" w:rsidP="00FA0779">
      <w:pPr>
        <w:pStyle w:val="SntesisDescriptiva"/>
      </w:pPr>
    </w:p>
    <w:p w:rsidR="00FA0779" w:rsidRDefault="00FA0779" w:rsidP="00FA0779">
      <w:pPr>
        <w:pStyle w:val="SntesisDescriptiva"/>
      </w:pPr>
      <w:r>
        <w:t>Excms. Srs. don Carles Viver Pi-Sunyer, don Tomás Salvador Vives Antón y don Julio D. González Campos.</w:t>
      </w:r>
    </w:p>
    <w:p w:rsidR="00FA0779" w:rsidRDefault="00FA0779" w:rsidP="00FA0779">
      <w:pPr>
        <w:pStyle w:val="SntesisDescriptiva"/>
      </w:pPr>
    </w:p>
    <w:p w:rsidR="00FA0779" w:rsidRDefault="00FA0779" w:rsidP="00FA0779">
      <w:pPr>
        <w:pStyle w:val="SntesisDescriptiva"/>
      </w:pPr>
      <w:r>
        <w:t>Desestimando recurso de súplica contra providencia de 9 de abril de 1997, dictada en el recurso de amparo 4.297/1996.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día 26 de noviembre de 1996, la Procuradora de los Tribunales doña Montes Agustí, en nombre y representación de doña María del Carmen Alvarez Maldonado y de don José Báez Pérez, interpuso recurso de amparo contra la Sentencia de la Sala de lo Contencioso-Administrativo de la Audiencia Nacional, de 15 de octubre de 1996, recaída en recurso contra resolución del Ministerio de Justicia sobre publicación de lista definitiva de aprobados para ingreso en el Cuerpo de Oficiales.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tiene su origen en los siguientes antecedentes de hecho: </w:t>
      </w:r>
    </w:p>
    <w:p w:rsidR="00FA0779" w:rsidRDefault="00FA0779" w:rsidP="00FA0779">
      <w:pPr>
        <w:pStyle w:val="TextoNormal"/>
      </w:pPr>
      <w:r>
        <w:t xml:space="preserve">a) Por Resolución de 7 de septiembre de 1992 se hizo pública la relación de aspirantes que superaron las pruebas selectivas para ingreso en el Cuerpo de Oficiales de la Administración de Justicia, en la que constaban los recurrentes. Dicha resolución fue recurrida por algunos opositores (no por los ahora demandantes) a fin de que se revisara el sistema de puntuación del segundo ejercicio de la oposición; revisión que se haría conforme a un criterio acordado por el Tribunal núm. 1 Calificador de Madrid, distinto del que figuraba en la carátula del segundo ejercicio (bajo este último criterio fueron puntuados los ahora recurrentes). </w:t>
      </w:r>
    </w:p>
    <w:p w:rsidR="00FA0779" w:rsidRDefault="00FA0779" w:rsidP="00FA0779">
      <w:pPr>
        <w:pStyle w:val="TextoNormal"/>
      </w:pPr>
      <w:r>
        <w:t xml:space="preserve">b) El Ministerio de Justicia dictó resolución estimando los recursos de reposición interpuestos. Como consecuencia de la misma, se dictó nueva resolución por la que se publicó una nueva relación definitiva de aprobados. El Sr. Báez Pérez siguió figurando como aprobado, pero no así la Sra. Alvarez Maldonado (aunque con el nuevo sistema de corrección obtuviera incluso mejor puntuación). </w:t>
      </w:r>
    </w:p>
    <w:p w:rsidR="00FA0779" w:rsidRDefault="00FA0779" w:rsidP="00FA0779">
      <w:pPr>
        <w:pStyle w:val="TextoNormal"/>
      </w:pPr>
      <w:r>
        <w:t xml:space="preserve">c) Contra esta resolución interpusieron recurso contencioso-administrativo, fundamentado en cuatro puntos: 1) A los opositores se les indujo a realizar el ejercicio de una determinada forma en función de un criterio de corrección que se les anunció en la carátula del segundo ejercicio. 2) Quiebra del principio de seguridad jurídica, pues tras haber declarado el derecho de los recurrentes a obtener la plaza, se revoca dicho derecho en el caso de la Sra. Alvarez al amparo de unos recursos de reposición que no podían afectar los derechos adquiridos de los aprobados. 3) No se ha aplicado el entonces vigente art. 491.2 L.O.P.J. 4) Los actos administrativos son inmediatamente ejecutivos y, en virtud de ello, la Resolución de 7 de septiembre de 1992 debió ejecutarse inmediatamente en la fecha en </w:t>
      </w:r>
      <w:r>
        <w:lastRenderedPageBreak/>
        <w:t xml:space="preserve">que fue dictada. En cambio, la Administración lo que :hizo fue suspender dicha ejecución, sin que luego retrotrajera los efectos de las resoluciones posteriores, debiendo, por tanto, indemnizar a los recurrentes en el importe del sueldo desde la fecha en que debió ejecutarse aquella primera resolución. </w:t>
      </w:r>
    </w:p>
    <w:p w:rsidR="00FA0779" w:rsidRDefault="00FA0779" w:rsidP="00FA0779">
      <w:pPr>
        <w:pStyle w:val="TextoNormal"/>
      </w:pPr>
      <w:r>
        <w:t>d) La Audiencia Nacional dictó Sentencia, de 15 de octubre de 1996, desestimando el recurso contencioso.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Se alega en la demanda vulneración del art. 24.1 C.E. por dos motivos distintos: Por una parte, por incongruencia omisiva de la resolución impugnada, toda vez que la Sala no responde a las consecuencias que se derivan de que la Administración haya inducido a los opositores a realizar el ejercicio de una determinada forma, siendo así que en virtud de la «teoría de los actos propios» la Administración estaba condicionada a lo que previamente anunció a los opositores. No se responde tampoco a la alegación sobre aplicación del principio de seguridad jurídica en relación con las personas que ya se habían declarado aprobadas. Y, finalmente, no se da respuesta a la aplicación del art. 491.2 L.O.P.J. </w:t>
      </w:r>
    </w:p>
    <w:p w:rsidR="00FA0779" w:rsidRDefault="00FA0779" w:rsidP="00FA0779">
      <w:pPr>
        <w:pStyle w:val="TextoNormal"/>
      </w:pPr>
      <w:r>
        <w:t>Por otra parte, se aduce que la resolución impugnada ha generado la indefensión de los recurrentes, puesto que en la Sentencia no sólo se manifiesta que esta parte ha alegado cuestiones que nunca alegó, como la discrecionalidad técnica del Tribunal calificador y otras (sic), sino que también manifiesta y reconoce hechos probados que nadie ha probado jamás, cual es la publicación del criterio de corrección del segundo ejercicio de la oposición distinto al de la carátula de dicho ejercicio.</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9 de abril de 1997, la Sección Cuarta acordó, por unanimidad, la inadmisión del recurso de amparo, al apreciar la carencia manifiesta de contenido constitucional de las alegaciones vertidas en la demanda en relación con la supuesta vulneración del art. 24.1 C.E. En este sentido, se señaló, por una parte, que no se había producido la incongruencia omisiva aducida, pues la resolución impugnada daba respuesta a todas las pretensiones de la parte; y, por otra, que no era de advertir la indefensión alegada, toda vez que los errores achacados a la Sentencia, de ser ciertos, en modo alguno influían en el fallo de la resolución.</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una vez que le fue notificada la referida providencia, interpuso frente a ella recurso de súplica, interesando que se la dejase sin efecto. En su escrito expresa que, aunque es cierto que los demandantes únicamente han articulado sus quejas desde la perspectiva del derecho a la tutela judicial efectiva, este Tribunal ha admitido a trámite al menos otros dos recurso de amparo, en principio sustancialmente idénticos al presente (núms. 2.787/96 y 4.152/95), en los que se alegaba la vulneración del art. 23.2 C.E. y cuya cuestión central radicaba en que, pese a reconocerse por la Administración que el Tribunal de oposiciones había incumplido sus propias normas de calificación, aquélla extendió los efectos únicamente a quienes habían recurrido la lista provisional de aprobados, y a los incluidos en estas últimas.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Ministerio Fiscal, de acuerdo con lo dispuesto en el art. 50.2 de la LOTC, ha recurrido en súplica la providencia de esta Sección por la que se declaraba la inadmisibilidad </w:t>
      </w:r>
      <w:r>
        <w:lastRenderedPageBreak/>
        <w:t>de la presente demanda de amparo, alegando a dichos efectos que tanto la Sala Primera (R.A. núm. 2.787/96), como la Sala Segunda (R.A. núm. 4.152/95), han admitido a trámite estos recursos de amparo que se citan como ejemplo, pues consta que no son los únicos, siendo así que las demandas coinciden en que versan todas ellas sobre unas mismas oposiciones a Oficiales de la Administración de Justicia generadoras de una supuesta vulneración del derecho al acceso a funciones públicas en condiciones de igualdad Por ello, interesa que se deje sin efecto la citada providencia y, en consecuencia, se acuerde la admisión a trámite del presente recurso.</w:t>
      </w:r>
    </w:p>
    <w:p w:rsidR="00FA0779" w:rsidRDefault="00FA0779" w:rsidP="00FA0779">
      <w:pPr>
        <w:pStyle w:val="TextoNormal"/>
      </w:pPr>
    </w:p>
    <w:p w:rsidR="00FA0779" w:rsidRDefault="00FA0779" w:rsidP="00FA0779">
      <w:pPr>
        <w:pStyle w:val="TextoNormal"/>
      </w:pPr>
      <w:r w:rsidRPr="00FA0779">
        <w:rPr>
          <w:rStyle w:val="NumeroAFNegritaCaracter"/>
        </w:rPr>
        <w:t>2</w:t>
      </w:r>
      <w:r>
        <w:t>. El recurso de súplica debe, sin embargo, ser desestimado. La Ley Orgánica de este Tribunal Constitucional (art. 50) permite a sus diferentes Secciones la inadmisión a trámite de los recursos de amparo en los supuestos previstos en su apartado primero por medio de providencia y sin posibilidad de recurso alguno, excepto el que ahora interesa el Ministerio Fiscal.</w:t>
      </w:r>
    </w:p>
    <w:p w:rsidR="00FA0779" w:rsidRDefault="00FA0779" w:rsidP="00FA0779">
      <w:pPr>
        <w:pStyle w:val="TextoNormal"/>
      </w:pPr>
      <w:r>
        <w:t>En el presente caso, la inadmisión de la demanda se basó en que la única vulneración de derecho fundamental que se aducía, esto es, la del art. 24.1 C.E., carecía manifiestamente de contenido constitucional [art. 50.1 c)] al no apreciarse ni la incongruencia omisiva ni la indefensión alegadas. El Ministerio Fiscal, no discute en su recurso de súplica que la demanda, así formulada carezca manifiestamente de contenido constitucional; por el contrario, se limita a señalar que conoce la existencia de otras demandas de amparo, cuyo supuesto de hecho coincide con el de la presente, admitidas a trámite por otras Secciones de este Tribunal.</w:t>
      </w:r>
    </w:p>
    <w:p w:rsidR="00FA0779" w:rsidRDefault="00FA0779" w:rsidP="00FA0779">
      <w:pPr>
        <w:pStyle w:val="TextoNormal"/>
      </w:pPr>
      <w:r>
        <w:t>Ahora bien, es de tener en cuenta que el especial recurso de súplica que permite nuestra Ley, Orgánica en su art. 50.2 tiene, como finalidad específica, la de permitir que la Sección pueda reconsiderar su inicial resolución en aquellos supuestos en los que, a juicio del Ministerio Fiscal, no concurran las causas de inadmisión invocadas en la respectiva providencia, a cuyo respecto, sin embargo, nada se ha argumentado en el presente recurso de súplica en la medida en que no se rebate que concurriera la causa de inadmisibilidad señalada en relación con el único derecho fundamental invocado por los recurrentes, el art. 24.1 C.E., por causas bien determinadas y no reconducibles al art. 23.1 C.E.; precepto este último que fundamenta las otras demandas admitidas a trámite.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desestimar el presente recurso de súplica.</w:t>
      </w:r>
    </w:p>
    <w:p w:rsidR="00FA0779" w:rsidRDefault="00FA0779" w:rsidP="00FA0779">
      <w:pPr>
        <w:pStyle w:val="TextoNormal"/>
      </w:pPr>
    </w:p>
    <w:p w:rsidR="00FA0779" w:rsidRDefault="00FA0779" w:rsidP="00FA0779">
      <w:pPr>
        <w:pStyle w:val="TextoNormal"/>
      </w:pPr>
      <w:r>
        <w:t>Madrid, a veintiuno de mayo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0" w:name="AUTO_1997_177"/>
      <w:r>
        <w:lastRenderedPageBreak/>
        <w:t>AUTO 177/1997, de 2 de junio de 1997</w:t>
      </w:r>
    </w:p>
    <w:bookmarkEnd w:id="110"/>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ECLI:ES:TC:1997:177A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4.446/1995, promovido en proceso contencioso-administrativo.</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1" w:name="AUTO_1997_178"/>
      <w:r>
        <w:lastRenderedPageBreak/>
        <w:t>AUTO 178/1997, de 2 de junio de 1997</w:t>
      </w:r>
    </w:p>
    <w:bookmarkEnd w:id="111"/>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ECLI:ES:TC:1997:178A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1.422/1996, promovido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2" w:name="AUTO_1997_179"/>
      <w:r>
        <w:lastRenderedPageBreak/>
        <w:t>AUTO 179/1997, de 2 de junio de 1997</w:t>
      </w:r>
    </w:p>
    <w:bookmarkEnd w:id="112"/>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ECLI:ES:TC:1997:179A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haber lugar al desistimiento del actor en el recurso de amparo 1.763/1996.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3" w:name="AUTO_1997_180"/>
      <w:r>
        <w:lastRenderedPageBreak/>
        <w:t>AUTO 180/1997, de 2 de junio de 1997</w:t>
      </w:r>
    </w:p>
    <w:bookmarkEnd w:id="113"/>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ECLI:ES:TC:1997:180A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1.956/1996.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13 de mayo de 1996, procedente del Juzgado de Guardia de Madrid, tuvo entrada en el registro de este Tribunal escrito de la representación procesal de don Marcelino González Laranga y doña Josefa Santos Teira por medio del cual se vino a interponer recurso de amparo frente a la Sentencia de la Sección Primera de la Audiencia Provincial de La Coruña de fecha 15 de marzo anterior, en rollo de apelación 1.482/95, recaída sobre la del Juzgado de Primera Instancia núm. 1 de Ribeira de 29 de diciembre de 1994, enjuicio de menor cuantía núm. 340/90 y acumulados.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hechos: </w:t>
      </w:r>
    </w:p>
    <w:p w:rsidR="00FA0779" w:rsidRDefault="00FA0779" w:rsidP="00FA0779">
      <w:pPr>
        <w:pStyle w:val="TextoNormal"/>
      </w:pPr>
      <w:r>
        <w:t xml:space="preserve">a) Los actuales recurrentes fueron demandados -junto a otras personas- en el procedimiento de menor cuantía referenciado, por el que se ejercitó una acción declarativa dirigida a que reconocieran determinados linderos como propios de un finca adquirida años atrás, con la finalidad última de que procedieran a dejar libre y expedito determinado terreno que consta como de servicio en las escrituras de adquisición, con la consecuente demolición de un muro de cierre anteriormente levantado. </w:t>
      </w:r>
    </w:p>
    <w:p w:rsidR="00FA0779" w:rsidRDefault="00FA0779" w:rsidP="00FA0779">
      <w:pPr>
        <w:pStyle w:val="TextoNormal"/>
      </w:pPr>
      <w:r>
        <w:t xml:space="preserve">b) Paralelamente, los demandantes de amparo ejercitaron sendas acciones de deslinde -núms. 485/90 y 207/90- frente a quienes fueron demandantes en el anterior proceso y frente a terceros adquirentes de determinados terrenos antes propiedad de aquéllos. Tales acciones fueron acumuladas a la anterior, recayendo sobre todas ellas Sentencia del Juzgado de Primera Instancia, ya referenciada, por la que se desestimaron varias demandas por apreciar la excepción de litis consorcio pasivo necesario. </w:t>
      </w:r>
    </w:p>
    <w:p w:rsidR="00FA0779" w:rsidRDefault="00FA0779" w:rsidP="00FA0779">
      <w:pPr>
        <w:pStyle w:val="TextoNormal"/>
      </w:pPr>
      <w:r>
        <w:t xml:space="preserve">c) Tanto la primigenia acción declarativa como las a ella acumuladas tienen su origen en la parcelación y venta a una pluralidad de adquirentes de determinadas fincas sobre las que se discute la existencia o no de servidumbres de servicio impuestas por el propietario. </w:t>
      </w:r>
    </w:p>
    <w:p w:rsidR="00FA0779" w:rsidRDefault="00FA0779" w:rsidP="00FA0779">
      <w:pPr>
        <w:pStyle w:val="TextoNormal"/>
      </w:pPr>
      <w:r>
        <w:t>d) Apreciadas en primera instancia las excepciones de litis consorcio pasivo necesario, fue presentado recurso de apelación por quienes fueron originariamente demandantes, recurso que terminó siendo parcialmente estimado por la Sentencia de la Audiencia objeto de la presente demanda de amparo, en la que se concluyó condenando a los ahora recu</w:t>
      </w:r>
      <w:r>
        <w:lastRenderedPageBreak/>
        <w:t>rrentes a que dejaran libre el terreno usurpado demoliendo el muro de cerramiento construido, a la vez que se desechan sus pretensiones en las acciones de deslinde acumuladas.</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fecha 13 de junio de 1996, la Sección Tercera acordó recabar de la Audiencia la remisión de testimonio de las actuaciones producidas en el recurso de apelación.</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Con fundamento en el art. 24.1 C.E., denuncian los recurrentes una triple violación de derechos fundamentales por el completo silencio guardado en la Sentencia de apelación sobre las excepciones de litis consorcio pasivo. </w:t>
      </w:r>
    </w:p>
    <w:p w:rsidR="00FA0779" w:rsidRDefault="00FA0779" w:rsidP="00FA0779">
      <w:pPr>
        <w:pStyle w:val="TextoNormal"/>
      </w:pPr>
      <w:r>
        <w:t xml:space="preserve">A juicio de los recurrentes, el pronunciamiento de la Audiencia es resultado de un manifiesto error patente, carece de motivación e incurre en incongruencia tanto por defecto como por exceso al pronunciarse sobre el deslinde. </w:t>
      </w:r>
    </w:p>
    <w:p w:rsidR="00FA0779" w:rsidRDefault="00FA0779" w:rsidP="00FA0779">
      <w:pPr>
        <w:pStyle w:val="TextoNormal"/>
      </w:pPr>
      <w:r>
        <w:t>Concluye la demanda de amparo solicitando la suspensión de la ejecución de la resolución impugnada entre tanto se tramita el presente proceso constitucional.</w:t>
      </w:r>
    </w:p>
    <w:p w:rsidR="00FA0779" w:rsidRDefault="00FA0779" w:rsidP="00FA0779">
      <w:pPr>
        <w:pStyle w:val="TextoNormal"/>
      </w:pPr>
    </w:p>
    <w:p w:rsidR="00FA0779" w:rsidRDefault="00FA0779" w:rsidP="00FA0779">
      <w:pPr>
        <w:pStyle w:val="TextoNormal"/>
      </w:pPr>
      <w:r w:rsidRPr="00FA0779">
        <w:rPr>
          <w:rStyle w:val="NumeroAFNegritaCaracter"/>
        </w:rPr>
        <w:t>5</w:t>
      </w:r>
      <w:r>
        <w:t>. Por sendas providencias de 29 de abril de 1997, la Sección Tercera acordó admitir a trámite la demanda de amparo y abrir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6</w:t>
      </w:r>
      <w:r>
        <w:t>. Por escrito registrado en los Juzgados de Guardia de Madrid el 7 de mayo de 1997, la parte recurrente solicita la suspensión de la Sentencia impugnada por entender que de llevarse a efecto su ejecución se produciría un perjuicio que haría perder al amparo su finalidad. Como la suspensión dice, no afecta ni perturba gravemente los intereses generales ni los derechos fundamentales y libertades públicas de un tercero interesa se acuerde sin afianzamiento.</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El Ministerio Fiscal por escrito que tuvo entrada en este Tribunal el 5 de mayo de 1997, interesa que no se suspenda la resolución recurrida. </w:t>
      </w:r>
    </w:p>
    <w:p w:rsidR="00FA0779" w:rsidRDefault="00FA0779" w:rsidP="00FA0779">
      <w:pPr>
        <w:pStyle w:val="TextoNormal"/>
      </w:pPr>
      <w:r>
        <w:t>Manifiesta que la realización del mandato de la Sentencia supone una conducta activa de los recurrentes consistente en el derribo de un muro, lo que supone unos gastos, eventualmente resarcibles. Por otro lado, según el Fiscal, dada la pretensión constitucional de amparo consistente en el dictado de una nueva Sentencia, motivada y congruente, ello no supone, necesariamente, que, aun otorgándose el amparo, se modifique el fallo dictado. Asimismo, concluye, el Tribunal Constitucional ha señalado que existe un interés general en el cumplimiento de las resoluciones judiciales. Por las mismas razones entiende que no debe suspenderse el pago de las costas a que fueron condenados.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En aplicación de los criterios que se contienen en el art. 56.1 LOTC, este Tribunal ha declarado que cuando el recurso de amparo se dirige contra resoluciones judiciales, el interés general consiste en su ejecución. De manera que para que pueda</w:t>
      </w:r>
    </w:p>
    <w:p w:rsidR="00FA0779" w:rsidRDefault="00FA0779" w:rsidP="00FA0779">
      <w:pPr>
        <w:pStyle w:val="TextoNormal"/>
      </w:pPr>
      <w:r>
        <w:lastRenderedPageBreak/>
        <w:t>prosperar la medida de suspensión que se interesa quien la pide habrá de justificar, en atención a lo resuelto en la resolución impugnada en esta sede, la concurrencia. de un perjuicio irreparable, susceptible de hacer perder al amparo su finalidad caso</w:t>
      </w:r>
    </w:p>
    <w:p w:rsidR="00FA0779" w:rsidRDefault="00FA0779" w:rsidP="00FA0779">
      <w:pPr>
        <w:pStyle w:val="TextoNormal"/>
      </w:pPr>
      <w:r>
        <w:t>de procederse a la ejecución de dicha resolución. En el presente caso, la ejecución de la Sentencia supone derribar un muro, lo que, evidentemente, es perfectamente reparable tanto en su reconstrucción como en sus gastos, en su caso, por lo que la</w:t>
      </w:r>
    </w:p>
    <w:p w:rsidR="00FA0779" w:rsidRDefault="00FA0779" w:rsidP="00FA0779">
      <w:pPr>
        <w:pStyle w:val="TextoNormal"/>
      </w:pPr>
      <w:r>
        <w:t>suspensión de la Sentencia recurrida no privaría al amparo de su finalidad. No procede, en consecuencia, acordar la suspensión solicitada.  Tampoco procede, por las mismas razones, suspender el pago de las costas.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denegar la suspensión solicitada.</w:t>
      </w:r>
    </w:p>
    <w:p w:rsidR="00FA0779" w:rsidRDefault="00FA0779" w:rsidP="00FA0779">
      <w:pPr>
        <w:pStyle w:val="TextoNormal"/>
      </w:pPr>
    </w:p>
    <w:p w:rsidR="00FA0779" w:rsidRDefault="00FA0779" w:rsidP="00FA0779">
      <w:pPr>
        <w:pStyle w:val="TextoNormal"/>
      </w:pPr>
      <w:r>
        <w:t>Madrid, a dos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4" w:name="AUTO_1997_181"/>
      <w:r>
        <w:lastRenderedPageBreak/>
        <w:t>AUTO 181/1997, de 2 de junio de 1997</w:t>
      </w:r>
    </w:p>
    <w:bookmarkEnd w:id="114"/>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ECLI:ES:TC:1997:181A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2.014/1996.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Procurador de los Tribunales don Carlos José Navarro Gutiérrez, en nombre de don José Rodríguez-Febles López y mediante escrito presentado el 17 de mayo de 1996, promovió recurso de amparo contra la Sentencia dictada el 20 de abril de 1996 por la Sección Tercera de la Audiencia Provincial de Santa Cruz de Tenerife, desestimatoria de la solicitud de audiencia que aquél dedujo en relación con la Sentencia pronunciada el 28 de junio de 1994 por el Juez de Primera Instancia núm. 1 de La Laguna, en resolución de juicio declarativo de menor cuantía sobre división de cosa común. </w:t>
      </w:r>
    </w:p>
    <w:p w:rsidR="00FA0779" w:rsidRDefault="00FA0779" w:rsidP="00FA0779">
      <w:pPr>
        <w:pStyle w:val="TextoNormal"/>
      </w:pPr>
      <w:r>
        <w:t>En la demanda de amparo se invocan como vulnerados los derechos fundamentales a obtener la tutela judicial efectiva sin indefensión y a utilizar los medios de prueba pertinentes para la defensa y se solicita que, otorgando el amparo, sea dictada Sentencia en la que se declare «la nulidad de pleno derecho de la recurrida y con la rescisión de esta última, como de la anterior, para obtener un nuevo Fallo». En escrito posterior al de demanda, el solicitante de amparo interesó también la suspensión de la ejecución de la Sentencia dictada en el juicio declarativo de menor cuantía, al objeto de que no lleguen a irrogársele «gravísimos daños y perjuicios de naturaleza irreparables, una vez inscrita en el Registro de la Propiedad, harían actos de disposición y, con ello, haría perder al amparo su finalidad (sic).</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5 de marzo de 1997, resolvió admitir a trámite el recurso y en otra simultánea acordó formar la correspondiente pieza separada y conceder en ella un plazo común de tres días al Ministerio Fiscal y al demandante para que dentro del mismo pudieran alegar cuanto estimaran pertinente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demandante de amparo evacuó el traslado el 13 de marzo, reiterando lo que ya expuso en su inicial solicitud. Por su parte, el Fiscal, en escrito que presentó el 18 de marzo, manifestó que procede acordar la suspensión interesada porque la inscripción de la Sentencia en el Registro de la Propiedad, al establecer la división de la cosa común, singulariza y especifica la propiedad de cuatro partes de la finca, perfectamente determinadas en </w:t>
      </w:r>
      <w:r>
        <w:lastRenderedPageBreak/>
        <w:t>sus límites materiales, creando además facultades de disposición en favor de la entidad demandante en el proceso civil, que si son efectivamente ejercitadas podrían hacer perder al amparo su finalidad, habida cuenta que el nuevo juicio que se celebre, si procede la audiencia al recurrente, puede tener resolución distinta respecto de la pretensión de la división de la cosa común.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Como regla general,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en el ordenamiento jurídico.</w:t>
      </w:r>
    </w:p>
    <w:p w:rsidR="00FA0779" w:rsidRDefault="00FA0779" w:rsidP="00FA0779">
      <w:pPr>
        <w:pStyle w:val="TextoNormal"/>
      </w:pPr>
      <w:r>
        <w:t>Ahora bien, el art. 56.1 de la LOTC establece como contrapeso de tal presunción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citado precepto,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FA0779" w:rsidRDefault="00FA0779" w:rsidP="00FA0779">
      <w:pPr>
        <w:pStyle w:val="TextoNormal"/>
      </w:pPr>
    </w:p>
    <w:p w:rsidR="00FA0779" w:rsidRDefault="00FA0779" w:rsidP="00FA0779">
      <w:pPr>
        <w:pStyle w:val="TextoNormal"/>
      </w:pPr>
      <w:r w:rsidRPr="00FA0779">
        <w:rPr>
          <w:rStyle w:val="NumeroAFNegritaCaracter"/>
        </w:rPr>
        <w:t>2</w:t>
      </w:r>
      <w:r>
        <w:t>.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 suspensión del demandante de amparo, desde la perspectiva opuesta, se basa en que lo que solicita en el recurso es que se admitan y practiquen en la audiencia al rebelde las pruebas que propuso o que directamente se le oiga en el juicio de menor cuantía en que fue dictada la Sentencia frente a la que solicitó audiencia, resolución cuya ejecución supone la división de la cosa común, la constancia registral, individual y singularizada, de las distintas unidades resultantes de la división y la posibilidad de disposición de la parte correspondiente por la sociedad que ejerció la acción. La eventual estimación de este recurso conllevaría la retroacción de las actuaciones para que se practicaran en la audiencia al rebelde las pruebas en cuestión o para que, en su caso, el solicitante de amparo sea llamado en forma al juicio de menor cuantía sobre división de la cosa común y, por ello, un eventual pronunciamiento sobre la improcedencia de la división de la cosa común, puede resultar inoperante, dada la situación irreversible que con la ejecución puede crearse a través de la disposición en favor de un tercero de la parte de la finca objeto de la división acordada.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Sala acuerda suspender la ejecución de la Sentencia dictada el 28 de junio de 1994 por el Juez de Primera Instancia núm. 1 de La Laguna, en resolución de juicio declarativo de menor cuantía núm. 67/94.</w:t>
      </w:r>
    </w:p>
    <w:p w:rsidR="00FA0779" w:rsidRDefault="00FA0779" w:rsidP="00FA0779">
      <w:pPr>
        <w:pStyle w:val="TextoNormal"/>
      </w:pPr>
    </w:p>
    <w:p w:rsidR="00FA0779" w:rsidRDefault="00FA0779" w:rsidP="00FA0779">
      <w:pPr>
        <w:pStyle w:val="TextoNormal"/>
      </w:pPr>
      <w:r>
        <w:t>Madrid, a dos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5" w:name="AUTO_1997_182"/>
      <w:r>
        <w:lastRenderedPageBreak/>
        <w:t>AUTO 182/1997, de 2 de junio de 1997</w:t>
      </w:r>
    </w:p>
    <w:bookmarkEnd w:id="115"/>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ECLI:ES:TC:1997:182A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Acordando la inadmisión a trámite del recurso de amparo 2.356/1996.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este Tribunal el día 8 de junio de 1996, don Jesús de la Granja Sainz, Letrado, actuando en nombre propio, formula demanda de amparo frente a Auto de 30 de abril de 1996, de la Sala de lo Social del Tribunal Superior de Justicia de Madrid, que inadmite recurso de suplicación frente a la Sentencia de 25 de noviembre de 1994 del Juzgado de lo Social núm. 35 de esta capital sobre reclamación de cantidad.</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recurso de amparo tiene su origen en los siguientes antecedentes de hecho: </w:t>
      </w:r>
    </w:p>
    <w:p w:rsidR="00FA0779" w:rsidRDefault="00FA0779" w:rsidP="00FA0779">
      <w:pPr>
        <w:pStyle w:val="TextoNormal"/>
      </w:pPr>
      <w:r>
        <w:t xml:space="preserve">a) El recurrente en amparo formuló demanda ante el Juzgado de lo Social en reclamación de cantidad por salarios no abonados, una vez resuelta su relación laboral, por un importe de 1.142.858 pesetas. </w:t>
      </w:r>
    </w:p>
    <w:p w:rsidR="00FA0779" w:rsidRDefault="00FA0779" w:rsidP="00FA0779">
      <w:pPr>
        <w:pStyle w:val="TextoNormal"/>
      </w:pPr>
      <w:r>
        <w:t xml:space="preserve">b) Después de que por la empresa le fuese abonada la cantidad de 757.361 pesetas, en el acto del juicio, al formular sus conclusiones, el recurrente limitó su pretensión al abono de 100.000 pesetas más los intereses del principal, devengados del 30 de junio al 30 de septiembre de 1994, como consecuencia del retraso en el pago. Las referidas 100.000 pesetas eran reclamadas a consecuencia de que, al abonársele el principal, se le retrajo esa cantidad por corresponder a anticipos que había recibido para gastos de viajes. Respecto de estos gastos, el demandado reconoció que el demandante había gastado, efectivamente, 82.000 pesetas. </w:t>
      </w:r>
    </w:p>
    <w:p w:rsidR="00FA0779" w:rsidRDefault="00FA0779" w:rsidP="00FA0779">
      <w:pPr>
        <w:pStyle w:val="TextoNormal"/>
      </w:pPr>
      <w:r>
        <w:t xml:space="preserve">c) La Sentencia condenó a la empresa al pago de los intereses reclamados más la cantidad de 18.000 pesetas «por la diferencia entre las 100.000 pesetas descontadas al demandante y las 82.000 pesetas, efectivamente, gastadas». El demandante interpuso recurso de aclaración al considerar que la Sentencia le daba la razón en cuanto a que las 100.000 pesetas en cuestión le eran debidas, sólo que se incurrió en el error material de entender que ya se le había abonado 82.000 pesetas. Por Auto de 12 de enero de 1995 la Juez declaró que no existía el error denunciado. </w:t>
      </w:r>
    </w:p>
    <w:p w:rsidR="00FA0779" w:rsidRDefault="00FA0779" w:rsidP="00FA0779">
      <w:pPr>
        <w:pStyle w:val="TextoNormal"/>
      </w:pPr>
      <w:r>
        <w:t>d) Frente a esa Sentencia, interpuso recurso de suplicación en el que solicitaba que se revocase la Sentencia de instancia y se condenase a la demandada a abonar al actor la cantidad de 82.000 pesetas más los intereses que se devengasen. Por Auto de 5 de marzo de 1996, confirmado por el de 30 de abril de dicho año, el recurso fue inadmitido al ser evidente que la cuantía discutida en el mismo no excede la cifra mínima de 300.000 pesetas, siendo de 82.000 pesetas la cantidad real y efectivamente reclamada.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alega que se ha vulnerado el art. 24 C.E., al resultar fácilmente constatable que se ha incurrido en un error, toda vez que, habiéndose reconocido que realizó unos gastos por 82.000 pesetas, a partir del anticipo de 100.000 pesetas. posteriormente descontadas la cantidad que se le debía haber reconocido habría debido ser precisamente ésa, y nunca la de 18.000 pesetas, resultante de detraer del anticipo recibido (100.000 pesetas) la cantidad efectivamente gastada. </w:t>
      </w:r>
    </w:p>
    <w:p w:rsidR="00FA0779" w:rsidRDefault="00FA0779" w:rsidP="00FA0779">
      <w:pPr>
        <w:pStyle w:val="TextoNormal"/>
      </w:pPr>
      <w:r>
        <w:t>El demandante entiende que, con independencia de lo escaso de la cuantía reclamada, lo cierto es que se ha vulnerado su derecho a la tutela judicial efectiva, al haberse frustrado su derecho a una «justicia justa». Reconoce que «el planteamiento de la presente demanda puede resultar atípico, en razón de la cuantía, pero considera necesario resaltar y recordar que "lo importante es el fuero y que se ha visto abocado a acudir al máximo órgano judicial ante la falta de reconocimiento de los derechos que le asisten».</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22 de julio de 1996, con carácter previo a decidir acerca de la admisión, se requirió la remisión de las actuaciones a los órganos judiciales que habían intervenido en el asunto. Por otra providencia de 23 de enero de 1997, a tenor de lo dispuesto en el art. 50.3 LOTC, con vista de las actuaciones recibidas, se concedió un plazo de diez días al Ministerio Fiscal y al solicitante del amparo para que formulasen las alegaciones que estimasen pertinentes acerca de la posible existencia del motivo de inadmisión recogido en el art. 50.1 c) LOTC, tanto en atención a la entidad de la lesión alegada como desde la perspectiva del problema constitucional subyacente.</w:t>
      </w:r>
    </w:p>
    <w:p w:rsidR="00FA0779" w:rsidRDefault="00FA0779" w:rsidP="00FA0779">
      <w:pPr>
        <w:pStyle w:val="TextoNormal"/>
      </w:pPr>
    </w:p>
    <w:p w:rsidR="00FA0779" w:rsidRDefault="00FA0779" w:rsidP="00FA0779">
      <w:pPr>
        <w:pStyle w:val="TextoNormal"/>
      </w:pPr>
      <w:r w:rsidRPr="00FA0779">
        <w:rPr>
          <w:rStyle w:val="NumeroAFNegritaCaracter"/>
        </w:rPr>
        <w:t>5</w:t>
      </w:r>
      <w:r>
        <w:t>. Mediante escrito presentado el día 17 de febrero de 1997, el Fiscal interesó que, de acuerdo con el art. 50.1 c) LOTC, se inadmitiese el presente recurso. Con cita de una reiterada doctrina de este Tribunal (SSTC 50/1988, 256/1988, 210/1991 y 375/1993 y ATC 1006/1986) pone de manifiesto que el derecho a la tutela judicial no incluye el derecho al acierto, no comprendiendo, pues, las reparaciones de errores, equivocaciones o incorrecciones jurídicas. Por otra parte, respecto de la denegación del recurso de suplicación, recuerda cómo las SSTC 34/1992 y 163/1993 declaran que la determinación de cuantía de la litis en orden a aplicar las reglas que disciplinan la admisión del recurso de suplicación es una cuestión de legalidad que corresponde a los Tribunales ordinarios. La inadmisión decretada encuentra apoyatura en causa legalmente establecida, aplicada de modo razonable y no arbitrario.</w:t>
      </w:r>
    </w:p>
    <w:p w:rsidR="00FA0779" w:rsidRDefault="00FA0779" w:rsidP="00FA0779">
      <w:pPr>
        <w:pStyle w:val="TextoNormal"/>
      </w:pPr>
    </w:p>
    <w:p w:rsidR="00FA0779" w:rsidRDefault="00FA0779" w:rsidP="00FA0779">
      <w:pPr>
        <w:pStyle w:val="TextoNormal"/>
      </w:pPr>
      <w:r w:rsidRPr="00FA0779">
        <w:rPr>
          <w:rStyle w:val="NumeroAFNegritaCaracter"/>
        </w:rPr>
        <w:t>6</w:t>
      </w:r>
      <w:r>
        <w:t>. El demandante de amparo, mediante escrito que tuvo entrada en este Tribunal el día 26 de febrero de 1997, evacuó el trámite conferido, alegando que se le había vedado indebidamente el acceso al recurso de suplicación por ser la cuantía de su demanda superior a 300.000 pesetas y reiterando que había existido un error material o aritmético manifiesto, puesto que si ha gastado 82.000 pesetas, la cantidad que debería habérsele reconocido era, precisamente, ésa, y no las 18.000 pesetas, cantidad, justamente, dejada de gastar.</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providencia de 27 de enero de 1997, este Tribunal, al amparo de lo establecido en el art. 50.3 LOTC, concedió un plazo de diez días al Ministerio Fiscal y al solicitante </w:t>
      </w:r>
      <w:r>
        <w:lastRenderedPageBreak/>
        <w:t>del amparo para que formulasen las alegaciones que estimasen pertinentes acerca de la posible existencia del motivo de inadmisión recogido en el art. 50.1 c) LOTC, tanto en atención a la entidad de la lesión alegada como desde la perspectiva del problema constitucional subyacente. En las alegaciones presentadas sólo se ha contemplado la cuestión desde esta última perspectiva.</w:t>
      </w:r>
    </w:p>
    <w:p w:rsidR="00FA0779" w:rsidRDefault="00FA0779" w:rsidP="00FA0779">
      <w:pPr>
        <w:pStyle w:val="TextoNormal"/>
      </w:pPr>
      <w:r>
        <w:t>El demandante de amparo ha reiterado la existencia de un error manifiesto, desarrollando, en este trámite, la queja, relativa a la inadmisión del recurso de suplicación, inadmisión que considera vulnera las leyes procesales aplicables. Por su parte, el Fiscal ha interesado la inadmisión del recurso al entender que el derecho a la tutela judicial efectiva no comprende la reparación o rectificación de los errores, equivocaciones o incorrecciones de las resoluciones judiciales, así como que la determinación de la cuantía de un asunto a los efectos de la procedencia de un determinado recurso es una cuestión de legalidad ordinaria.</w:t>
      </w:r>
    </w:p>
    <w:p w:rsidR="00FA0779" w:rsidRDefault="00FA0779" w:rsidP="00FA0779">
      <w:pPr>
        <w:pStyle w:val="TextoNormal"/>
      </w:pPr>
    </w:p>
    <w:p w:rsidR="00FA0779" w:rsidRDefault="00FA0779" w:rsidP="00FA0779">
      <w:pPr>
        <w:pStyle w:val="TextoNormal"/>
      </w:pPr>
      <w:r w:rsidRPr="00FA0779">
        <w:rPr>
          <w:rStyle w:val="NumeroAFNegritaCaracter"/>
        </w:rPr>
        <w:t>2</w:t>
      </w:r>
      <w:r>
        <w:t>. Procede declarar la inadmisión del recurso, no ya sólo por la manifiesta falta de fundamento de la pretensión, toda vez que ni corresponde a este Tribunal garantizar el acierto de las resoluciones judiciales (STC 148/1994) ni revisar los criterios seguidos para la inadmisión de los recursos (STC 37/1995), sino por cuanto, además, se aprecia la «carencia manifiesta de un contenido "que justifique" el que este Tribunal deba conocer sobre el fondo del asunto» (ATC 248/1994).</w:t>
      </w:r>
    </w:p>
    <w:p w:rsidR="00FA0779" w:rsidRDefault="00FA0779" w:rsidP="00FA0779">
      <w:pPr>
        <w:pStyle w:val="TextoNormal"/>
      </w:pPr>
      <w:r>
        <w:t>En efecto, no es difícil justificar que la falta de entidad de la lesión alegada es «notoria y manifiesta» (ATC 248/1994). El demandante de amparo ha obtenido respuesta judicial sobre el fondo de sus pretensiones, sobre la existencia del posible error y sobre la procedencia del recurso de suplicación. Pero es que, además, en cuanto al fondo de lo solicitado, el actor encontró que el Juzgado estimó su reclamación, sólo que al calcular la cifra concreta que se le debía abonar llegó a resultados divergentes de los sostenidos por el actor.</w:t>
      </w:r>
    </w:p>
    <w:p w:rsidR="00FA0779" w:rsidRDefault="00FA0779" w:rsidP="00FA0779">
      <w:pPr>
        <w:pStyle w:val="TextoNormal"/>
      </w:pPr>
      <w:r>
        <w:t>Resulta, así, que la lesión adquiere una dimensión exclusivamente patrimonial, cuya irrelevancia, dadas las circunstancias concretas del caso, la propia demanda de amparo viene a reconocer, y sin que se exprese, ni pueda inferirse de su texto, la existencia de ningún bien constitucionalmente protegido, ni problema constitucional subyacente, que, por verse afectado de forma relevante, exija una declaración en forma de Sentencia por parte de este Tribunal.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la inadmisión a trámite de la presente demanda de amparo.</w:t>
      </w:r>
    </w:p>
    <w:p w:rsidR="00FA0779" w:rsidRDefault="00FA0779" w:rsidP="00FA0779">
      <w:pPr>
        <w:pStyle w:val="TextoNormal"/>
      </w:pPr>
    </w:p>
    <w:p w:rsidR="00FA0779" w:rsidRDefault="00FA0779" w:rsidP="00FA0779">
      <w:pPr>
        <w:pStyle w:val="TextoNormal"/>
      </w:pPr>
      <w:r>
        <w:t>Madrid, a dos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6" w:name="AUTO_1997_183"/>
      <w:r>
        <w:lastRenderedPageBreak/>
        <w:t>AUTO 183/1997, de 2 de junio de 1997</w:t>
      </w:r>
    </w:p>
    <w:bookmarkEnd w:id="116"/>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ECLI:ES:TC:1997:183A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2.677/1996.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el Juzgado de Guardia el 29 de junio de 1996 y registrado en este Tribunal el día 1 de julio siguiente, don Argimiro Vázquez Guillén, Procurador de los Tribunales, y de don Rodrigo Vázquez Arias, interpone recurso de amparo contra Sentencia de la Sala de lo Contencioso-Administrativo del Tribunal Superior de Justicia de Galicia de 30 de mayo de 1996, desestimatoria del recurso contencioso-administrativo núm. 1.153/92, promovido contra Resolución de la Subsecretaría del Ministerio del Interior de 17 de julio de 1992, sobre sanción de suspensión de funciones.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en los que se fundamenta la demanda son, sucintamente expuestos, los que siguen: </w:t>
      </w:r>
    </w:p>
    <w:p w:rsidR="00FA0779" w:rsidRDefault="00FA0779" w:rsidP="00FA0779">
      <w:pPr>
        <w:pStyle w:val="TextoNormal"/>
      </w:pPr>
      <w:r>
        <w:t xml:space="preserve">A) El ahora recurrente, funcionario de la Administración del Estado con destino en la Jefatura Provincial de Tráfico de Pontevedra, fue requerido por el Jefe Provincial para que diera cuenta de su circunstancia laboral durante una jornada de huelga. En su escrito de contestación, el actor vertió una serie de críticas contra aquel, concluyendo con la siguiente frase: «ya que le falta vergüenza, si, al menos, tuviera capacidad, no sucederían estas cosas». </w:t>
      </w:r>
    </w:p>
    <w:p w:rsidR="00FA0779" w:rsidRDefault="00FA0779" w:rsidP="00FA0779">
      <w:pPr>
        <w:pStyle w:val="TextoNormal"/>
      </w:pPr>
      <w:r>
        <w:t xml:space="preserve">B) Por Resolución de 17 de julio de 1992, el Subsecretario del Ministerio del </w:t>
      </w:r>
    </w:p>
    <w:p w:rsidR="00FA0779" w:rsidRDefault="00FA0779" w:rsidP="00FA0779">
      <w:pPr>
        <w:pStyle w:val="TextoNormal"/>
      </w:pPr>
      <w:r>
        <w:t xml:space="preserve">Interior acordó, tras el correspondiente procedimiento, imponer al actor la sanción de un año de suspensión de funciones como responsable de una falta grave prevista en el art. 7 e) del Reglamento Disciplinario de los Funcionarios de la Administración del Estado. </w:t>
      </w:r>
    </w:p>
    <w:p w:rsidR="00FA0779" w:rsidRDefault="00FA0779" w:rsidP="00FA0779">
      <w:pPr>
        <w:pStyle w:val="TextoNormal"/>
      </w:pPr>
      <w:r>
        <w:t>C) Interpuesto recurso contencioso-administrativo ante el Tribunal Superior de Justicia de Galicia, la Sala de lo Contencioso-Administrativo dictó Sentencia desestimatoria de 30 de mayo de 1996.</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Se interpone recurso de amparo contra la Sentencia de la Sala de lo Contencioso-Administrativo del Tribunal Superior de Justicia de Galicia de 30 de mayo de 1996, interesando su nulidad y que se deje sin efecto la sanción administrativa impuesta alegando infracción del art. 20 C.E., que resultaría del hecho de que, en opinión del actor, la frase por la que ha sido sancionado (además, desproporcionadamente) debió ser examinada en </w:t>
      </w:r>
      <w:r>
        <w:lastRenderedPageBreak/>
        <w:t>la totalidad de su contexto, siendo así que, en un análisis ponderado de los derechos confrontados (arts. 18 y 20), era preciso dar protección al derecho a la libertad de expresión ejercido por el recurrente. Se solicita, asimismo, la suspensión de la ejecución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13 de noviembre de 1996, la Sección Cuarta de este Tribunal acordó abrir el trámite previsto en el núm. 3 del art. 50 LOTC, concediendo un plazo común de diez días para alegaciones al demandante de amparo y al Ministerio Fiscal, cumplimentado mediante escritos registrados en este Tribunal el 9 de noviembre de 1996 y el 4 de diciembre del mismo año, respectivamente, habiendo solicitado el segundo, con carácter previo, la aportación del recurso contencioso-administrativo y del expediente disciplinario del que trae causa el presente recurso, así como del requerimiento efectuado al ahora recurrente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Esta solicitud, que fue acogida por la Sección en su providencia de 19 de diciembre de 1996, y, tras el envío de los mencionados documentos, por nueva providencia de la Sección de 10 de marzo de 1997, se dio vista de las actuaciones, con concesión de un nuevo plazo de diez días para que el Ministerio Fiscal alegase lo pertinente. Lo que éste llevó a cabo por escrito registrado en este Tribunal el 4 de abril de 1997, en el que se interesaba la admisión a trámite del presente recurso de amparo.</w:t>
      </w:r>
    </w:p>
    <w:p w:rsidR="00FA0779" w:rsidRDefault="00FA0779" w:rsidP="00FA0779">
      <w:pPr>
        <w:pStyle w:val="TextoNormal"/>
      </w:pPr>
    </w:p>
    <w:p w:rsidR="00FA0779" w:rsidRDefault="00FA0779" w:rsidP="00FA0779">
      <w:pPr>
        <w:pStyle w:val="TextoNormal"/>
      </w:pPr>
      <w:r w:rsidRPr="00FA0779">
        <w:rPr>
          <w:rStyle w:val="NumeroAFNegritaCaracter"/>
        </w:rPr>
        <w:t>6</w:t>
      </w:r>
      <w:r>
        <w:t>. Por providencia de 29 de abril de 1997, la Sección acordó admitir a trámite la demanda de amparo y en otra de la misma fecha formar la oportuna pieza para la tramitación del incidente de suspensión conforme determina el art. 56 LOTC, concediendo un plazo común de tres días a la parte recurrente y al Ministerio Fiscal para que alegasen lo que estimasen procedente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En el trámite de alegaciones, el demandante de amparo ha reiterado la solicitud de suspensión mediante escrito registrado en este Tribunal el 6 de mayo de 1997, al que se adjuntaban varios documentos; señalando, en esencia, el perjuicio que en otro caso se produciría y que haría perder al amparo su finalidad, sin que de tal suspensión pueda seguirse perturbación grave de los intereses generales ni afectarse los derechos o libertades fundamentales de un tercero. A lo que se ha opuesto el Abogado del Estado mediante escrito presentado el 5 de mayo de 1997, para quien la suspensión representaría un beneficio injustificado para el demandante, a la vez que se haría perder, con una nueva dilación, el significado ejemplarizante de la sanción administrativa impuesta en 1992, en perjuicio de los intereses de la Administración. </w:t>
      </w:r>
    </w:p>
    <w:p w:rsidR="00FA0779" w:rsidRDefault="00FA0779" w:rsidP="00FA0779">
      <w:pPr>
        <w:pStyle w:val="TextoNormal"/>
      </w:pPr>
      <w:r>
        <w:t>El Ministerio Fiscal, en cambio, no se opone a la suspensión solicitada, indicando que basta tener presente que se trata de una sanción de un año de suspensión de empleo y sueldo e implica, por tanto, una pérdida de derechos de distinta índole del recurrente, que serían de difícil o imposible reparación caso de concederse la suspensión solicitada.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Según dispone el art. 56.1 LOTC, la Sala que conozca de un recurso de amparo acordará la suspensión del acto de los poderes públicos por razón del cual se reclame el </w:t>
      </w:r>
      <w:r>
        <w:lastRenderedPageBreak/>
        <w:t>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FA0779" w:rsidRDefault="00FA0779" w:rsidP="00FA0779">
      <w:pPr>
        <w:pStyle w:val="TextoNormal"/>
      </w:pPr>
      <w:r>
        <w:t>De lo que resulta, como este Tribunal ha venido manteniendo reiteradamente, que la suspensión de la ejecución entraña siempre una perturbación de la función.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FA0779" w:rsidRDefault="00FA0779" w:rsidP="00FA0779">
      <w:pPr>
        <w:pStyle w:val="TextoNormal"/>
      </w:pPr>
    </w:p>
    <w:p w:rsidR="00FA0779" w:rsidRDefault="00FA0779" w:rsidP="00FA0779">
      <w:pPr>
        <w:pStyle w:val="TextoNormal"/>
      </w:pPr>
      <w:r w:rsidRPr="00FA0779">
        <w:rPr>
          <w:rStyle w:val="NumeroAFNegritaCaracter"/>
        </w:rPr>
        <w:t>2</w:t>
      </w:r>
      <w:r>
        <w:t>. En atención a dichos criterios, en el ATC 314/1992, fundamento jurídico 21, hemos declarado que la ejecución de la Sentencia en aquel caso impugnada «supondría la suspensión de empleo y sueldo, durante un año, del recurrente, de manera que, de estimarse la demanda, el amparo concedido habría perdido buena parte de su finalidad». Agregando que, «ciertamente, los haberes que hubiera dejado de percibir podrían serle abonados sin ninguna dificultad, pero resultaría, en cambio, de imposible reparación el perjuicio derivado de la circunstancia de que durante un año no podría ejercer sus funciones, con el añadido del menoscabo, también irreparable, que habría de padecer el recurrente en el orden moral, profesional y social». Doctrina que, al ser similar aquel supuesto al presente, le es aplicable y ha de conducir, sin necesidad de ulteriores razonamientos, a la concesión de la suspensión solicitada.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le expuesto, la Sala acuerda suspender la ejecución de la Sentencia núm. 384/96 de la Sala de lo Contencioso-Administrativo del Tribunal Superior de Justicia de Galicia de fecha 30 de mayo de 1996, recaída en el procedimiento 01/0001153/92, por</w:t>
      </w:r>
    </w:p>
    <w:p w:rsidR="00FA0779" w:rsidRDefault="00FA0779" w:rsidP="00FA0779">
      <w:pPr>
        <w:pStyle w:val="TextoNormal"/>
      </w:pPr>
      <w:r>
        <w:t>la que desestimó el recurso formulado contra la Resolución de 17 de julio de 1992 del Subsecretario del Ministerio del Interior que impuso a don Rodrigo Vázquez Arias la sanción de un año de suspensión de funciones.</w:t>
      </w:r>
    </w:p>
    <w:p w:rsidR="00FA0779" w:rsidRDefault="00FA0779" w:rsidP="00FA0779">
      <w:pPr>
        <w:pStyle w:val="TextoNormal"/>
      </w:pPr>
    </w:p>
    <w:p w:rsidR="00FA0779" w:rsidRDefault="00FA0779" w:rsidP="00FA0779">
      <w:pPr>
        <w:pStyle w:val="TextoNormal"/>
      </w:pPr>
      <w:r>
        <w:t>Madrid, a dos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7" w:name="AUTO_1997_184"/>
      <w:r>
        <w:lastRenderedPageBreak/>
        <w:t>AUTO 184/1997, de 2 de junio de 1997</w:t>
      </w:r>
    </w:p>
    <w:bookmarkEnd w:id="117"/>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ECLI:ES:TC:1997:184A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3.013/1996.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24 de junio de 1996, don Vicente Ruigómez Muriedas, Procurador de los Tribunales, y de «Erebegi, S. A.», interpone recurso de amparo contra la Sentencia del Juzgado de lo Social núm. 1 de Eíbar (Guipúzcoa), de fecha 2 de mayo de 1996, sobre reclamación de cantidad seguido a instancia de dos trabajadores.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antecedentes de hecho: </w:t>
      </w:r>
    </w:p>
    <w:p w:rsidR="00FA0779" w:rsidRDefault="00FA0779" w:rsidP="00FA0779">
      <w:pPr>
        <w:pStyle w:val="TextoNormal"/>
      </w:pPr>
      <w:r>
        <w:t xml:space="preserve">a) Dos trabajadores de la mercantil ahora recurrente formularon demanda sobre reclamación de cantidad, consignando como domicilio de ésta la calle Dr. Areilza, núm. 17, de Bilbao. Para la citación a los actos de conciliación y juicio se utilizó por dos veces el correo certificado con acuse de recibo y ambas fueron devueltas con la indicación «se ausentó», seguidamente se acudió a la vía edictal. </w:t>
      </w:r>
    </w:p>
    <w:p w:rsidR="00FA0779" w:rsidRDefault="00FA0779" w:rsidP="00FA0779">
      <w:pPr>
        <w:pStyle w:val="TextoNormal"/>
      </w:pPr>
      <w:r>
        <w:t xml:space="preserve">En el acto del juicio, al que no compareció la demandada, los actores aportaron los contratos de trabajo y recibos de salarios en los que figura como domicilio de la empresa Arrigorriaga (Vizcaya), Polígono Atxukarro, Pabellón 6. </w:t>
      </w:r>
    </w:p>
    <w:p w:rsidR="00FA0779" w:rsidRDefault="00FA0779" w:rsidP="00FA0779">
      <w:pPr>
        <w:pStyle w:val="TextoNormal"/>
      </w:pPr>
      <w:r>
        <w:t>b) La Sentencia del Juzgado de lo Social núm. 1 de Eíbar, de 2 de mayo de 1996, fue íntegramente estimatoria de las demandas interpuestas.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parte recurrente estima violado el art. 24.1 C.E. porque la citación para comparecer al juicio oral se remitió a un domicilio incorrecto y los demandantes conocían perfectamente cuál era el domicilio de la empresa, cuyas señas constaban en el contrato de trabajo y en las nóminas que les fueron entregadas. Sin embargo, dice, indicaron un domicilio del que la empresa se había trasladado cuatro meses antes desde el inicio de la relación laboral. </w:t>
      </w:r>
    </w:p>
    <w:p w:rsidR="00FA0779" w:rsidRDefault="00FA0779" w:rsidP="00FA0779">
      <w:pPr>
        <w:pStyle w:val="TextoNormal"/>
      </w:pPr>
      <w:r>
        <w:t>También manifiesta que el Juzgado de lo Social, consciente de la devolución de la citación y sabedor por la documentación obrante en Autos que el domicilio de la empresa radicaba en Arrigorriaga, no puso la menor diligencia en comprobar la dirección correcta, acudiendo seguidamente a la edictal.</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Por sendas providencias de 29 de abril de 1997, la Sección Tercera acordó admitir a trámite la demanda de amparo y abrir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La parte recurrente en amparo interesa, por escrito registrado en este Tribunal el 6 de mayo de 1997, se suspenda la ejecución de la resolución judicial recurrida porque si se estimara el amparo resultaría prácticamente imposible recuperar las 412.488 pesetas que abonó a los trabajadores por pertenecer éstos a una cuadrilla de albañiles que presta sus servicios de forma itinerante.</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por escrito que tuvo entrada en este Tribunal el 12 de mayo de 1997, interesa que se deniegue la suspensión solicitada. </w:t>
      </w:r>
    </w:p>
    <w:p w:rsidR="00FA0779" w:rsidRDefault="00FA0779" w:rsidP="00FA0779">
      <w:pPr>
        <w:pStyle w:val="TextoNormal"/>
      </w:pPr>
      <w:r>
        <w:t>Manifiesta que la ejecución de la resolución judicial no supondría un perjuicio irreparable habida cuenta de su naturaleza estrictamente económica.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En aplicación de los criterios que se contienen en el art. 56.1 LOTC, este Tribunal ha declarado que cuando el recurso de amparo se dirige contra resoluciones judiciales, el interés general consiste en su ejecución. De manera que para que pueda</w:t>
      </w:r>
    </w:p>
    <w:p w:rsidR="00FA0779" w:rsidRDefault="00FA0779" w:rsidP="00FA0779">
      <w:pPr>
        <w:pStyle w:val="TextoNormal"/>
      </w:pPr>
      <w:r>
        <w:t>prosperar la medida de suspensión que se interesa quien la pide habrá de justificar, en atención a lo resuelto en la resolución impugnada en esta sede, la concurrencia de un perjuicio irreparable, susceptible de hacer perder al amparo su finalidad caso</w:t>
      </w:r>
    </w:p>
    <w:p w:rsidR="00FA0779" w:rsidRDefault="00FA0779" w:rsidP="00FA0779">
      <w:pPr>
        <w:pStyle w:val="TextoNormal"/>
      </w:pPr>
      <w:r>
        <w:t>de procederse a la ejecución de dicha resolución. En el presente caso, la ejecución de la Sentencia supone abonar una cantidad económica que en principio es perfectamente reparable, como reiteradamente viene afirmando este Tribunal.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denegar la suspensión solicitada.</w:t>
      </w:r>
    </w:p>
    <w:p w:rsidR="00FA0779" w:rsidRDefault="00FA0779" w:rsidP="00FA0779">
      <w:pPr>
        <w:pStyle w:val="TextoNormal"/>
      </w:pPr>
    </w:p>
    <w:p w:rsidR="00FA0779" w:rsidRDefault="00FA0779" w:rsidP="00FA0779">
      <w:pPr>
        <w:pStyle w:val="TextoNormal"/>
      </w:pPr>
      <w:r>
        <w:t>Madrid, a dos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8" w:name="AUTO_1997_185"/>
      <w:r>
        <w:lastRenderedPageBreak/>
        <w:t>AUTO 185/1997, de 2 de junio de 1997</w:t>
      </w:r>
    </w:p>
    <w:bookmarkEnd w:id="118"/>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ECLI:ES:TC:1997:185A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3.821/1996.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Procuradora de los Tribunales doña Olga Rodríguez Herranz, en nombre de don André Marcel Robert Lemeille y en escrito que presentó el 23 de octubre de 1996, interpuso recurso de amparo contra la Sentencia que el Juez de Instrucción núm. 1 de Granollers dictó el 1 de diciembre de 1995, condenándole, como autor de una falta de lesiones imprudentes, a la pena de cincuenta mil pesetas de multa, con un día de arresto sustitutorio en caso de impago, y a que indemnice a doña Sonia Calzada Franco en la cuantía de 556.000 pesetas. </w:t>
      </w:r>
    </w:p>
    <w:p w:rsidR="00FA0779" w:rsidRDefault="00FA0779" w:rsidP="00FA0779">
      <w:pPr>
        <w:pStyle w:val="TextoNormal"/>
      </w:pPr>
      <w:r>
        <w:t>En la demanda de amparo se hace valer el derecho del recurrente a no sufrir indefensión (art. 24.1 C.E.) y a que, por lo tanto, se le cite para el acto de juicio en legal forma, dándole oportunidad de asistir al mismo, y se solicita que, otorgando el amparo, se declare que la citación edictal que se hizo a aquél vulneró su derecho a obtener la tutela judicial efectiva sin indefensión, así como la nulidad de la Sentencia condenatoria impugnada, y que, para el restablecimiento en la integridad del mencionado derecho fundamental, se retrotraigan las actuaciones al momento inmediatamente anterior a la citación para el acto del juicio de faltas. En el lugar correspondiente de la demanda también se interesa que, entretanto, sea decretada la suspensión de aquella resolución judicial, debido a que la continuación de la ejecución podría provocar graves perjuicios al recurrente. Al efecto se hace constar que el único pronunciamiento de la Sentencia que queda por ejecutar es el pago de la multa, habiéndose iniciado ya la averiguación de sus bienes a efectos de proceder a su embargo. De otro lado, se aduce que la suspensión de la ejecución no ha de producir daño alguno a terceros ni a ninguna de las partes implicadas en el juicio de faltas, puesto que la perjudicada ya ha percibido las cantidades indemnizatorias señaladas en la Sentencia.</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15 de abril de 1997, resolvió admitir a trámite el recurso y en otra simultánea acordó formar la correspondiente pieza separada y conceder en ella un plazo común de tres días al Ministerio Fiscal y al demandante para que dentro del mismo pudieran alegar cuanto estimaran pertinente en relación con la medida cautelar interesada.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El solicitante de amparo ha evacuado el traslado en escrito registrado el 22 de abril, en el que reproduce lo que ya expuso al efecto en el escrito de demanda. Por su parte, el Fiscal se ha opuesto a la suspensión en escrito que presentó el 28 de abril, habida cuenta la trascendencia exclusivamente económica de los pronunciamiento contenidos en la Sentencia de cuya suspensión se trata.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del demandante de amparo, desde la perspectiva opuesta, únicamente afecta a la ejecución de la pena de multa (50.000 pesetas), cuyo contenido no es sino una prestación de dar, obligación pecuniaria en suma, cuantificada y recuperable en principio, incluido el eventual perjuicio por el lucro cesante, aun cuando esta afirmación admita matizaciones en función de circunstancias objetivas (cuantía) y subjetivas (situación económica del obligado al pago), sin mencionar la depreciación monetaria. Por esta su naturaleza ha merecido trato distinto que otros supuestos como las medidas privativas o restrictivas de la libertad personal, permitiéndose la ejecución con o sin afianzamiento. En el presente caso, a juicio de la Sala, no resulta procedente la suspensión de la pena de multa, pues no se han acreditado aquellas circunstancias reveladoras de un perjuicio irreparable para el demandante por efecto de su ejecución que haría </w:t>
      </w:r>
      <w:r>
        <w:lastRenderedPageBreak/>
        <w:t>perder al amparo su finalidad aun cuando haya que exceptuar el eventual arresto sustitutorio en caso de impago por mínima que pueda ser su duración.</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Sala acuerda suspender la ejecución de la Sentencia recurrida en lo que al arresto sustitutorio se refiere, y mantener su efectividad en todo lo demás.</w:t>
      </w:r>
    </w:p>
    <w:p w:rsidR="00FA0779" w:rsidRDefault="00FA0779" w:rsidP="00FA0779">
      <w:pPr>
        <w:pStyle w:val="TextoNormal"/>
      </w:pPr>
    </w:p>
    <w:p w:rsidR="00FA0779" w:rsidRDefault="00FA0779" w:rsidP="00FA0779">
      <w:pPr>
        <w:pStyle w:val="TextoNormal"/>
      </w:pPr>
      <w:r>
        <w:t>Madrid, a dos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19" w:name="AUTO_1997_186"/>
      <w:r>
        <w:lastRenderedPageBreak/>
        <w:t>AUTO 186/1997, de 2 de junio de 1997</w:t>
      </w:r>
    </w:p>
    <w:bookmarkEnd w:id="119"/>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ECLI:ES:TC:1997:186A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4.120/1996.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Doña Sunilda Antonia Cordero Frías, debidamente representada y asistida y mediante escrito que presentó el 14 de noviembre de 1996, ha interpuesto recurso de amparo contra la Sentencia que la Sección Segunda de la Audiencia Provincial de Málaga dictó el 19 de septiembre de 1996, en la que, estimando el recurso de apelación interpuesto por el Colegio de Odontólogos y Estomatólogos de la V Región contra la pronunciada por el Juez de lo Penal núm. 3 de Málaga, la condenó como autora de un delito de intrusismo a la pena de seis meses de prisión, así como al pago de la tercera parte de las costas procesales originadas en la tramitación de la causa penal. </w:t>
      </w:r>
    </w:p>
    <w:p w:rsidR="00FA0779" w:rsidRDefault="00FA0779" w:rsidP="00FA0779">
      <w:pPr>
        <w:pStyle w:val="TextoNormal"/>
      </w:pPr>
      <w:r>
        <w:t>Denuncia vulneración de sus derechos a obtener la tutela judicial efectiva sin indefensión (art. 24.1 C.E.) y a la defensa (art. 24.2 C.E.) y solicita que, otorgando el amparo que interesa, sea dictada por este Tribunal Sentencia anulando la recurrida y retrotrayendo las actuaciones del proceso penal al momento anterior a dictar Sentencia en la apelación, suspendiéndose su substanciación hasta que por la Sección Cuarta de la Sala de lo Contencioso-Administrativo de la Audiencia Nacional se resuelva el recurso contencioso-administrativo que tiene interpuesto contra la resolución del Secretario general Técnico del Ministerio de Educación y Ciencia denegatoria de la homologación de su título de odontólogo por el extinto español de odontología.</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Tercera, en providencia de 29 de abril de 1997, decidió admitir a trámite el recurso y en otra simultánea acordó formar la correspondiente pieza separada y conceder en ella un plazo común de tres días al Ministerio Fiscal y a la demandante para que dentro del mismo pudieran alegar cuanto estimaran pertinente en relación con la medida cautelar de suspensión de la ejecución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solicitante de amparo evacuó el traslado el 8 de mayo, en escrito en el que interesó la suspensión de la ejecución de la Sentencia condenatoria dictada por la Audiencia Provincial de Málaga, ya que, a su juicio, se cumplen en el caso todos los presupuestos necesarios para proceder a la suspensión, habida cuenta que el daño que se le causaría con la ejecución sería irreparable. Afirma, por lo demás, que las dos Salas de este Tribunal han </w:t>
      </w:r>
      <w:r>
        <w:lastRenderedPageBreak/>
        <w:t xml:space="preserve">dictado Sentencias (las SSTC 30/1996 y 102/1996) otorgando amparo en casos idénticos al suyo. </w:t>
      </w:r>
    </w:p>
    <w:p w:rsidR="00FA0779" w:rsidRDefault="00FA0779" w:rsidP="00FA0779">
      <w:pPr>
        <w:pStyle w:val="TextoNormal"/>
      </w:pPr>
      <w:r>
        <w:t>Por su parte, el Fiscal, en escrito presentado el 12 de mayo, manifestó que procede suspender la ejecución de la pena privativa de libertad, no así, sin embargo, el pago de las costas procesales, trayendo al efecto a colación la doctrina contenida en los AATC 116/1990, 244/1991, 120/1993, 316/1993, 289/1995, 301/1995, 322/1995 y 6/1996.</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 Sentencia impugnada en este aspecto, ya que, en caso contrario, el eventual otorgamiento de amparo habría perdido su finalidad práctica, </w:t>
      </w:r>
      <w:r>
        <w:lastRenderedPageBreak/>
        <w:t>pues la actora tendría cumplida para entonces la pena de prisión, de corta duración (AATC 98/1983, 179/1984, 574/1985, 116/1990 y 120/1993).</w:t>
      </w:r>
    </w:p>
    <w:p w:rsidR="00FA0779" w:rsidRDefault="00FA0779" w:rsidP="00FA0779">
      <w:pPr>
        <w:pStyle w:val="TextoNormal"/>
      </w:pPr>
    </w:p>
    <w:p w:rsidR="00FA0779" w:rsidRDefault="00FA0779" w:rsidP="00FA0779">
      <w:pPr>
        <w:pStyle w:val="TextoNormal"/>
      </w:pPr>
      <w:r w:rsidRPr="00FA0779">
        <w:rPr>
          <w:rStyle w:val="NumeroAFNegritaCaracter"/>
        </w:rPr>
        <w:t>3</w:t>
      </w:r>
      <w:r>
        <w:t>. Otra solución negativa en este aspecto exige la condena en costas, cuyo contenido no es sino una prestación de dar, obligación pecuniaria en suma, cuantificada y recuperable en principio, incluido el eventual perjuicio por el lucro cesante, aun cuando esta afirmación admita matizaciones en función de circunstancias objetivas (cuantía) y subjetivas (situación económica del obligado al pago), sin mencionar la depreciación monetaria. Por esta naturaleza ha merecido un trato distinto que el de otros supuestos como las medidas privativas o restrictivas de la libertad personal, permitiéndose la ejecución con o sin afianzamiento, salvo que pudiera producir perjuicios irreparables o de reparación dificultosa haciendo así perder su finalidad al amparo, circunstancia que ni siquiera se aduce.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Sala acuerda suspender la ejecución de la Sentencia recurrida en lo que se refiere a la pena de seis meses de prisión, impuesta a la demandante de amparo, y mantener su ejecutividad. respecto del pronunciamiento sobre costas</w:t>
      </w:r>
    </w:p>
    <w:p w:rsidR="00FA0779" w:rsidRDefault="00FA0779" w:rsidP="00FA0779">
      <w:pPr>
        <w:pStyle w:val="TextoNormal"/>
      </w:pPr>
      <w:r>
        <w:t>procesales.</w:t>
      </w:r>
    </w:p>
    <w:p w:rsidR="00FA0779" w:rsidRDefault="00FA0779" w:rsidP="00FA0779">
      <w:pPr>
        <w:pStyle w:val="TextoNormal"/>
      </w:pPr>
    </w:p>
    <w:p w:rsidR="00FA0779" w:rsidRDefault="00FA0779" w:rsidP="00FA0779">
      <w:pPr>
        <w:pStyle w:val="TextoNormal"/>
      </w:pPr>
      <w:r>
        <w:t>Madrid, a dos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0" w:name="AUTO_1997_187"/>
      <w:r>
        <w:lastRenderedPageBreak/>
        <w:t>AUTO 187/1997, de 2 de junio de 1997</w:t>
      </w:r>
    </w:p>
    <w:bookmarkEnd w:id="120"/>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ECLI:ES:TC:1997:187A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Declarando la extinción, por satisfacción extraprocesal, del recurso de amparo 297/1997.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1" w:name="AUTO_1997_188"/>
      <w:r>
        <w:lastRenderedPageBreak/>
        <w:t>AUTO 188/1997, de 2 de junio de 1997</w:t>
      </w:r>
    </w:p>
    <w:bookmarkEnd w:id="121"/>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ECLI:ES:TC:1997:188A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518/1997, promovido en litigio social.</w:t>
      </w:r>
    </w:p>
    <w:p w:rsidR="00FA0779" w:rsidRDefault="00FA0779" w:rsidP="00FA0779">
      <w:pPr>
        <w:pStyle w:val="SntesisDescriptiva"/>
      </w:pPr>
    </w:p>
    <w:p w:rsidR="00FA0779" w:rsidRDefault="00FA0779" w:rsidP="00FA0779">
      <w:pPr>
        <w:pStyle w:val="SntesisAnaltica"/>
      </w:pPr>
      <w:r>
        <w:t>Desistimiento del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2" w:name="AUTO_1997_189"/>
      <w:r>
        <w:lastRenderedPageBreak/>
        <w:t>AUTO 189/1997, de 3 de junio de 1997</w:t>
      </w:r>
    </w:p>
    <w:bookmarkEnd w:id="122"/>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ECLI:ES:TC:1997:189A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Declarando concluida, por falta de objeto, la impugnación 13/1988 promovida al amparo del Título V de la LOTC.</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escrito presentado en este Tribunal el 4 de enero de 1988, el Abogado del Estado, en representación del Gobierno de la Nación, impugnó, al amparo del art. 161.2 de la Constitución (C.E.) y de conformidad con el Título V de la Ley Orgánica del Tribunal Constitucional (LOTC), los arts. 1, 2, 3, 4, 5, 6, 7, 10, inciso primero, 12, 13, 14 y, en conexión con éstos últimos preceptos, 11, de la Orden de la Consejería de Educación de la Junta de Galicia, de 31 de agosto de 1987, por la que se desarrolla el Decreto 135/1983, de 8 de septiembre, sobre aplicación para la enseñanza de la Ley 3/1983, de 15 de junio, de Normalización Lingüística. </w:t>
      </w:r>
    </w:p>
    <w:p w:rsidR="00FA0779" w:rsidRDefault="00FA0779" w:rsidP="00FA0779">
      <w:pPr>
        <w:pStyle w:val="TextoNormal"/>
      </w:pPr>
      <w:r>
        <w:t>En el escrito de planteamiento se hizo invocación expresa de los arts. 161.2 de la C.E. y 77 de la LOTC, a los efectos de que se acordase la suspensión de la vigencia y aplicación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Segunda de este Tribunal acordó, por providencia de 13 de enero de 1988, admitir a trámite la impugnación; dar traslado de la demanda y de los documentos presentados a la Junta de Galicia, por conducto de su Presidente, al objeto de que en el plazo de veinte días, y por medio de la representación procesal que determina el art. 82.2 de la LOTC, aportase cuantos documentos y alegaciones considerase convenientes; dirigir oficio al Presidente de la Audiencia Territorial de la Coruña, a los efectos del art. 61.2 de la LOTC; tener por invocado por el Gobierno de la Nación el art. 161.2 de la C.E., lo que, a su tenor y al amparo del art. 77 de la LOTC, produce la suspensión de los preceptos impugnados desde la fecha de formalización del proceso; y, por último, publicar la incoación del procedimiento y la suspensión acordada en el «Boletín Oficial del Estado» y en el «Diario Oficial de Galicia» para general conocimiento.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Por escrito registrado el 12 de febrero de 1988, compareció en el proceso la Junta de Galicia, quien en su escrito de alegaciones se opuso a la impugnación promovida por el </w:t>
      </w:r>
      <w:r>
        <w:lastRenderedPageBreak/>
        <w:t>Gobierno de la Nación y solicitó se declarase la constitucionalidad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La Sección Segunda, por providencia de 9 de mayo de 1988, próximo a finalizar el plazo de suspensión que señala el art. 77 de la LOTC, acordó oír a las partes para que, en el plazo común de cinco días, expusieran lo que estimaran procedente acerca del mantenimiento o levantamiento de la suspensión de los preceptos impugnados </w:t>
      </w:r>
    </w:p>
    <w:p w:rsidR="00FA0779" w:rsidRDefault="00FA0779" w:rsidP="00FA0779">
      <w:pPr>
        <w:pStyle w:val="TextoNormal"/>
      </w:pPr>
      <w:r>
        <w:t>Evacuado el trámite de alegaciones por el Abogado del Estado y por el Letrado de la Junta de Galicia, el Pleno del Tribunal, por Auto de 7 de junio de 1988, acordó mantener su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La Sección Cuarta del Tribunal, por providencia de 30 de enero de 1997, acordó oír a las partes personadas, en virtud de lo dispuesto en el art. 84 de la LOTC, para que alegasen lo que estimasen oportuno acerca de la incidencia que sobre el proceso constitucional pudiera tener el Decreto de la Junta de Galicia 247/1995, de 14 de septiembre, por el que se desarrolla la Ley del Parlamento de Galicia 3/1983, de 15 de junio, de Normalización Lingüística para su aplicación en la docencia a aquellas enseñanzas de régimen general impartidas en los diferentes niveles no universitarios, que deroga el Decreto de la Junta de Galicia 135/1983, de 8 de septiembre, en cuyo desarrollo se dictó la Orden impugnada, y la doctrina constitucional de la STC 337/1994.</w:t>
      </w:r>
    </w:p>
    <w:p w:rsidR="00FA0779" w:rsidRDefault="00FA0779" w:rsidP="00FA0779">
      <w:pPr>
        <w:pStyle w:val="TextoNormal"/>
      </w:pPr>
    </w:p>
    <w:p w:rsidR="00FA0779" w:rsidRDefault="00FA0779" w:rsidP="00FA0779">
      <w:pPr>
        <w:pStyle w:val="TextoNormal"/>
      </w:pPr>
      <w:r w:rsidRPr="00FA0779">
        <w:rPr>
          <w:rStyle w:val="NumeroAFNegritaCaracter"/>
        </w:rPr>
        <w:t>6</w:t>
      </w:r>
      <w:r>
        <w:t>. El Ahogado del Estado, mediante escrito registrado con fecha 6 de febrero de 1997, manifestó que la Orden impugnada no había sido derogada, pese a haberlo sido el Decreto 135/1983, de 8 de septiembre, que aquélla desarrollaba, por lo que la causa de impugnación no había desaparecido, máxime cuando los criterios de la mencionada Orden no habían sido materialmente eliminados o sustituidos por otros más ajustados a la Constitución.</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El Letrado de la Junta de Galicia evacuó el trámite de alegaciones mediante escrito de 12 de febrero de 1997, en el que interesó se declarase la falta de objeto del proceso y, subsidiariamente, se dictase Sentencia desestimatoria de la impugnación. </w:t>
      </w:r>
    </w:p>
    <w:p w:rsidR="00FA0779" w:rsidRDefault="00FA0779" w:rsidP="00FA0779">
      <w:pPr>
        <w:pStyle w:val="TextoNormal"/>
      </w:pPr>
      <w:r>
        <w:t>La Orden de 31 de agosto de 1987, impugnada en el presente proceso constitucional, ha sido derogada, como resulta de su contenido y aunque no se dijera expresamente, por la Orden de 1 de mayo de 1988. En todo caso, su falta de vigencia resulta del Decreto 247/1995, de 14 de septiembre, en cuya Disposición derogatoria única se establece en su inciso final la derogación de «cuantas normas de igual o inferior rango se oponga a lo dispuesto en este Decreto». Así pues, la mencionada Orden ha sido sustituida por una nueva normativa, debiéndose de considerar derogada, por lo que se ha producido la desaparición sobrevenida del objeto del proceso, al haber desaparecido la controversia que se planteó y que indudablemente debe de ponerse en relación con los preceptos impugnados de dicha Orden, sin que concurra circunstancia alguna de interés general de la que puede deducirse la vigencia del objeto del proceso. Debe, pues, declararse la falta de objeto del proceso debido a la incidencia de la normativa a la que precisamente se hace referencia en la providencia de la Sección Cuarta de este Tribunal.</w:t>
      </w:r>
    </w:p>
    <w:p w:rsidR="00FA0779" w:rsidRDefault="00FA0779" w:rsidP="00FA0779">
      <w:pPr>
        <w:pStyle w:val="TextoNormal"/>
      </w:pPr>
    </w:p>
    <w:p w:rsidR="00FA0779" w:rsidRDefault="00FA0779" w:rsidP="00FA0779">
      <w:pPr>
        <w:pStyle w:val="TextoNormal"/>
      </w:pPr>
      <w:r w:rsidRPr="00FA0779">
        <w:rPr>
          <w:rStyle w:val="NumeroAFNegritaCaracter"/>
        </w:rPr>
        <w:t>8</w:t>
      </w:r>
      <w:r>
        <w:t xml:space="preserve">. La Sección Cuarta de este Tribunal, por providencia de 15 de abril de 1997, y a tenor de lo dispuesto en el art. 84 de la LOTC, acordó dar traslado al Abogado del Estado </w:t>
      </w:r>
      <w:r>
        <w:lastRenderedPageBreak/>
        <w:t>del escrito presentado por la representación procesal de la Junta de Galicia mediante el que se evacuó el trámite conferido en el anterior proveído de 30 de enero de 1997, al objeto de que, en el plazo de diez días, expusiera lo que considerase conveniente sobre su contenido.</w:t>
      </w:r>
    </w:p>
    <w:p w:rsidR="00FA0779" w:rsidRDefault="00FA0779" w:rsidP="00FA0779">
      <w:pPr>
        <w:pStyle w:val="TextoNormal"/>
      </w:pPr>
    </w:p>
    <w:p w:rsidR="00FA0779" w:rsidRDefault="00FA0779" w:rsidP="00FA0779">
      <w:pPr>
        <w:pStyle w:val="TextoNormal"/>
      </w:pPr>
      <w:r w:rsidRPr="00FA0779">
        <w:rPr>
          <w:rStyle w:val="NumeroAFNegritaCaracter"/>
        </w:rPr>
        <w:t>9</w:t>
      </w:r>
      <w:r>
        <w:t>. El Abogado del Estado presentó su escrito de alegaciones en fecha 28 de abril de 1997, en el que manifestó, siguiendo instrucciones del Ministerio de Educación y Cultura a través de su Secretaría General Técnica, su acuerdo con las alegaciones de la representación procesal de la Junta de Galicia en el sentido de que no está justificado sostener la impugnación por falta sobrevenida del objeto del proceso, suplicando se dicte Auto que ponga término al mismo.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desaparición sobrevenida del objeto del proceso, aunque no contemplada expresamente en el art. 86.1 de la LOTC, ha sido admitida por este Tribunal como forma de terminación de los distintos procesos constitucionales (AATC 14/1991, 146/1991, 3/1995 y 42/1995). Ello hace que en este caso no sea necesario entrar en la cuestión de si los escritos formulados por las partes, en el trámite de alegaciones conferido al amparo del art. 84 de la LOTC, entrañan una renuncia a la acción o bien un desistimiento a proseguir el procedimiento o un allanamiento, con los problemas que tales figuras plantean (AATC 349/1985 y 103/1997).</w:t>
      </w:r>
    </w:p>
    <w:p w:rsidR="00FA0779" w:rsidRDefault="00FA0779" w:rsidP="00FA0779">
      <w:pPr>
        <w:pStyle w:val="TextoNormal"/>
      </w:pPr>
    </w:p>
    <w:p w:rsidR="00FA0779" w:rsidRDefault="00FA0779" w:rsidP="00FA0779">
      <w:pPr>
        <w:pStyle w:val="TextoNormal"/>
      </w:pPr>
      <w:r w:rsidRPr="00FA0779">
        <w:rPr>
          <w:rStyle w:val="NumeroAFNegritaCaracter"/>
        </w:rPr>
        <w:t>2</w:t>
      </w:r>
      <w:r>
        <w:t>. Tanto la representación procesal de la Junta de Galicia como el Abogado del Estado, en nombre del Gobierno de la Nación, han manifestado en sus respectivos escritos, según queda recogido en los antecedentes, que la controversia que motivó la presente impugnación, promovida al amparo del Título V de la LOTC, carece actualmente de objeto, como consecuencia de la derogación de la Orden de la Consejería de Educación de la Junta de Galicia, de 31 de agosto de 1987. Resulta, pues, evidente que ha desaparecido el objeto del proceso, al haber sido derogados los preceptos impugnados de la mencionada Orden, cuya vigencia y aplicación fueron suspendidas desde el momento de la formalización de la impugnación, habiendo sido mantenida tal suspensión con posterioridad por el Tribunal Constitucional, sin que conste que de dichos preceptos hayan derivado efectos cuya desaparición requiera una declaración de ineficacia. En consecuencia, no concurriendo tampoco circunstancia alguna de interés general que aconseje la prosecución del proceso hasta su finalización por Sentencia, procede declarar finalizada, por desaparición de su objeto, la presente impugnación promovida por el Gobierno de la Nación.</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acuerda declarar concluida por falta de objeto la impugnación núm. 13/88, promovida, al amparo del Título V de la LOTC, por el Gobierno de la Nación en relación con diversos artículos de la Orden de la Consejería de Educación de</w:t>
      </w:r>
    </w:p>
    <w:p w:rsidR="00FA0779" w:rsidRDefault="00FA0779" w:rsidP="00FA0779">
      <w:pPr>
        <w:pStyle w:val="TextoNormal"/>
      </w:pPr>
      <w:r>
        <w:lastRenderedPageBreak/>
        <w:t>la Junta de Galicia, de 31 de agosto de 1987, por la que se desarrolla el Decreto 135/1983, de 8 de septiembre, sobre aplicación para la enseñanza de la Ley 3/1983, de 15 de junio, de Normalización Lingüística.</w:t>
      </w:r>
    </w:p>
    <w:p w:rsidR="00FA0779" w:rsidRDefault="00FA0779" w:rsidP="00FA0779">
      <w:pPr>
        <w:pStyle w:val="TextoNormal"/>
      </w:pPr>
    </w:p>
    <w:p w:rsidR="00FA0779" w:rsidRDefault="00FA0779" w:rsidP="00FA0779">
      <w:pPr>
        <w:pStyle w:val="TextoNormal"/>
      </w:pPr>
      <w:r>
        <w:t>Madrid, a tres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3" w:name="AUTO_1997_190"/>
      <w:r>
        <w:lastRenderedPageBreak/>
        <w:t>AUTO 190/1997, de 3 de junio de 1997</w:t>
      </w:r>
    </w:p>
    <w:bookmarkEnd w:id="123"/>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ECLI:ES:TC:1997:190A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haber lugar al desistimiento del actor en el conflicto positivo de competencia 904/1990.</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Consejo de Gobierno de Cantabria, mediante escrito presentado en este Tribunal el 6 de abril de 1990, planteó conflicto positivo de competencia en relación con los expedientes incoados y las sanciones impuestas por el Delegado del Gobierno en Cantabria a diversas empresas turísticas radicantes en dicha Comunidad Autónoma, por infracción del régimen de horarios establecido en la Orden de 23 de noviembre de 1977, modificada por Orden de 29 de junio de 1981, dictadas al amparo de lo dispuesto en los artículos 68 a 70 del Real Decreto 2816/1982, de 27 de agosto, por el que se aprobó el Reglamento General de Policía de Espectáculos Públicos y actividades Recreativas. </w:t>
      </w:r>
    </w:p>
    <w:p w:rsidR="00FA0779" w:rsidRDefault="00FA0779" w:rsidP="00FA0779">
      <w:pPr>
        <w:pStyle w:val="TextoNormal"/>
      </w:pPr>
      <w:r>
        <w:t>En otrosí al citado escrito se interesaba la suspensión de la efectividad de las sanciones impuestas por el Delegado del Gobierno, en tanto no se dilucidara la titularidad de la competencia controvertida, habida cuenta que por encontrarse pendientes de ejecución varias sanciones de clausura de los establecimientos públicos en los que se desarrollan las actividades recreativas que constituyen una buena parte de la oferta turística de la Comunidad Autónoma de Cantabria, de su efectividad podían derivarse perjuicios de imposible o difícil reparación, no susceptibles de valoración económica, al amparo del núm. 3 del art. 64 de la Ley Orgánica 2179 del Tribunal Constitucional.</w:t>
      </w:r>
    </w:p>
    <w:p w:rsidR="00FA0779" w:rsidRDefault="00FA0779" w:rsidP="00FA0779">
      <w:pPr>
        <w:pStyle w:val="TextoNormal"/>
      </w:pPr>
    </w:p>
    <w:p w:rsidR="00FA0779" w:rsidRDefault="00FA0779" w:rsidP="00FA0779">
      <w:pPr>
        <w:pStyle w:val="TextoNormal"/>
      </w:pPr>
      <w:r w:rsidRPr="00FA0779">
        <w:rPr>
          <w:rStyle w:val="NumeroAFNegritaCaracter"/>
        </w:rPr>
        <w:t>2</w:t>
      </w:r>
      <w:r>
        <w:t>. Por providencia de la Sección Tercera del Pleno de este Tribunal, de 23 de abril de 1990, se tuvo por planteado el conflicto positivo de competencia y se acordó dar traslado de la demanda y documentos presentados al Gobierno, según establece el art. 82.2 de la LOTC y oír al Abogado del Estado en relación a la petición que se hace en el otrosí de la demanda acerca de la suspensión de la efectividad de las sanciones impuestas por el Delegado del Gobierno en Cantabria.</w:t>
      </w:r>
    </w:p>
    <w:p w:rsidR="00FA0779" w:rsidRDefault="00FA0779" w:rsidP="00FA0779">
      <w:pPr>
        <w:pStyle w:val="TextoNormal"/>
      </w:pPr>
    </w:p>
    <w:p w:rsidR="00FA0779" w:rsidRDefault="00FA0779" w:rsidP="00FA0779">
      <w:pPr>
        <w:pStyle w:val="TextoNormal"/>
      </w:pPr>
      <w:r w:rsidRPr="00FA0779">
        <w:rPr>
          <w:rStyle w:val="NumeroAFNegritaCaracter"/>
        </w:rPr>
        <w:t>3</w:t>
      </w:r>
      <w:r>
        <w:t>. El Abogado del Estado, evacuando la audiencia conferida sobre la solicitud de la suspensión, se opuso a la misma, y por auto de 22 de mayo de 1990 se acordó denegarla.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El 25 de mayo de 1990, el Abogado del Estado presentó su escrito de alegaciones, solicitando que en su día dictase el Tribunal sentencia por la que se declarase que la competencia controvertida correspondía al Estado.</w:t>
      </w:r>
    </w:p>
    <w:p w:rsidR="00FA0779" w:rsidRDefault="00FA0779" w:rsidP="00FA0779">
      <w:pPr>
        <w:pStyle w:val="TextoNormal"/>
      </w:pPr>
    </w:p>
    <w:p w:rsidR="00FA0779" w:rsidRDefault="00FA0779" w:rsidP="00FA0779">
      <w:pPr>
        <w:pStyle w:val="TextoNormal"/>
      </w:pPr>
      <w:r w:rsidRPr="00FA0779">
        <w:rPr>
          <w:rStyle w:val="NumeroAFNegritaCaracter"/>
        </w:rPr>
        <w:t>5</w:t>
      </w:r>
      <w:r>
        <w:t>. El Letrado de los Servicios Jurídicos del Consejo de Gobierno de Cantabria, en escrito de 29 de abril de 1997, manifiesta que cumpliendo Acuerdo del Consejo de Gobierno, de fecha 24 de abril de 1997, cuya certificación se acompaña, desiste del presente conflicto positivo de competencia.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Por providencia de la Sección Cuarta del Pleno de este Tribunal, de 14 de mayo de 1997, se acordó incorporar a los autos el escrito que con el documento adjunto se reciben de la representación procesal del Consejo de Gobierno de la Comunidad Autónoma de Cantabria, y dar traslado al Abogado del Estado para que, en el plazo de diez días, exponga lo que considere oportuno acerca del desistimiento. </w:t>
      </w:r>
    </w:p>
    <w:p w:rsidR="00FA0779" w:rsidRDefault="00FA0779" w:rsidP="00FA0779">
      <w:pPr>
        <w:pStyle w:val="TextoNormal"/>
      </w:pPr>
      <w:r>
        <w:t>El Abogado del Estado, en escrito recibido el 23 de mayo siguiente, dice que no tiene nada que oponer al desistimiento.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El art. 86 de la Ley Orgánica de este Tribunal contempla el desistimiento como modo de terminación de los procesos constitucionales, remitiéndose el artículo 80 de la propia Ley a la de Enjuiciamiento Civil para la regulación con carácter</w:t>
      </w:r>
    </w:p>
    <w:p w:rsidR="00FA0779" w:rsidRDefault="00FA0779" w:rsidP="00FA0779">
      <w:pPr>
        <w:pStyle w:val="TextoNormal"/>
      </w:pPr>
      <w:r>
        <w:t>supletorio de este acto procesal. En virtud de lo dispuesto en tales preceptos puede estimarse como forma admitida para poner fin a un conflicto positivo de competencia, la manifestación de la voluntad de desistir, según reiterada jurisprudencia de este</w:t>
      </w:r>
    </w:p>
    <w:p w:rsidR="00FA0779" w:rsidRDefault="00FA0779" w:rsidP="00FA0779">
      <w:pPr>
        <w:pStyle w:val="TextoNormal"/>
      </w:pPr>
      <w:r>
        <w:t>Tribunal, siempre que no se opongan las demás partes personadas a través de un motivo declarado válido por este Tribunal, ni se advierta un interés constitucional que aconseje la prosecución del proceso hasta su finalización por sentencia.</w:t>
      </w:r>
    </w:p>
    <w:p w:rsidR="00FA0779" w:rsidRDefault="00FA0779" w:rsidP="00FA0779">
      <w:pPr>
        <w:pStyle w:val="TextoNormal"/>
      </w:pPr>
      <w:r>
        <w:t>En el presente proceso la representación procesal del Gobierno de Cantabria, debidamente autorizada, según certificación del acuerdo adoptado al efecto, pide que se le tenga por desistido del conflicto positivo de competencia y el Abogado del Estado no plantea objeción alguna al desistimiento formulado y la consiguiente terminación del proceso, sin que se advierta interés constitucional alguno que aconseje la prosecución del mismo hasta su finalización por Sentencia.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acuerda tener por desistido al Gobierno de Cantabria del conflicto positivo de competencia núm. 904/90, promovido en relación con los expedientes incoados y las sanciones impuestas por el Delegado del Gobierno en Cantabria a</w:t>
      </w:r>
    </w:p>
    <w:p w:rsidR="00FA0779" w:rsidRDefault="00FA0779" w:rsidP="00FA0779">
      <w:pPr>
        <w:pStyle w:val="TextoNormal"/>
      </w:pPr>
      <w:r>
        <w:t>diversas empresas turísticas radicadas en dicha Comunidad Autónoma, por infracción del régimen de horarios establecido en la Orden de 23 de noviembre de 1977, modificada por Orden de 29 de junio de 1981, dictadas al amparo de lo dispuesto en los</w:t>
      </w:r>
    </w:p>
    <w:p w:rsidR="00FA0779" w:rsidRDefault="00FA0779" w:rsidP="00FA0779">
      <w:pPr>
        <w:pStyle w:val="TextoNormal"/>
      </w:pPr>
      <w:r>
        <w:lastRenderedPageBreak/>
        <w:t>artículos 68 a 70 del Real Decreto 2816/1982, de 27 de agosto, por el que se aprobó el Reglamento General de Policía de Espectáculos Públicos y Actividades Recreativas.</w:t>
      </w:r>
    </w:p>
    <w:p w:rsidR="00FA0779" w:rsidRDefault="00FA0779" w:rsidP="00FA0779">
      <w:pPr>
        <w:pStyle w:val="TextoNormal"/>
      </w:pPr>
    </w:p>
    <w:p w:rsidR="00FA0779" w:rsidRDefault="00FA0779" w:rsidP="00FA0779">
      <w:pPr>
        <w:pStyle w:val="TextoNormal"/>
      </w:pPr>
      <w:r>
        <w:t>Madrid, a tres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4" w:name="AUTO_1997_191"/>
      <w:r>
        <w:lastRenderedPageBreak/>
        <w:t>AUTO 191/1997, de 4 de junio de 1997</w:t>
      </w:r>
    </w:p>
    <w:bookmarkEnd w:id="124"/>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ECLI:ES:TC:1997:191A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244/1996.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Procurador de los Tribunales don Bonifacio Fraile Sánchez, en nombre de don Félix Lanuza Aparicio y mediante escrito presentado el 18 de enero de 1996, interpuso recurso de amparo contra el Auto dictado el 11 de diciembre de 1995 por la Audiencia Provincial de Zamora, en incidente de ejecución de Sentencia, relatando que su representado fue demandado enjuicio declarativo ordinario de menor cuantía por don Ángel y don Lucio Justo Martín, siendo dictada Sentencia estimatoria de la demanda, que adquirió firmeza, por el Juez de Primera Instancia núm. 2 de Zamora. Instada la ejecución, el Juez de Primera Instancia dictó Auto el 29 de abril de 1995 acordando condenar al demandado a abonar a la parte actora la cantidad de 950.000 pesetas, más la cantidad resultante de repercutir sobre aquélla cifra el Índice de Precios al Consumo desde la fecha de la Sentencia de Primera Instancia, y decretando, sin necesidad de previo requerimiento, el embargo y sucesivo apremio sobre el patrimonio del ejecutado en caso de impago. En este Auto no se hacía pronunciamiento alguno sobre las costas del incidente. El demandante de amparo interpuso recurso de apelación contra el anterior Auto, el cual fue desestimado en el Auto que la Audiencia Provincial de Zamora pronunció el 11 de diciembre de 1995, en el que no sólo se le imponen las costas de la segunda instancia sino también las de la primera. </w:t>
      </w:r>
    </w:p>
    <w:p w:rsidR="00FA0779" w:rsidRDefault="00FA0779" w:rsidP="00FA0779">
      <w:pPr>
        <w:pStyle w:val="TextoNormal"/>
      </w:pPr>
      <w:r>
        <w:t>El recurrente sostiene en su demanda que el Auto de la Audiencia Provincial de Zamora, en cuanto le impone las costas de la primera instancia sin que nadie se lo hubiera solicitado, vulnera su derecho a obtener la tutela judicial efectiva, al incurrir en reforma peyorativa. Concluye con la solicitud de que, otorgando el amparo interesado, sea dictada Sentencia anulando el Auto impugnado en lo relativo a la imposición de las costas causadas en la primera instancia.</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22 de mayo de 1996,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Fiscal evacuó el traslado el 3 de junio, en escrito en el que solicitó el pronunciamiento de Auto inadmitiendo la demanda de amparo, en razón tanto del propio concepto y </w:t>
      </w:r>
      <w:r>
        <w:lastRenderedPageBreak/>
        <w:t>contenido de la reformatio in peius como de la jurisprudencia constitucional en materia de costas. Así, no puede agotarse el concepto de reforma peyorativa en el hecho de que se perjudique en términos genéricos la posición del apelante sino que, atendidos los distintos pronunciamientos que puede tener una resolución judicial, el objeto del empeoramiento ha de referirse a las pretensiones sobre el objeto sustantivo-procesal, técnicamente entendido, sin que dentro del mismo puedan comprenderse el género de costas que como gastos del proceso son ajenas a su genuino contenido. La conclusión a que se llega es que una imposición de costas, por muy cuantitativamente gravosas que puedan resultar, es una materia ajena al concepto de reforma peyorativa que ha de versar sobre las pretensiones de fondo. Lo anterior enlaza, por otra parte, con el segundo de los fundamentos de apoyo que el Tribunal Constitucional ha manifestado en varias ocasiones desde la STC 131/1986, a saber: La imposición de costas opera sin incidencia alguna sobre los derechos que integran la tutela judicial efectiva. En este sentido ni el concepto, ni la cuantía, ni el sujeto pasivo pueden ser revisados por el Tribunal Constitucional (STC 143/1990), a no ser que la imposición, en cualquiera de sus elementos, obedezca a un criterio arbitrario, lo que aquí no parece concurrir, dado que el litigante recurrente vio desestimados sus pedimentos en ambas instancias.</w:t>
      </w:r>
    </w:p>
    <w:p w:rsidR="00FA0779" w:rsidRDefault="00FA0779" w:rsidP="00FA0779">
      <w:pPr>
        <w:pStyle w:val="TextoNormal"/>
      </w:pPr>
    </w:p>
    <w:p w:rsidR="00FA0779" w:rsidRDefault="00FA0779" w:rsidP="00FA0779">
      <w:pPr>
        <w:pStyle w:val="TextoNormal"/>
      </w:pPr>
      <w:r w:rsidRPr="00FA0779">
        <w:rPr>
          <w:rStyle w:val="NumeroAFNegritaCaracter"/>
        </w:rPr>
        <w:t>4</w:t>
      </w:r>
      <w:r>
        <w:t>. El demandante de amparo formuló sus alegaciones el 7 de junio, en escrito en el que manifestó que procede admitir a trámite la demanda de amparo, a cuyo efecto transcribe parcialmente las SSTC 245/1993, 120/1995, 3/1996, entre otras. Afirma que en su Auto la Audiencia Provincial le impuso las costas de la primera instancia sin que nadie se lo solicitara, poniéndole en situación peor a costa exclusivamente de su recurso. Incurren en incongruencia los Tribunales que extienden su decisión a extremos no pedidos por ninguna de las partes (STC 120/1995), infringiendo con ello la prohibición de reformatio in peius y vulnerando el derecho a la tutela judicial efectiva. Aquella prohibición es una manifestación del principio constitucional de congruencia, cuyo contenido constitucional ha fijado el Tribunal Constitucional en sus SSTC 19/1992 y 120/1995. En definitiva, la resolución impugnada supone una reformatio in peius respecto del recurrente en el orden civil y también en amparo, que adolece del vicio de incongruencia al conceder algo que no se pide -la imposición de costas de primera instancia-, modifica una resolución en supuesto no contemplado en el ordenamiento al haber consentido con su pronunciamiento las partes, vulnerando el principio dispositivo de la jurisdicción civil, provocando una indefensión a la parte que no pudo defenderse respecto a la posibilidad de dicho pronunciamiento, el que además no se encuentra motivado, todas cuyas infracciones tienen su contrapunto y prohibición en el art. 24 C.E.</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Lleva razón el solicitante de amparo cuando vincula la prohibición de reforma peyorativa con la exigencia constitucional de congruencia en la resoluciones judiciales (art. 24.1 C.E.)  y el principio dispositivo que preside el proceso civil. Y</w:t>
      </w:r>
    </w:p>
    <w:p w:rsidR="00FA0779" w:rsidRDefault="00FA0779" w:rsidP="00FA0779">
      <w:pPr>
        <w:pStyle w:val="TextoNormal"/>
      </w:pPr>
      <w:r>
        <w:t>precisamente esa vinculación es la que, en consonancia con lo sostenido en este trámite por el Fiscal, nos hace ratificamos en nuestra inicial apreciación, esto es, en que la pretensión que se sustenta en la demanda de amparo carece manifiestamente de</w:t>
      </w:r>
    </w:p>
    <w:p w:rsidR="00FA0779" w:rsidRDefault="00FA0779" w:rsidP="00FA0779">
      <w:pPr>
        <w:pStyle w:val="TextoNormal"/>
      </w:pPr>
      <w:r>
        <w:lastRenderedPageBreak/>
        <w:t>contenido constitucional y en que, por ello, el recurso no debe ser admitido [art.  50.1.c) LOTC], por la sencilla razón de que en el caso no se ha producido la reformatio in peius que se denuncia.</w:t>
      </w:r>
    </w:p>
    <w:p w:rsidR="00FA0779" w:rsidRDefault="00FA0779" w:rsidP="00FA0779">
      <w:pPr>
        <w:pStyle w:val="TextoNormal"/>
      </w:pPr>
      <w:r>
        <w:t>La reforma peyorativa, que se produce cuando la condición jurídica del recurrente se empeora a consecuencia exclusiva de, su recurso, no tiene lugar en casos como el presente en el que lo que ha ocurrido ha sido la modificación de oficio por el Tribunal de apelación del Auto instancia, por imperativo de unos preceptos legales (arts. 523 y 736 L.E.C.)  que imponen la condena en costas según el criterio del vencimiento, no habiendo quebrado, en consecuencia, el principio dispositivo y el carácter de rogada que tiene la jurisdicción civil, cuyo necesario respeto, como ha quedado dicho, es el fundamento de la interdicción constitucional de la reformatio in peius.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5" w:name="AUTO_1997_192"/>
      <w:r>
        <w:lastRenderedPageBreak/>
        <w:t>AUTO 192/1997, de 4 de junio de 1997</w:t>
      </w:r>
    </w:p>
    <w:bookmarkEnd w:id="125"/>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ECLI:ES:TC:1997:192A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1.333/1996.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29 de marzo de 1996, doña María Dolores Girón Arjonilla, Procuradora de los Tribunales, en nombre y representación del Ayuntamiento de Aguilar de la Frontera, interpuso recurso de amparo contra el Auto de la Audiencia Provincial de Córdoba, de 13 de febrero de 1996, dictado al resolver un recurso de apelación interpuesto contra los Autos del Juzgado de Primera Instancia de Aguilar de la Frontera de fecha 19 de septiembre y 2 de noviembre de 1995, que recayeron en el procedimiento ejecutivo núm. 18/94.</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Según se deduce de la demanda y de la documentación que se acompaña, el recurso se basa en los siguientes hechos: </w:t>
      </w:r>
    </w:p>
    <w:p w:rsidR="00FA0779" w:rsidRDefault="00FA0779" w:rsidP="00FA0779">
      <w:pPr>
        <w:pStyle w:val="TextoNormal"/>
      </w:pPr>
      <w:r>
        <w:t xml:space="preserve">a) La entidad «Banco Urquijo, S. A.» presentó demanda de juicio ejecutivo contra el hoy demandante de amparo, Ayuntamiento de la Aguilar de la Frontera (Córdoba), ante el Juzgado de Primera Instancia de la misma localidad. </w:t>
      </w:r>
    </w:p>
    <w:p w:rsidR="00FA0779" w:rsidRDefault="00FA0779" w:rsidP="00FA0779">
      <w:pPr>
        <w:pStyle w:val="TextoNormal"/>
      </w:pPr>
      <w:r>
        <w:t xml:space="preserve">El Juzgado, por Auto de 28 de enero de 1994, despachó mandamiento de ejecución contra los bienes, derechos y acciones del demandado, ordenando por Sentencia de 27 de octubre de 1994, seguir adelante la ejecución despachada. </w:t>
      </w:r>
    </w:p>
    <w:p w:rsidR="00FA0779" w:rsidRDefault="00FA0779" w:rsidP="00FA0779">
      <w:pPr>
        <w:pStyle w:val="TextoNormal"/>
      </w:pPr>
      <w:r>
        <w:t>b) Con fecha de 28 de julio de 1995, el hoy demandante interpuso recurso de nulidad de actuaciones con base en el art. 6.3 del C.C. y el art. 240 de la Ley Orgánica del Poder Judicial, contra las resoluciones que acordaron el embargo de sus bienes, recurso que fue desestimado por Auto del Juzgado de 19 de septiembre de 1995. Frente a éste se interpuso recurso de reposición, que fue desestimado por Auto de 2 de noviembre de 1995 y que a su vez fue recurrido en apelación y confirmado por la Audiencia Provincial mediante Auto de 13 de febrero de 1996.</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23 de abril de 1997 y de conformidad con el art. 51 de la LOTC, la Sección acordó admitir a trámite la demanda y requerir a los órganos judiciales intervinientes para que en el plazo de diez días remitieran a este Tribunal testimonio de las actuaciones correspondientes, interesando que se emplazara a quienes fueron parte en el procedimiento antecedente, con excepción del recurrente en amparo para que pudieran com</w:t>
      </w:r>
      <w:r>
        <w:lastRenderedPageBreak/>
        <w:t>parecer en este proceso constitucional. Asimismo, se ordenó la apertura de la pieza de suspensión, y conceder al Ministerio Fiscal y al recurrente en amparo, un plazo de tres días para que formularan alegaciones respecto de la petición de suspensión interesada.</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Fiscal presentó las suyas el 8 de mayo de 1997 solicitando la denegación de la suspensión, habida cuenta los términos genéricos en los que se expresa la petición del recurrente, sin perjuicio de destacar que en el caso de concederse la suspensión, sus efectos se confundirían con los derivados del otorgamiento del amparo. </w:t>
      </w:r>
    </w:p>
    <w:p w:rsidR="00FA0779" w:rsidRDefault="00FA0779" w:rsidP="00FA0779">
      <w:pPr>
        <w:pStyle w:val="TextoNormal"/>
      </w:pPr>
      <w:r>
        <w:t>No aprecia el Fiscal un perjuicio irreparable para el recurrente derivado del embargo de sus bienes.</w:t>
      </w:r>
    </w:p>
    <w:p w:rsidR="00FA0779" w:rsidRDefault="00FA0779" w:rsidP="00FA0779">
      <w:pPr>
        <w:pStyle w:val="TextoNormal"/>
      </w:pPr>
    </w:p>
    <w:p w:rsidR="00FA0779" w:rsidRDefault="00FA0779" w:rsidP="00FA0779">
      <w:pPr>
        <w:pStyle w:val="TextoNormal"/>
      </w:pPr>
      <w:r w:rsidRPr="00FA0779">
        <w:rPr>
          <w:rStyle w:val="NumeroAFNegritaCaracter"/>
        </w:rPr>
        <w:t>5</w:t>
      </w:r>
      <w:r>
        <w:t>. El recurrente, mediante escrito aportado el 29 de abril de 1997, reiteró su petición de suspensión de las resoluciones impugnadas, pues las mismas vulneran el art. 154 de la Ley de Haciendas Locales, que garantiza el carácter inembargable de los bienes de estas Administraciones.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 solicita por el demandante de amparo la suspensión del Auto de 19 de septiembre de 1995 y posteriores resoluciones confirmatorias del mismo, dictado por el Juzgado de Primera Instancia de Aguilar de la Frontera, en virtud del cual se despachó, en un procedimiento ejecutivo, mandamiento de embargo contra los bienes, derechos y acciones del Ayuntamiento demandado.  Estima que, de no acordarse la suspensión el perjuicio derivado de ella sería irreparable.</w:t>
      </w:r>
    </w:p>
    <w:p w:rsidR="00FA0779" w:rsidRDefault="00FA0779" w:rsidP="00FA0779">
      <w:pPr>
        <w:pStyle w:val="TextoNormal"/>
      </w:pPr>
      <w:r>
        <w:t>El Ministerio Fiscal se opone a la suspensión, al considerar que en el caso de concederse la suspensión, sus efectos se confundirían con los derivados del otorgamiento del amparo, sin que se aprecie un perjuicio irreparable para el recurrente derivado del embargo de sus bienes, habida cuenta de que no se ordenó la ejecución de la traba.</w:t>
      </w:r>
    </w:p>
    <w:p w:rsidR="00FA0779" w:rsidRDefault="00FA0779" w:rsidP="00FA0779">
      <w:pPr>
        <w:pStyle w:val="TextoNormal"/>
      </w:pPr>
    </w:p>
    <w:p w:rsidR="00FA0779" w:rsidRDefault="00FA0779" w:rsidP="00FA0779">
      <w:pPr>
        <w:pStyle w:val="TextoNormal"/>
      </w:pPr>
      <w:r w:rsidRPr="00FA0779">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w:t>
      </w:r>
    </w:p>
    <w:p w:rsidR="00FA0779" w:rsidRDefault="00FA0779" w:rsidP="00FA0779">
      <w:pPr>
        <w:pStyle w:val="TextoNormal"/>
      </w:pPr>
      <w:r>
        <w:t>No obstante, podrá denegarse cuando de ella pueda seguirse perturbación grave de los intereses generales, o de los derechos fundamentales o libertades públicas de un tercero.</w:t>
      </w:r>
    </w:p>
    <w:p w:rsidR="00FA0779" w:rsidRDefault="00FA0779" w:rsidP="00FA0779">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FA0779" w:rsidRDefault="00FA0779" w:rsidP="00FA0779">
      <w:pPr>
        <w:pStyle w:val="TextoNormal"/>
      </w:pPr>
      <w:r>
        <w:t>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w:t>
      </w:r>
      <w:r>
        <w:lastRenderedPageBreak/>
        <w:t>lidad en caso de llevarse a efecto la resolución impugnada para que la medida cautelar que se interesa pueda prosperar» (ATC 46/1996).</w:t>
      </w:r>
    </w:p>
    <w:p w:rsidR="00FA0779" w:rsidRDefault="00FA0779" w:rsidP="00FA0779">
      <w:pPr>
        <w:pStyle w:val="TextoNormal"/>
      </w:pPr>
    </w:p>
    <w:p w:rsidR="00FA0779" w:rsidRDefault="00FA0779" w:rsidP="00FA0779">
      <w:pPr>
        <w:pStyle w:val="TextoNormal"/>
      </w:pPr>
      <w:r w:rsidRPr="00FA0779">
        <w:rPr>
          <w:rStyle w:val="NumeroAFNegritaCaracter"/>
        </w:rPr>
        <w:t>3</w:t>
      </w:r>
      <w:r>
        <w:t>. En general, se ha entendido que las resoluciones judiciales con efectos meramente económicos, en principio, no causan perjuicios irreparables, por lo que no procede su suspensión (ATC 275/1990). Sin embargo, en el presente caso, la cuestión no puede plantearse estrictamente en relación con la cuantía de la cantidad adeudada, sino más bien con el obligado respeto al principio de legalidad presupuestaria.</w:t>
      </w:r>
    </w:p>
    <w:p w:rsidR="00FA0779" w:rsidRDefault="00FA0779" w:rsidP="00FA0779">
      <w:pPr>
        <w:pStyle w:val="TextoNormal"/>
      </w:pPr>
      <w:r>
        <w:t>Ciertamente la suspensión de la ejecución de las Sentencias supone siempre una quiebra de la seguridad jurídica. Ahora bien, de no acordarse la misma, podría en ocasiones, darse cobertura a una decisión contraria al citado principio que garantiza el obligado proceder de la Administración y que también vincula a los órganos judiciales que, con arreglo al art. 117.1 C.E. actúan únicamente sometidos al imperio de la ley.</w:t>
      </w:r>
    </w:p>
    <w:p w:rsidR="00FA0779" w:rsidRDefault="00FA0779" w:rsidP="00FA0779">
      <w:pPr>
        <w:pStyle w:val="TextoNormal"/>
      </w:pPr>
      <w:r>
        <w:t>No se trata, pues, de contraponer los intereses particulares de los beneficiados por la resolución de embargo con potenciales derechos de la Administración ahora recurrente, sino de ejercer un juicio de ponderación de los intereses en conflicto, habiendo de concluirse que el interés general se vería gravemente comprometido si se procediera a desarrollar, en vía de ejecución de las resoluciones judiciales impugnadas, la actividad subsiguiente al embargo trabado sobre los bienes de titularidad de la Corporación municipal demandante en amparo.</w:t>
      </w:r>
    </w:p>
    <w:p w:rsidR="00FA0779" w:rsidRDefault="00FA0779" w:rsidP="00FA0779">
      <w:pPr>
        <w:pStyle w:val="TextoNormal"/>
      </w:pPr>
      <w:r>
        <w:t>En consecuencia, atendiendo a lo antes razonado, procede mantener la resolución Jurisdiccional impugnada dada su naturaleza exclusivamente cautelar, y suspender la ejecución de cualquier acto ulterior tendente a la efectiva realización de los bienes embargados.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estimar la petición de suspensión en los términos manifestados en el fundamento jurídico 3.º de esta resolución.</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6" w:name="AUTO_1997_193"/>
      <w:r>
        <w:lastRenderedPageBreak/>
        <w:t>AUTO 193/1997, de 4 de junio de 1997</w:t>
      </w:r>
    </w:p>
    <w:bookmarkEnd w:id="126"/>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ECLI:ES:TC:1997:193A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1.335/1996.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29 de marzo de 1996, doña María Dolores Girón Arjonilla, Procuradora de los Tribunales, en nombre y representación del Ayuntamiento de Aguilar de la Frontera, interpuso recurso de amparo contra el Auto de la Audiencia Provincial de Córdoba, de 22 de febrero de 1996, dictado al resolver un recurso de apelación interpuesto contra los Autos del Juzgado de Primera Instancia de Aguilar de la Frontera de fecha 19 de septiembre y 2 de noviembre de 1995, que recayeron en el procedimiento declarativo de menor cuantía núm. 148/94.</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Según se deduce de la demanda y de la documentación que se acompaña, el recurso se basa en los siguientes hechos: </w:t>
      </w:r>
    </w:p>
    <w:p w:rsidR="00FA0779" w:rsidRDefault="00FA0779" w:rsidP="00FA0779">
      <w:pPr>
        <w:pStyle w:val="TextoNormal"/>
      </w:pPr>
      <w:r>
        <w:t xml:space="preserve">a) Don José Montoro Castilla presentó demanda de juicio declarativo de menor cuantía contra el hoy demandante de amparo, Ayuntamiento de la Aguilar de la Frontera (Córdoba), ante el Juzgado de Primera Instancia de la misma localidad, que estimó su pretensión mediante Sentencia de fecha 12 de diciembre de 1994. </w:t>
      </w:r>
    </w:p>
    <w:p w:rsidR="00FA0779" w:rsidRDefault="00FA0779" w:rsidP="00FA0779">
      <w:pPr>
        <w:pStyle w:val="TextoNormal"/>
      </w:pPr>
      <w:r>
        <w:t>El Juzgado, mediante providencia de 17 de mayo de 1995, requirió de pago al recurrente que interpuso recurso de nulidad de actuaciones con base en el art. 6.3 del C.C. y el art. 240 de la Ley Orgánica del Poder Judicial y 154.2 y 3 de la Ley 39/1988, de 28 de diciembre, reguladora de las Haciendas Locales. Este recurso fue desestimado por Auto del Juzgado de 19 de septiembre de 1995, que lo confirmó al resolver la consiguiente reposición mediante Auto de 2 de noviembre de 1995. Interpuesto recurso de apelación, fue ratificado por la Audiencia Provincial mediante Auto de 22 de febrero de 1996.</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23 de abril de 1997 y de conformidad con el art. 51 de la LOTC, la Sección acordó admitir a trámite la demanda y requerir a los órganos judiciales intervinientes para que en el plazo de diez días remitieran a este Tribunal testimonio de las actuaciones correspondientes, interesando que se emplazara a quienes fueron parte en el procedimiento antecedente, con excepción del recurrente en amparo para que pudieran comparecer en este proceso constitucional Asimismo, se ordenó la apertura de la pieza de sus</w:t>
      </w:r>
      <w:r>
        <w:lastRenderedPageBreak/>
        <w:t>pensión, y conceder al Ministerio Fiscal y al recurrente en amparo, un plazo de tres días para que formularan alegaciones respecto de la petición de suspensión interesada.</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Fiscal presentó las suyas el 8 de mayo de 1997 solicitando la denegación de la suspensión, habida cuenta los términos, genéricos en los que se expresa la petición del recurrente, sin perjuicio de destacar que en el caso de concederse la suspensión, sus efectos se confundirían con los derivados del otorgamiento del amparo. </w:t>
      </w:r>
    </w:p>
    <w:p w:rsidR="00FA0779" w:rsidRDefault="00FA0779" w:rsidP="00FA0779">
      <w:pPr>
        <w:pStyle w:val="TextoNormal"/>
      </w:pPr>
      <w:r>
        <w:t>No aprecia el Fiscal un perjuicio irreparable para el recurrente derivado del embargo de sus bienes.</w:t>
      </w:r>
    </w:p>
    <w:p w:rsidR="00FA0779" w:rsidRDefault="00FA0779" w:rsidP="00FA0779">
      <w:pPr>
        <w:pStyle w:val="TextoNormal"/>
      </w:pPr>
    </w:p>
    <w:p w:rsidR="00FA0779" w:rsidRDefault="00FA0779" w:rsidP="00FA0779">
      <w:pPr>
        <w:pStyle w:val="TextoNormal"/>
      </w:pPr>
      <w:r w:rsidRPr="00FA0779">
        <w:rPr>
          <w:rStyle w:val="NumeroAFNegritaCaracter"/>
        </w:rPr>
        <w:t>5</w:t>
      </w:r>
      <w:r>
        <w:t>. El recurrente, mediante escrito aportado el 29 de abril de 1997, reiteró su petición de suspensión de las resoluciones impugnadas, pues las mismas vulneran el art. 154 de la Ley de Haciendas Locales, que garantiza el carácter inembargable de los bienes de estas Administraciones.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 solicita por el demandante de amparo la suspensión del Auto de 19 de septiembre de 1995 y posteriores resoluciones confirmatorias del mismo, dictado por el Juzgado de Primera Instancia de Aguilar de la Frontera, en virtud del cual se despachó, en un procedimiento declarativo, mandamiento de embargo contra los bienes, derechos y acciones del Ayuntamiento demandado.  Estima que, de no acordarse la suspensión el perjuicio derivado de ella sería irreparable.</w:t>
      </w:r>
    </w:p>
    <w:p w:rsidR="00FA0779" w:rsidRDefault="00FA0779" w:rsidP="00FA0779">
      <w:pPr>
        <w:pStyle w:val="TextoNormal"/>
      </w:pPr>
      <w:r>
        <w:t>El Ministerio Fiscal se opone a la suspensión, al considerar que en el caso de concederse la suspensión, sus efectos se confundirían con los derivados del otorgamiento del amparo, sin que se aprecie un perjuicio irreparable para el recurrente derivado del embargo de sus bienes, habida cuenta de que no se ordenó la ejecución de la traba.</w:t>
      </w:r>
    </w:p>
    <w:p w:rsidR="00FA0779" w:rsidRDefault="00FA0779" w:rsidP="00FA0779">
      <w:pPr>
        <w:pStyle w:val="TextoNormal"/>
      </w:pPr>
    </w:p>
    <w:p w:rsidR="00FA0779" w:rsidRDefault="00FA0779" w:rsidP="00FA0779">
      <w:pPr>
        <w:pStyle w:val="TextoNormal"/>
      </w:pPr>
      <w:r w:rsidRPr="00FA0779">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w:t>
      </w:r>
    </w:p>
    <w:p w:rsidR="00FA0779" w:rsidRDefault="00FA0779" w:rsidP="00FA0779">
      <w:pPr>
        <w:pStyle w:val="TextoNormal"/>
      </w:pPr>
      <w:r>
        <w:t>No obstante, podrá denegarse cuando de ella pueda seguirse perturbación grave de los intereses generales, o de los derechos fundamentales o libertades públicas de un tercero.</w:t>
      </w:r>
    </w:p>
    <w:p w:rsidR="00FA0779" w:rsidRDefault="00FA0779" w:rsidP="00FA0779">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FA0779" w:rsidRDefault="00FA0779" w:rsidP="00FA0779">
      <w:pPr>
        <w:pStyle w:val="TextoNormal"/>
      </w:pPr>
      <w:r>
        <w:t>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FA0779" w:rsidRDefault="00FA0779" w:rsidP="00FA0779">
      <w:pPr>
        <w:pStyle w:val="TextoNormal"/>
      </w:pPr>
    </w:p>
    <w:p w:rsidR="00FA0779" w:rsidRDefault="00FA0779" w:rsidP="00FA0779">
      <w:pPr>
        <w:pStyle w:val="TextoNormal"/>
      </w:pPr>
      <w:r w:rsidRPr="00FA0779">
        <w:rPr>
          <w:rStyle w:val="NumeroAFNegritaCaracter"/>
        </w:rPr>
        <w:t>3</w:t>
      </w:r>
      <w:r>
        <w:t>. En general, se ha entendido que las resoluciones judiciales con efectos meramente económicos, en principio, no causan perjuicios irreparables, por lo que no procede su suspensión (ATC 275/1990). Sin embargo, en el presente caso, la cuestión no puede plantearse estrictamente en relación con la cuantía de la cantidad adeudada, sino más bien con el obligado respeto al principio de legalidad presupuestaria.</w:t>
      </w:r>
    </w:p>
    <w:p w:rsidR="00FA0779" w:rsidRDefault="00FA0779" w:rsidP="00FA0779">
      <w:pPr>
        <w:pStyle w:val="TextoNormal"/>
      </w:pPr>
      <w:r>
        <w:t>Ciertamente la suspensión de la ejecución de las Sentencias supone siempre una quiebra de la seguridad jurídica. Ahora bien, de no acordarse la misma, podría, en ocasiones, darse cobertura a una decisión contraria al citado principio que garantiza el obligado proceder de la Administración y que también vincula a los órganos judiciales que, con arreglo al art. 117.1 C.E.  actúan únicamente sometidos al imperio de la ley.</w:t>
      </w:r>
    </w:p>
    <w:p w:rsidR="00FA0779" w:rsidRDefault="00FA0779" w:rsidP="00FA0779">
      <w:pPr>
        <w:pStyle w:val="TextoNormal"/>
      </w:pPr>
      <w:r>
        <w:t>No se trata, pues, de contraponer los intereses particulares de los beneficiados por la resolución de embargo con potenciales derechos de la Administración ahora recurrente, sino de ejercer un juicio de ponderación de los intereses en conflicto, habiendo de concluirse que el interés general se vería gravemente comprometido si se procediera a desarrollar, en vía de ejecución de las resoluciones judiciales impugnadas, la actividad subsiguiente al embargo trabado sobre los bienes de titularidad de la Corporación municipal demandante en amparo.</w:t>
      </w:r>
    </w:p>
    <w:p w:rsidR="00FA0779" w:rsidRDefault="00FA0779" w:rsidP="00FA0779">
      <w:pPr>
        <w:pStyle w:val="TextoNormal"/>
      </w:pPr>
      <w:r>
        <w:t>En consecuencia, atendiendo a lo antes razonado, procede mantener la resolución jurisdiccional impugnada dada su naturaleza exclusivamente cautelar, y suspender la ejecución de cualquier acto ulterior tendente a la efectiva realización de los bienes embargados.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estimar la petición de suspensión en los términos manifestados en el fundamento jurídico 3.º de esta resolución.</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7" w:name="AUTO_1997_194"/>
      <w:r>
        <w:lastRenderedPageBreak/>
        <w:t>AUTO 194/1997, de 4 de junio de 1997</w:t>
      </w:r>
    </w:p>
    <w:bookmarkEnd w:id="127"/>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ECLI:ES:TC:1997:194A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1.676/1996.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22 de abril de 1996, doña María Dolores Girón Arjonilla, Procuradora de los Tribunales, en nombre y representación del Ayuntamiento de Aguilar de la Frontera, interpuso recurso de amparo contra el Auto de la Audiencia Provincial de Córdoba, de 12 de marzo de 1996, dictado al resolver un recurso de apelación interpuesto contra los Autos del Juzgado de Primera Instancia de Aguilar de la Frontera de fecha 27 de noviembre y 8 de enero de 1996, que recayeron en el procedimiento declarativo ordinario de menor cuantía núm. 150 y 152/94.</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Según se deduce de la demanda y de la documentación que se acompaña, el recurso se basa en los siguientes hechos: </w:t>
      </w:r>
    </w:p>
    <w:p w:rsidR="00FA0779" w:rsidRDefault="00FA0779" w:rsidP="00FA0779">
      <w:pPr>
        <w:pStyle w:val="TextoNormal"/>
      </w:pPr>
      <w:r>
        <w:t xml:space="preserve">a) La entidad «Valle Caballero S. A.», presentó demanda en juicio declarativo ordinario de menor cuantía contra el hoy demandante de amparo, Ayuntamiento de la Aguilar de la Frontera (Córdoba), ante el Juzgado de Primera Instancia de la misma localidad, dictándose Sentencia estimatoria contra el recurrente. </w:t>
      </w:r>
    </w:p>
    <w:p w:rsidR="00FA0779" w:rsidRDefault="00FA0779" w:rsidP="00FA0779">
      <w:pPr>
        <w:pStyle w:val="TextoNormal"/>
      </w:pPr>
      <w:r>
        <w:t xml:space="preserve">El Juzgado, mediante providencia de 7 de junio de 1995, despachó mandamiento de ejecución contra los bienes, derechos y acciones del demandado. </w:t>
      </w:r>
    </w:p>
    <w:p w:rsidR="00FA0779" w:rsidRDefault="00FA0779" w:rsidP="00FA0779">
      <w:pPr>
        <w:pStyle w:val="TextoNormal"/>
      </w:pPr>
      <w:r>
        <w:t>b) Con fecha de 23 de junio de 1995, el hoy demandante interpuso recurso de nulidad de actuaciones con base en el art. 6.3 del C.C. y el art. 240 de la Ley Orgánica del Poder Judicial, contra las resoluciones que acordaron el embargo de sus bienes, recurso que fue desestimado por Auto del Juzgado de 27 de noviembre de 1995. Frente a éste se interpuso recurso de reposición, que fue desestimado por Auto de 8 de enero de 1995 y que a su vez fue recurrido en apelación y confirmado por la Audiencia Provincial mediante Auto de 12 de marzo de 1996.</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23 de abril de 1997 y de conformidad con el art. 51 de la LOTC, la Sección acordó admitir a trámite la demanda y requerir a los órganos judiciales intervinientes para que en el plazo de diez días remitieran a este Tribunal testimonio de las actuaciones correspondientes, interesando que se emplazara a quienes fueron parte en el procedimiento antecedente, con excepción del recurrente en amparo para que pudieran com</w:t>
      </w:r>
      <w:r>
        <w:lastRenderedPageBreak/>
        <w:t>parecer en este proceso constitucional. Asimismo, se ordenó la apertura de la pieza de suspensión, y conceder al Ministerio Fiscal y al recurrente en amparo, un plazo de tres días para que formularan alegaciones respecto de la petición de suspensión interesada.</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Fiscal presentó las suyas el 8 de mayo de 1997 solicitando la denegación de la suspensión, habida cuenta los términos genéricos en los que se expresa la petición del recurrente, sin perjuicio de destacar que en el caso de concederse la suspensión, sus efectos se confundirían con los derivados del otorgamiento del amparo. </w:t>
      </w:r>
    </w:p>
    <w:p w:rsidR="00FA0779" w:rsidRDefault="00FA0779" w:rsidP="00FA0779">
      <w:pPr>
        <w:pStyle w:val="TextoNormal"/>
      </w:pPr>
      <w:r>
        <w:t>No aprecia el Fiscal un perjuicio irreparable para el recurrente derivado del embargo de sus bienes.</w:t>
      </w:r>
    </w:p>
    <w:p w:rsidR="00FA0779" w:rsidRDefault="00FA0779" w:rsidP="00FA0779">
      <w:pPr>
        <w:pStyle w:val="TextoNormal"/>
      </w:pPr>
    </w:p>
    <w:p w:rsidR="00FA0779" w:rsidRDefault="00FA0779" w:rsidP="00FA0779">
      <w:pPr>
        <w:pStyle w:val="TextoNormal"/>
      </w:pPr>
      <w:r w:rsidRPr="00FA0779">
        <w:rPr>
          <w:rStyle w:val="NumeroAFNegritaCaracter"/>
        </w:rPr>
        <w:t>5</w:t>
      </w:r>
      <w:r>
        <w:t>. El recurrente, mediante escrito aportado el 29 de abril de 1997, reiteró su petición de suspensión de las resoluciones impugnadas, pues las mismas vulneran el art. 154 de la Ley de Haciendas Locales, que garantiza el carácter inembargable de los bienes de estas Administraciones.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 solicita por el demandante de amparo la suspensión del Auto de 8 de enero de 1996 y posteriores resoluciones confirmatorias del mismo, dictado por el Juzgado de Primera Instancia de Aguilar de la Frontera, en virtud del cual se despachó, en un procedimiento declarativo, mandamiento de embargo contra los bienes, derechos y acciones del Ayuntamiento demandado. Estima que, de no acordarse la suspensión el perjuicio derivado de ella sería irreparable.</w:t>
      </w:r>
    </w:p>
    <w:p w:rsidR="00FA0779" w:rsidRDefault="00FA0779" w:rsidP="00FA0779">
      <w:pPr>
        <w:pStyle w:val="TextoNormal"/>
      </w:pPr>
      <w:r>
        <w:t>El Ministerio Fiscal se opone a la suspensión, al considerar que en el caso de concederse la suspensión, sus efectos se confundirían con los derivados del otorgamiento del amparo, sin que se aprecie un perjuicio irreparable para el recurrente derivado del embargo de sus bienes, habida cuenta de que no se ordenó la ejecución de la traba.</w:t>
      </w:r>
    </w:p>
    <w:p w:rsidR="00FA0779" w:rsidRDefault="00FA0779" w:rsidP="00FA0779">
      <w:pPr>
        <w:pStyle w:val="TextoNormal"/>
      </w:pPr>
    </w:p>
    <w:p w:rsidR="00FA0779" w:rsidRDefault="00FA0779" w:rsidP="00FA0779">
      <w:pPr>
        <w:pStyle w:val="TextoNormal"/>
      </w:pPr>
      <w:r w:rsidRPr="00FA0779">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w:t>
      </w:r>
    </w:p>
    <w:p w:rsidR="00FA0779" w:rsidRDefault="00FA0779" w:rsidP="00FA0779">
      <w:pPr>
        <w:pStyle w:val="TextoNormal"/>
      </w:pPr>
      <w:r>
        <w:t>No obstante, podrá denegarse cuando de ella pueda seguirse perturbación grave de los intereses generales, o de los derechos fundamentales o libertades públicas de un tercero.</w:t>
      </w:r>
    </w:p>
    <w:p w:rsidR="00FA0779" w:rsidRDefault="00FA0779" w:rsidP="00FA0779">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FA0779" w:rsidRDefault="00FA0779" w:rsidP="00FA0779">
      <w:pPr>
        <w:pStyle w:val="TextoNormal"/>
      </w:pPr>
      <w:r>
        <w:t>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w:t>
      </w:r>
      <w:r>
        <w:lastRenderedPageBreak/>
        <w:t>lidad en caso de llevarse a efecto la resolución impugnada para que la medida cautelar que se interesa pueda prosperar» (ATC 46/1996).</w:t>
      </w:r>
    </w:p>
    <w:p w:rsidR="00FA0779" w:rsidRDefault="00FA0779" w:rsidP="00FA0779">
      <w:pPr>
        <w:pStyle w:val="TextoNormal"/>
      </w:pPr>
    </w:p>
    <w:p w:rsidR="00FA0779" w:rsidRDefault="00FA0779" w:rsidP="00FA0779">
      <w:pPr>
        <w:pStyle w:val="TextoNormal"/>
      </w:pPr>
      <w:r w:rsidRPr="00FA0779">
        <w:rPr>
          <w:rStyle w:val="NumeroAFNegritaCaracter"/>
        </w:rPr>
        <w:t>3</w:t>
      </w:r>
      <w:r>
        <w:t>. En general, se ha entendido que las resoluciones judiciales con efectos meramente económicos,. en principio, no causan perjuicios irreparables, por lo que no procede su suspensión (ATC 275/1990). Sin embargo, en el presente caso, la cuestión no puede plantearse estrictamente en relación con la cuantía de la cantidad adeudada, sino más bien con el obligado respeto al principio de legalidad presupuestaria.</w:t>
      </w:r>
    </w:p>
    <w:p w:rsidR="00FA0779" w:rsidRDefault="00FA0779" w:rsidP="00FA0779">
      <w:pPr>
        <w:pStyle w:val="TextoNormal"/>
      </w:pPr>
      <w:r>
        <w:t>Ciertamente la suspensión de la ejecución de las Sentencias supone siempre una quiebra de la seguridad jurídica. Ahora bien, de no acordarse la misma, podría, en ocasiones, darse cobertura a una decisión contraria al citado principio que garantiza el obligado proceder de la Administración y que también vincula a los órganos judiciales que, con arreglo al art. 117.1 C.E.  actúan únicamente sometidos al imperio de la ley.</w:t>
      </w:r>
    </w:p>
    <w:p w:rsidR="00FA0779" w:rsidRDefault="00FA0779" w:rsidP="00FA0779">
      <w:pPr>
        <w:pStyle w:val="TextoNormal"/>
      </w:pPr>
      <w:r>
        <w:t>No se trata, pues, de contraponer los intereses particulares de los beneficiados por la resolución de embargo con potenciales derechos de la Administración ahora recurrente, sino de ejercer un juicio de ponderación de los intereses en conflicto, habiendo de concluirse que el interés general se vería gravemente comprometido si se procediera a desarrollar, en vía de ejecución de las resoluciones judiciales impugnadas, la actividad subsiguiente al embargo trabado sobre los bienes de titularidad de la Corporación municipal demandante en amparo.</w:t>
      </w:r>
    </w:p>
    <w:p w:rsidR="00FA0779" w:rsidRDefault="00FA0779" w:rsidP="00FA0779">
      <w:pPr>
        <w:pStyle w:val="TextoNormal"/>
      </w:pPr>
      <w:r>
        <w:t>En consecuencia, atendiendo a lo antes razonado, procede mantener la resolución jurisdiccional impugnada dada su naturaleza exclusivamente cautelar, y suspender la ejecución de cualquier acto ulterior tendente a la efectiva realización de los bienes embargados.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estimar la petición de suspensión en los términos manifestados en el fundamento jurídico 3.º de esta resolución.</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8" w:name="AUTO_1997_195"/>
      <w:r>
        <w:lastRenderedPageBreak/>
        <w:t>AUTO 195/1997, de 4 de junio de 1997</w:t>
      </w:r>
    </w:p>
    <w:bookmarkEnd w:id="128"/>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ECLI:ES:TC:1997:195A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1.698/1996.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Don Enrique Fernando Area Sacristán, en escrito que presentó el 19 de abril de 1996, interpuso recurso de amparo contra la Sentencia que el Tribunal Militar Territorial Segundo (Sevilla) dictó el 30 de noviembre de 1995, condenándole, como autor de un delito de abuso de autoridad, que fue confirmada en casación por la que la Sala Quinta del Tribunal Supremo pronunció el 20 de marzo de 1996. Nos cuenta en su demanda que con motivo del sumario 25/170/91, instruido por el Juez de Instrucción de Málaga, contra el Cabo Sr. González Montes, el Fiscal solicitó se dedujera testimonio de particulares del mismo y se iniciara procedimiento con «averiguación de la conducta del Teniente don Enrique Area Sacristán en lo que respecta a las concretas imputaciones que el Cabo González Montes manifiesta en su declaración obrante al folio 10, así como las posibles amenazas inferidas hacia la persona de este Cabo por el citado Oficial». El Juez instructor incoó el 19 de febrero de 1992 las oportunos diligencias previas (diligencias 25/11/92) y practicó las dos siguientes: l.ª testimonio de las declaraciones prestadas en el sumario 25/170/91 por los Srs. González Montes, Baeza, Rumbo Espasadín y Rodríguez Barco (estas declaraciones se referían a amenazas proferidas por el solicitante de amparo al Cabo Sr. González Montes y malos tratos de obras sobre los Srs. González Borrego y Rodríguez Barco); y 2.ª) declaración del demandante de amparo sobre los mismos extremos (esta declaración fue declarada nula por el Tribunal Militar Territorial de Sevilla en Auto de 1 de febrero de 1994). </w:t>
      </w:r>
    </w:p>
    <w:p w:rsidR="00FA0779" w:rsidRDefault="00FA0779" w:rsidP="00FA0779">
      <w:pPr>
        <w:pStyle w:val="TextoNormal"/>
      </w:pPr>
      <w:r>
        <w:t xml:space="preserve">El Juez instructor, en Auto de 11 de junio de 1992, acordó el archivo de las diligencias, por no ser el hecho constitutivo de infracción penal. Este Auto alcanzó firmeza y, sin mediar resolución alguna acordando el «desarchivo» o la continuación de las diligencias, declararon en las mismas los Srs. Villaescusa y Real Najarro (sobre extremos ajenos a los hechos de autos) y los Srs. González Borrego y Rodríguez Barco que, en relación con los supuestos malos tratos en que incurrió el solicitante de amparo, volvieron a prestar declaración rectificando las manifestaciones que hicieron en el sumario 25/170/91. A la vista de estas nuevas diligencias, el Juez instructor, en Auto de 20 de julio de 1993, acordó incoar sumario (núm. 25/15/93) contra el demandante de amparo. En el mes de septiembre se le notificó la anterior resolución haciéndole saber que podía recurrir contra la misma. No obstante, antes de transcurrir el plazo para recurrir el anterior Auto se le notificó el de procesamiento, que había sido dictado el 26 de julio. Contra este segundo Auto recurrió en apelación solicitando, además de su revocación, la del de incoación de sumario, así como </w:t>
      </w:r>
      <w:r>
        <w:lastRenderedPageBreak/>
        <w:t xml:space="preserve">la práctica de pruebas y la nulidad de actuaciones. El Tribunal Militar Territorial Segundo, en Auto de 1 de febrero de 1994 -ya citado-, desestimó el recurso contra el Auto de procesamiento, acordó la nulidad de las dos declaraciones prestadas en la causa hasta el momento por el demandante de amparo y denegó la práctica de las pruebas que éste proponía. No se pronunció sobre la revocación del Auto de incoación del sumario. Acto seguido interpuso recurso de súplica, que fue inadmitido, y acudió en demanda de amparo ante este Tribunal (recurso núm. 1.944/94), que también fue inadmitida por extemporánea. </w:t>
      </w:r>
    </w:p>
    <w:p w:rsidR="00FA0779" w:rsidRDefault="00FA0779" w:rsidP="00FA0779">
      <w:pPr>
        <w:pStyle w:val="TextoNormal"/>
      </w:pPr>
      <w:r>
        <w:t>Concluido el sumario fue elevado al ya citado Tribunal Militar Territorial. Se señaló para la vista el 15 de octubre de 1995, pero el acto hubo de suspenderse por la incomparecencia de los testigos Srs. Rodríguez Barco y González Borrego. La vista fue celebrada definitivamente el 22 de noviembre de 1995. El Tribunal dictó Sentencia condenatoria el 30 de noviembre, frente a la que el demandante de amparo redujo recurso de casación, que fue desestimado en la Sentencia que la Sala Quinta del Tribunal Supremo pronunció el 20 de marzo de 1996.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solicitante de amparo denuncia en su demanda que en las descritas actuaciones judiciales se ha incurrido en las siguientes infracciones constitucionales: </w:t>
      </w:r>
    </w:p>
    <w:p w:rsidR="00FA0779" w:rsidRDefault="00FA0779" w:rsidP="00FA0779">
      <w:pPr>
        <w:pStyle w:val="TextoNormal"/>
      </w:pPr>
      <w:r>
        <w:t xml:space="preserve">A) Vulneración del derecho a obtener la tutela Judicial efectiva por continuar la investigación en la Diligencias Previas pese a haber sido dictado Auto de archivo de las mismas. La tesis de la Sala Quinta del Tribunal Supremo (el Auto quedó de facto revocado) contradice los arts. 18 y 237 de la L.O.P.J. y la reiterada doctrina conforme a la que una resolución judicial firme no puede ser modificada por medios extraños a los recursos previstos en la Ley. El principio de inalterabilidad de las resoluciones judiciales firmes es una exigencia del concepto mismo del poder jurisdiccional, entre las que obviamente se incluyen las del orden procesal (STC 231/1991). </w:t>
      </w:r>
    </w:p>
    <w:p w:rsidR="00FA0779" w:rsidRDefault="00FA0779" w:rsidP="00FA0779">
      <w:pPr>
        <w:pStyle w:val="TextoNormal"/>
      </w:pPr>
      <w:r>
        <w:t xml:space="preserve">B) Vulneración del derecho a obtener la tutela judicial efectiva por ser dictado Auto acordando simultáneamente la incoación de sumario y el pronunciamiento de auto de procesamiento. Desde que se acordó la incoación del sumario hasta que se propone el procesamiento (ambas decisiones adoptadas en una misma resolución) no hubo elemento material alguno que sirviera para colegir en qué se basó el razonamiento del Juez instructor decidiendo dictar en su momento Auto de procesamiento. No aparecía por ningún lado razonamiento alguno que pusiera de manifiesto por qué ahora (proponiendo dictar Auto de procesamiento) se decidía en forma radicalmente contraria a como se resolvió un año antes (dictando Auto de archivo). A lo anterior debe añadirse que el anunciado Auto de procesamiento fue dictado cuando todavía no era firme el Auto de incoación del sumario, que, todo hay que decirlo, elevó a tal unas diligencias previas que habían sido archivadas por resolución que alcanzó firmeza. </w:t>
      </w:r>
    </w:p>
    <w:p w:rsidR="00FA0779" w:rsidRDefault="00FA0779" w:rsidP="00FA0779">
      <w:pPr>
        <w:pStyle w:val="TextoNormal"/>
      </w:pPr>
      <w:r>
        <w:t xml:space="preserve">C) Vulneración del derecho ala tutela judicial efectiva por no apreciarla excepción de cosa juzgada. El Auto de archivo, dado los términos en que tuvo lugar, equivale al sobreseimiento libre y en su virtud constituye cosa juzgada, según reiterada doctrina jurisprudencial que concede este carácter a los autos de sobreseimiento libre. Si se compara el Auto acordando la apertura de diligencias previas y el relato de hechos probados de la Sentencia condenatoria, claramente se constata la identidad de los hechos investigados en aquéllas y los enjuiciados en ésta. </w:t>
      </w:r>
    </w:p>
    <w:p w:rsidR="00FA0779" w:rsidRDefault="00FA0779" w:rsidP="00FA0779">
      <w:pPr>
        <w:pStyle w:val="TextoNormal"/>
      </w:pPr>
      <w:r>
        <w:t xml:space="preserve">D) Vulneración del derecho a un proceso con todas las garantías. Todos los argumentos anteriores conducen a entender vulnerado este derecho fundamental. </w:t>
      </w:r>
    </w:p>
    <w:p w:rsidR="00FA0779" w:rsidRDefault="00FA0779" w:rsidP="00FA0779">
      <w:pPr>
        <w:pStyle w:val="TextoNormal"/>
      </w:pPr>
      <w:r>
        <w:t>E) Vulneración del derecho a no sufrir indefensión. De la causa se deduce inequívocamente que el solicitante de amparo no fue oído válidamente una sola vez antes de ser pro</w:t>
      </w:r>
      <w:r>
        <w:lastRenderedPageBreak/>
        <w:t xml:space="preserve">cesado y que, antes de ser calificada la causa por el Fiscal, no le fue posible practicar una sola prueba, dado que el Tribunal de Sevilla le denegó las interesadas al recurrir el Auto de procesamiento. Cierto que en la fase del juicio oral propuso y se practicaron a su instancia numerosas pruebas, pero ello no empece para que el Instructor antes de procesar y el Fiscal antes de calificar no pudieran contar con pruebas practicadas a instancia del hoy recurrente, que hubieran podido variar sus respectivos criterios. </w:t>
      </w:r>
    </w:p>
    <w:p w:rsidR="00FA0779" w:rsidRDefault="00FA0779" w:rsidP="00FA0779">
      <w:pPr>
        <w:pStyle w:val="TextoNormal"/>
      </w:pPr>
      <w:r>
        <w:t xml:space="preserve">F) Vulneración del derecho a utilizar los medios de prueba pertinentes. Por las razones expuestas en el apartado anterior. </w:t>
      </w:r>
    </w:p>
    <w:p w:rsidR="00FA0779" w:rsidRDefault="00FA0779" w:rsidP="00FA0779">
      <w:pPr>
        <w:pStyle w:val="TextoNormal"/>
      </w:pPr>
      <w:r>
        <w:t>El recurrente concluye su demanda con la solicitud de que, otorgando el amparo que interesa, sea dictada Sentencia decretando que la causa seguida quedó archivada el 11 de junio de 1992, o lo que este Tribunal estime procedente. También solicita que, entre tanto, sea suspendida la ejecución de las Sentencias recurridas y que como prueba se practique la documental consistente en traer a este proceso constitucional la causa 25115/93 del Juzgado Togado Militar Territorial número 25 de Málaga.</w:t>
      </w:r>
    </w:p>
    <w:p w:rsidR="00FA0779" w:rsidRDefault="00FA0779" w:rsidP="00FA0779">
      <w:pPr>
        <w:pStyle w:val="TextoNormal"/>
      </w:pPr>
    </w:p>
    <w:p w:rsidR="00FA0779" w:rsidRDefault="00FA0779" w:rsidP="00FA0779">
      <w:pPr>
        <w:pStyle w:val="TextoNormal"/>
      </w:pPr>
      <w:r w:rsidRPr="00FA0779">
        <w:rPr>
          <w:rStyle w:val="NumeroAFNegritaCaracter"/>
        </w:rPr>
        <w:t>3</w:t>
      </w:r>
      <w:r>
        <w:t>. La Sección Cuarta, en providencia de 29 de enero de 1997,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actor evacuo el traslado el 15 de febrero, es escrito en el que, para sostener que el recurso debe ser admitido a trámite, reitera en ocho alegaciones lo que ya expuso en la demanda. Por su parte, el Fiscal hizo lo propio el 5 de marzo, si bien para solicitar la inadmisión del recurso por carecer la demanda manifiestamente de contenido constitucional. Comparte los razonamientos del Tribunal Supremo para concluir que no se produjo en el caso infracción de las normas esenciales del procedimiento con quiebra del derecho a la tutela judicial efectiva. Es cierto que en la tramitación de las diligencias ante el Juzgado de Instrucción se cometieron algunas irregularidades pero sin relevancia constitucional, pues ninguna situación de indefensión se genero a consecuencia de las mismas. No se llevó a cabo la revisión unilateral de una resolución que acordaba el archivo ya firme de las diligencias, sino que realmente ese archivo acordado por el Instructor nunca llegó a ser firme, cifrándose la irregularidad simplemente en la no constatación en autos de la resolución que acordaba la reapertura de las diligencias. </w:t>
      </w:r>
    </w:p>
    <w:p w:rsidR="00FA0779" w:rsidRDefault="00FA0779" w:rsidP="00FA0779">
      <w:pPr>
        <w:pStyle w:val="TextoNormal"/>
      </w:pPr>
      <w:r>
        <w:t xml:space="preserve">No se ha vulnerado el derecho a la tutela judicial efectiva del actor porque no se le oyera válidamente en ningún momento de la tramitación de la causa. Al parecer, prestó una primera declaración por exhorto en el Juzgado Militar de Pamplona, previa renuncia por su parte a la asistencia de Letrado. Una vez reabiertas las diligencias se le practicó una nueva declaración ante el Juzgado de Santa Cruz de la Palma, que el propio Tribunal sentenciador anuló mediante Auto de 1 de febrero de 1994. Finalmente, y ya después de incoado el sumario, se le recibió declaración indagatoria con asistencia de Abogado. Por ello ninguna indefensión se le ha ocasionado, pues en todo momento tuvo conocimiento de la imputación de los hechos y del derecho que le asistía para designar Abogado, y la declaración que fue llevada a cabo sin los requisitos constitucionalmente previstos fue anulada por la propia Sala, perdiendo, por tanto, su validez. </w:t>
      </w:r>
    </w:p>
    <w:p w:rsidR="00FA0779" w:rsidRDefault="00FA0779" w:rsidP="00FA0779">
      <w:pPr>
        <w:pStyle w:val="TextoNormal"/>
      </w:pPr>
      <w:r>
        <w:t xml:space="preserve">Enlazando con lo anterior alega el recurrente indefensión por no haber podido utilizar los medios de prueba pertinentes para su defensa. Esta alegación, a juicio del Fiscal, tampoco puede prosperar, pues se basa en que fueron denegadas las diligencias de prueba </w:t>
      </w:r>
      <w:r>
        <w:lastRenderedPageBreak/>
        <w:t>propuestas durante la instrucción de la causa. Sin embargo, y según pone de manifiesto el propio recurrente, dichas diligencias se propusieron, aceptaron y practicaron en el mismo momento del juicio oral y es precisamente en dicho momento cuando tienen virtualidad y eficacia, fuera de los supuestos excepcionales, por lo que no puede hablarse de indefensión cuando la prueba se ha practicado y además se ha llevado a cabo en el momento cumbre del proceso, rodeada de todas las garantías de inmediación y contradicción.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principal queja que deduce el recurrente es, desde un punto de vista fáctico, muy sencilla: Incoadas diligencias previas contra él, se dicta en las mismas Auto de archivo por no ser los hechos constitutivos de infracción penal y, sin que nadie lo recurriera ni el Juez lo reformara de oficio, se continuó la investigación, siendo elevadas las diligencias a sumario, que concluyó con la Sentencia condenatoria dictada por el Tribunal Territorial de Sevilla, confirmada en casación por la Sala Quinta del Tribunal Supremo. A su juicio, con ello se ha vulnerado su derecho a obtener la tutela judicial efectiva.</w:t>
      </w:r>
    </w:p>
    <w:p w:rsidR="00FA0779" w:rsidRDefault="00FA0779" w:rsidP="00FA0779">
      <w:pPr>
        <w:pStyle w:val="TextoNormal"/>
      </w:pPr>
      <w:r>
        <w:t>Para dar respuesta a la misma no puede obviarse un dato que resulta relevante: Las diligencias previas fueron incoadas por los hechos acaecidos el 10 de septiembre de 1991 y, por ello, afectaban tanto a las amenazas como a los malos tratos de obra que se imputaban al solicitante de amparo. Así lo ha entendido la Sala Quinta del Tribunal Supremo, rectificando el criterio del Tribunal Militar Territorial (para quien las diligencias se incoaron únicamente por las amenazas). No obstante, la solución a que llegan uno y otro Tribunales es la misma: La no vulneración del derecho a la tutela judicial efectiva del demandante de amparo. El Tribunal Supremo argumenta para llegar a tal conclusión que el Auto de archivo no llegó a adquirir firmeza ya que fue tácitamente dejado sin efecto mediante la continuación de las investigaciones; a su juicio, la voluntad del Juez de Instrucción fue clara, aunque defectuosamente expresada (fundamento jurídico 2.º de su Sentencia). Lo cierto es que las diligencias previas fueron archivadas por no ser los hechos constitutivos de infracción penal (art. 141 de la Ley Orgánica 2/1989, Procesal Militar -L.P.M.-) y que el Auto en que así se acordó no fue recurrido por nadie en apelación, por lo que alcanzó firmeza (art. 143 de la misma Ley); nadie puede discutir, pues, que se vio beneficiado por los efectos de la cosa juzgada formal. Las resoluciones judiciales sólo pueden ser dejadas sin efecto por los cauces establecidos al efecto en el ordenamiento jurídico, y en un Estado de Derecho no son admisibles las revocaciones tácitas, implícitas o por la vía de hecho; el principio de seguridad jurídica (art. 9.3 C.E.)  lo impide.  Ahora bien, esta constatación no lleva como corolario que haya resultado vulnerado el derecho a obtener la tutela judicial efectiva del solicitante de amparo, en su faceta de derecho a la inmodificabilidad de las resoluciones judiciales firmes.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incógnita, pues, permanece y para despejarla resulta necesario abordar una cuestión distinta: La de si un Auto de archivo como el aquí contemplado, que no es discutido por nadie y alcanza firmeza, impide la reanudación de las investigaciones. En otras palabras, se trata de averiguar si dicho Auto produce los efectos de la cosa juzgada material. Pues bien, en el ámbito procesal militar, a diferencia del común, existe un precepto expresamente regulador de la cosa juzgada, en concreto el art. 3 L.P.M., conforme al que «no se procederá penalmente contra persona alguna por hechos por los que ya hubiese sido juzgada en un proceso penal anterior, en el que haya recaído Sentencia firme o Auto, también </w:t>
      </w:r>
      <w:r>
        <w:lastRenderedPageBreak/>
        <w:t>firme, de sobreseimiento definitivo o libre»... Siendo ello así, y de acuerdo con el tenor literal del precepto transcrito, un Auto de archivo como el contemplado en este caso no provoca los efectos materiales de la cosa juzgada, las cuales únicamente se generarían cuando hubiera recaído por los mismos hechos Sentencia o Auto de sobreseimiento definitivo o libre firmes. Por lo tanto, no puede sostenerse, como hace el demandante de amparo, su inmodificabilidad, diluyéndose la queja que articula con fundamento en el art. 24.1 C.E.</w:t>
      </w:r>
    </w:p>
    <w:p w:rsidR="00FA0779" w:rsidRDefault="00FA0779" w:rsidP="00FA0779">
      <w:pPr>
        <w:pStyle w:val="TextoNormal"/>
      </w:pPr>
      <w:r>
        <w:t>En cualquier caso, tal y como razona la Sala Quinta del Tribunal Supremo en su Sentencia y sostiene el Fiscal en su escrito de alegaciones, el Instructor continuó la investigación, dejando tácitamente sin efecto la decisión de archivo a instancias del propio Ministerio Fiscal que solicitó la suspensión del plazo para recurrir en apelación el Auto en que así se acordó y la práctica de la diligencia de puesta de manifiesto de las actuaciones. No existía, pues, una decisión irrevocable de archivar y, por ello, nada impedía, desde la perspectiva del art. 24.1 C.E., continuar con la instrucción, por más que la decisión de continuar no adoptara la forma correcta.</w:t>
      </w:r>
    </w:p>
    <w:p w:rsidR="00FA0779" w:rsidRDefault="00FA0779" w:rsidP="00FA0779">
      <w:pPr>
        <w:pStyle w:val="TextoNormal"/>
      </w:pPr>
    </w:p>
    <w:p w:rsidR="00FA0779" w:rsidRDefault="00FA0779" w:rsidP="00FA0779">
      <w:pPr>
        <w:pStyle w:val="TextoNormal"/>
      </w:pPr>
      <w:r w:rsidRPr="00FA0779">
        <w:rPr>
          <w:rStyle w:val="NumeroAFNegritaCaracter"/>
        </w:rPr>
        <w:t>3</w:t>
      </w:r>
      <w:r>
        <w:t>. Las demás quejas que se deducen en la demanda de amparo carecen, también de forma manifiesta, de contenido constitucional. Para llegar a esta conclusión basta con leer el fundamento jurídico cuarto de la Sentencia del Tribunal Supremo.</w:t>
      </w:r>
    </w:p>
    <w:p w:rsidR="00FA0779" w:rsidRDefault="00FA0779" w:rsidP="00FA0779">
      <w:pPr>
        <w:pStyle w:val="TextoNormal"/>
      </w:pPr>
      <w:r>
        <w:t>a) El solicitante de amparo prestó declaración, después de ser instruido de sus derechos, en el Juzgado Militar de Pamplona, previa renuncia de su derecho a ser asistido de Letrado. Después de reanudarse la instrucción, tras el Auto de archivo, se le recibió nuevamente declaración, si bien la prestada en esta ocasión fue con posterioridad declarada nula por no haber sido aquél instruido sobre sus derechos. Adoptado Auto de procesamiento, se le recibió declaración indagatoria con la asistencia de su Abogado. Durante el juicio oral y en el recurso de casación, como no podía ser de otra forma, estuvo asistido de Letrado, por lo que no puede sostenerse con el más mínimo fundamento que se desconociera su derecho a la asistencia letrada (art. 24.2 C.E.).</w:t>
      </w:r>
    </w:p>
    <w:p w:rsidR="00FA0779" w:rsidRDefault="00FA0779" w:rsidP="00FA0779">
      <w:pPr>
        <w:pStyle w:val="TextoNormal"/>
      </w:pPr>
      <w:r>
        <w:t>b) La adopción simultánea de las decisiones de incoar sumario y procesar a una determinada persona en modo alguno vulnera el derecho a la tutela judicial efectiva de ésta y no quiere decir más que en ese momento -el de la incoación del sumario-, y a la vista de la investigación realizada, el instructor dispone de indicios racionales de que aquélla ha sido la autora de los hechos investigados y que, Prima facie, éstos aparecen como constitutivos de delito.</w:t>
      </w:r>
    </w:p>
    <w:p w:rsidR="00FA0779" w:rsidRDefault="00FA0779" w:rsidP="00FA0779">
      <w:pPr>
        <w:pStyle w:val="TextoNormal"/>
      </w:pPr>
      <w:r>
        <w:t>c) En fin, difícilmente puede lamentarse el actor de haber resultado desconocido su derecho a utilizar los medios de prueba pertinentes para la defensa (art. 24.2), cuando en el acto del juicio fueron admitidas y practicadas todas las pruebas que propuso.</w:t>
      </w:r>
    </w:p>
    <w:p w:rsidR="00FA0779" w:rsidRDefault="00FA0779" w:rsidP="00FA0779">
      <w:pPr>
        <w:pStyle w:val="TextoNormal"/>
      </w:pPr>
      <w:r>
        <w:t>El actor estuvo, pues, debidamente asistido de Letrado, tuvo conocimiento ab initio de los hechos que se le imputaban y pudo defenderse de esa imputación en contradicción, con inmediación y utilizando los medios de prueba que tuvo a bien, esto es, en plenitud de garantías. Consecuentemente, en modo alguno puede sostenerse que fueran desconocidas las garantías que le reconoce el art.  24 C.E. y, por ello, su demanda de amparo debe ser inadmitida con fundamento en el art. 50.1 c) LOTC.</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w:t>
      </w:r>
    </w:p>
    <w:p w:rsidR="00FA0779" w:rsidRDefault="00FA0779" w:rsidP="00FA0779">
      <w:pPr>
        <w:pStyle w:val="TextoNormal"/>
      </w:pPr>
      <w:r>
        <w:t>La no admisión a trámite del recurso hace innecesario pronunciarse sobre las solicitudes de suspensión de la ejecución de las Sentencias impugnadas y de recibimiento del recurso de amparo a prueba.</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29" w:name="AUTO_1997_196"/>
      <w:r>
        <w:lastRenderedPageBreak/>
        <w:t>AUTO 196/1997, de 4 de junio de 1997</w:t>
      </w:r>
    </w:p>
    <w:bookmarkEnd w:id="129"/>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ECLI:ES:TC:1997:196A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2.452/1996.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Procurador de los Tribunales don José Antonio Sandín Fernández, en nombre de don Francisco Sevillano Rodríguez y mediante escrito registrado el 14 de junio de 1996, interpuso recurso de amparo contra el Auto que el Juez de lo Social núm. 20 de Madrid dictó el 10 de abril de 1996 decretando el archivo de la demanda por despido que su representado había deducido frente la «Sociedad Cooperativa Limitada de Autoescuelas, S. A.», así como contra el pronunciado el 9 de mayo siguiente, mediante el que el Juez inadmitió el recurso de reposición interpuesto contra el anterior. Relata que, deducida y admitida a trámite la demanda, se señaló para juicio el 10 de abril de 1996, si bien el día 8 anterior ambas partes presentaron en el Juzgado un escrito solicitando de mutuo acuerdo la suspensión del juicio. El Juez de lo Social, en el Auto impugnado, tuvo al actor por desistido de su demanda y acordó el archivo del procedimiento con fundamento en el art. 83.2 L.P.L. El solicitante de amparo interpuso recurso de reposición contra el anterior Auto, que fue «rechazado de oficio» en Auto de 9 de mayo por no citarse en el recurso el precepto procesal considerado infringido, tal y como exige el art. 377 L.E.C. </w:t>
      </w:r>
    </w:p>
    <w:p w:rsidR="00FA0779" w:rsidRDefault="00FA0779" w:rsidP="00FA0779">
      <w:pPr>
        <w:pStyle w:val="TextoNormal"/>
      </w:pPr>
      <w:r>
        <w:t>Sostiene el actor en su demanda de amparo que los dos Autos que recurre desconocen su derecho a obtener la tutela judicial efectiva sin indefensión (art. 24.l); el primero -de 10 de abril de 1996- porque le cierra el acceso al proceso mediante una interpretación del art. 83 L.P.L. contraria al derecho fundamental citado; y el segundo porque le impide acceder al recurso mediante una interpretación del art. 377 L.E.C., cercenadora del mencionado derecho fundamental. Concluye solicitando que sea dictada Sentencia en la que, otorgando el amparo que interesa, se anulen los Autos recurridos y se le reconozca el derecho a la continuación del procedimiento de despido mediante la realización de un nuevo señalamiento para el acto de juicio. También solicita el recibimiento de este recurso de amparo a prueba.</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27 de noviembre de 1996, acordó, de conformidad con lo dispuesto en el artículo 50.3 de la LOTC, conceder al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El demandante de amparo evacuó el traslado en escrito que presentó el 23 de diciembre solicitando la admisión a trámite del recurso, a cuyo efecto, tras remitirse a lo ya expuesto en el de demanda y hacer algunas consideraciones sobre la pertinencia de que la decisión de archivo del Juez no sea recurrible ante un tribunal Superior, reitera que le ha sido vulnerado su derecho a la tutela judicial efectiva en una doble manifestación: Acceso al proceso y acceso al recurso.</w:t>
      </w:r>
    </w:p>
    <w:p w:rsidR="00FA0779" w:rsidRDefault="00FA0779" w:rsidP="00FA0779">
      <w:pPr>
        <w:pStyle w:val="TextoNormal"/>
      </w:pPr>
    </w:p>
    <w:p w:rsidR="00FA0779" w:rsidRDefault="00FA0779" w:rsidP="00FA0779">
      <w:pPr>
        <w:pStyle w:val="TextoNormal"/>
      </w:pPr>
      <w:r w:rsidRPr="00FA0779">
        <w:rPr>
          <w:rStyle w:val="NumeroAFNegritaCaracter"/>
        </w:rPr>
        <w:t>4</w:t>
      </w:r>
      <w:r>
        <w:t>. El Fiscal, por su parte, en escrito que presentó el 13 de enero de 1997 ha solicitado la inadmisión del recurso con fundamento en el art. 50.1 c) LOTC. Manifiesta que, por lo que respecta a la inadmisión del recurso de reposición, no vulnera el derecho a la tutela judicial de actor al encontrarse fundada en una causa legal que ha sido aplicada razonadamente, y en lo que atañe a la decisión de archivar el proceso sostiene la corrección constitucional de esta decisión en la medida en que la presentación por el actor y la contraparte del manuscrito interesando la suspensión del señalamiento para juicio no produce de forma automática los efectos perseguidos con él, de modo que la convocatoria seguía viva y, por ello, aquéllos debieron comparecer para ratificar su solicitud o bien para ofrecer los motivos justificatorios de la suspensión; si así no lo hicieron, hay que considerar que la decisión de archivo, en cuanto viene anudada a un precepto procesal que habilita para tal solución, es constitucionalmente correcta y la indefensión que ello puede haber generado al actor viene provocada por su propia falta de diligencia, al no comparecer al llamamiento no suspendido.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demandante de amparo dirige su pretensión frente a dos Autos, a los que imputa vulnerar un mismo derecho fundamental pero por razones diversas. Al primero -el de archivo del procedimiento de despido- le achaca que desconoció su derecho a obtener la tutela judicial efectiva en su dimensión de acceso a la jurisdicción; al segundo -el de inadmisión del recurso de reposición que interpuso contra el primero- le imputa la vulneración del mismo derecho fundamental, pero por desconocer la manifestación del mismo consistente en acceder al sistema de recursos diseñado por el legislador. Ninguna de las dos quejas, sin embargo, alcanza trascendencia constitucional y, por ello, el recurso debe ser objeto de inadmisión con fundamento en el art. 50.1 c) LOTC.</w:t>
      </w:r>
    </w:p>
    <w:p w:rsidR="00FA0779" w:rsidRDefault="00FA0779" w:rsidP="00FA0779">
      <w:pPr>
        <w:pStyle w:val="TextoNormal"/>
      </w:pPr>
      <w:r>
        <w:t>Principiando por el final y teniendo presente la doctrina sentada en la STC 37/1995, es evidente que el Auto de inadmisión del recurso de reposición no incurrió en la infracción constitucional que se denuncia en la demanda. El Juez adoptó su decisión de inadmitir el recurso porque el recurrente no citó, tal y como exige el art. 377 L.E.C., el precepto que consideraba infringido por el Auto que trataba de recurrir, y lo hizo razonando la aplicabilidad de tal exigencia formal cuando lo que se recurre es un Auto y no una providencia, citando al efecto la STC 69/1987. Esta decisión, interpretando el citado precepto procesal, no aparece como arbitraria o irrazonable y, por ello, no puede ser tachada de vulneradora del derecho a obtener la tutela judicial efectiva del actor.</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En el acceso al proceso, conforme a la citada STC 37/1995, el principio pro actione opera con toda intensidad, pero ello no exime a quien impetra la tutela judicial de adoptar </w:t>
      </w:r>
      <w:r>
        <w:lastRenderedPageBreak/>
        <w:t>la debida diligencia; dicho en otras palabras, solicitada la suspensión del señalamiento para juicio el interesado no puede desentenderse de la cuestión.</w:t>
      </w:r>
    </w:p>
    <w:p w:rsidR="00FA0779" w:rsidRDefault="00FA0779" w:rsidP="00FA0779">
      <w:pPr>
        <w:pStyle w:val="TextoNormal"/>
      </w:pPr>
      <w:r>
        <w:t>Así lo hemos afirmado en la STC 137/1996. El litigante que pide la suspensión o el aplazamiento de un acto procesal y que, viendo como se acerca el día señalado, no recibe respuesta alguna a su solicitud, no puede desentenderse sin más de la marcha del proceso por él instado y que, pese a su petición, aún no ha sido paralizado, absteniéndose de efectuar las gestiones precisas para saber si su solicitud ha sido atendida o no y dejando pasar el día del señalamiento sin comparecer como si la suspensión hubiera sido acordada. Su inasistencia el día señalado, con la consecuencia del pronunciamiento de un Auto teniéndole por desistido y ordenando el archivo (art. 83.2 L.P.L.), constituye una indiligencia que impide ahora admitir sus alegaciones de indefensión, porque como bien es sabido no puede quejarse de ella quien con su actitud pasiva o negligente ha contribuido a su producción (STC 65/1994, en la que se citan los núms. 208/1987, 163/1988, 251/1988 y 72/1990).</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 sin que, por ello, sea menester pronunciarse sobre la solicitud de recibimiento a prueba del recurso.</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0" w:name="AUTO_1997_197"/>
      <w:r>
        <w:lastRenderedPageBreak/>
        <w:t>AUTO 197/1997, de 4 de junio de 1997</w:t>
      </w:r>
    </w:p>
    <w:bookmarkEnd w:id="130"/>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ECLI:ES:TC:1997:197A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del actor en el recurso de amparo 2.978/1996,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1" w:name="AUTO_1997_198"/>
      <w:r>
        <w:lastRenderedPageBreak/>
        <w:t>AUTO 198/1997, de 4 de junio de 1997</w:t>
      </w:r>
    </w:p>
    <w:bookmarkEnd w:id="131"/>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ECLI:ES:TC:1997:198A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3.062/1996.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Para la solicitante de amparo se interpuso la correspondiente demanda en reclamación del mismo, la cual tenía como antecedentes, los hechos que a continuación se describen: </w:t>
      </w:r>
    </w:p>
    <w:p w:rsidR="00FA0779" w:rsidRDefault="00FA0779" w:rsidP="00FA0779">
      <w:pPr>
        <w:pStyle w:val="TextoNormal"/>
      </w:pPr>
      <w:r>
        <w:t xml:space="preserve">A) Como consecuencia de demanda por despido formulada por don Salvador Rodríguez Cordón contra la entidad «Hilton International Hotels U.K. Limited». para la que había trabajado, el Juzgado de lo Social núm. 11 de Barcelona dictó Sentencia con fecha 4 de marzo de 1993, recaída en el procedimiento núm. 985/92, por cuya virtud fue absuelta la demandada. </w:t>
      </w:r>
    </w:p>
    <w:p w:rsidR="00FA0779" w:rsidRDefault="00FA0779" w:rsidP="00FA0779">
      <w:pPr>
        <w:pStyle w:val="TextoNormal"/>
      </w:pPr>
      <w:r>
        <w:t xml:space="preserve">B) Contra la meritada Sentencia, el Sr. Rodríguez Cordón formalizó recurso de suplicación, que fue estimado mediante Sentencia de 5 de julio de 1995, dictada por la Sala de lo Social del Tribunal Superior de Justicia de Cataluña, en la que, con revocación de la anterior del Juzgado de lo Social, declaraba improcedente el despido del recurrente y condenaba a la empresa a su readmisión, o bien a que le indemnizara con la suma de 1.464.073 pesetas para el supuesto de optar por el despido, si bien en ambos casos con abono de los salarios dejados de percibir desde la fecha del despido hasta aquélla en que la readmisión se llevare a efecto. Esta Sentencia fue notificada a la ahora demandante de amparo con fecha 25 de julio de 1994. </w:t>
      </w:r>
    </w:p>
    <w:p w:rsidR="00FA0779" w:rsidRDefault="00FA0779" w:rsidP="00FA0779">
      <w:pPr>
        <w:pStyle w:val="TextoNormal"/>
      </w:pPr>
      <w:r>
        <w:t xml:space="preserve">C) Contra la meritada Sentencia la mercantil Hilton formalizó recurso de audiencia al rebelde, al alegar que no había tenido conocimiento de la misma, por no haberle sido notificado lo actuado desde la interposición del recurso de suplicación, resultando aquél desestimado por Sentencia de 21 de abril de 1995 dictada por la Sala de lo Social del Tribunal Superior de Justicia de Cataluña. D) Finalmente, contra la Sentencia de 21 de abril de 1995 fue formalizado por la entidad Hílton recurso de casación que resultó, igualmente, desestimado por Sentencia de 23 de mayo de 1996, siendo notificada el día 1 de julio siguiente a la parte. </w:t>
      </w:r>
    </w:p>
    <w:p w:rsidR="00FA0779" w:rsidRDefault="00FA0779" w:rsidP="00FA0779">
      <w:pPr>
        <w:pStyle w:val="TextoNormal"/>
      </w:pPr>
      <w:r>
        <w:t>E) La entidad Hilton formalizó demanda de amparo, que tuvo entrada el día 24 de julio de 1996 en el Juzgado de Guardia y, ulteriormente, el 29 del mismo mes y año en el registro general de ese Tribunal Constitucional, invocando la vulneración del derecho fundamental a la tutela judicial efectiva del art. 24 C.E., en su manifestación del derecho a no ser condenado sin antes haber tenido posibilidad de ser oído, apoyando su alegada infrac</w:t>
      </w:r>
      <w:r>
        <w:lastRenderedPageBreak/>
        <w:t>ción constitucional en que no fue emplazada ni tuvo conocimiento del recurso de suplicación hasta que no le fue notificada personalmente la Sentencia condenatoria, por lo que no ha podido ejercitar su derecho de defensa en el trámite correspondiente del procedimiento seguido contra la misma.</w:t>
      </w:r>
    </w:p>
    <w:p w:rsidR="00FA0779" w:rsidRDefault="00FA0779" w:rsidP="00FA0779">
      <w:pPr>
        <w:pStyle w:val="TextoNormal"/>
      </w:pPr>
    </w:p>
    <w:p w:rsidR="00FA0779" w:rsidRDefault="00FA0779" w:rsidP="00FA0779">
      <w:pPr>
        <w:pStyle w:val="TextoNormal"/>
      </w:pPr>
      <w:r w:rsidRPr="00FA0779">
        <w:rPr>
          <w:rStyle w:val="NumeroAFNegritaCaracter"/>
        </w:rPr>
        <w:t>2</w:t>
      </w:r>
      <w:r>
        <w:t>. Mediante providencia de 7 de mayo de 1997, el Tribunal Constitucional decidió admitir a trámite el recurso de amparo, acordando su Sección Tercera, mediante providencia de la misma fecha, abrir pieza separada de suspensión y conceder un plazo común de tres días al Ministerio Fiscal y al demandante para alegaciones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Por escrito registrado el día 13 de mayo de 1997 el Ministerio Fiscal solicitó la denegación de la suspensión solicitada, en consideración a las siguientes manifestaciones: </w:t>
      </w:r>
    </w:p>
    <w:p w:rsidR="00FA0779" w:rsidRDefault="00FA0779" w:rsidP="00FA0779">
      <w:pPr>
        <w:pStyle w:val="TextoNormal"/>
      </w:pPr>
      <w:r>
        <w:t xml:space="preserve">A) Sobre el incidente de suspensión ese Alto Tribunal parte de la fundamental premisa de que, «en un Estado de Derecho las Sentencias claman por ser cumplidas, como exigencia implícita a la eficacia de la tutela judicial» (ATC 120/1993). Igualmente, ha señalado que cuando se trata de resoluciones judiciales con efectos meramente económicos, el criterio general es el de la no suspensión, porque el interés general anteriormente citado demanda su cumplimiento (AATC 573/1985, 275/1990, 6/1996 y, 48/1996). Añadiendo, además (AATC 130/1990, 150/1990, 315/1990 y 385/1990) que, cuando el recurso de amparo tiene por finalidad el reconocimiento de un derecho como el que ahora se invoca, a obtener la tutela judicial efectiva, de forma que el pronunciamiento que se dicta en este ámbito constitucional no afectará en ningún caso al fondo de la cuestión litigiosa, sino que, a lo sumo, supondrá la emisión de un nuevo fallo judicial, que respete el derecho vulnerado, no puede entenderse perjudicado el fin del recurso con dicha ejecución, porque si la ulterior sentencia judicial se pronuncia en el fondo de manera análoga a la impugnación, desaparece todo perjuicio seguido de la ejecución y, en caso, contrario, esto es, si el fallo difiere del anterior, tampoco deriva de él tal perjuicio irreparable habida cuenta de la naturaleza estrictamente económica de la ejecución, de posible reparación mediante la devolución de lo cobrado, devolución que, además y conforme también se ha señalado en las resoluciones antes citadas, puede, bien asegurarse previamente por la recurrente en amparo solicitando las oportunas garantías en el ámbito judicial, o bien obtenerse ulteriormente, mediante las correspondientes acciones que el ordenamiento jurídico brinda a la actora para su recuperación. </w:t>
      </w:r>
    </w:p>
    <w:p w:rsidR="00FA0779" w:rsidRDefault="00FA0779" w:rsidP="00FA0779">
      <w:pPr>
        <w:pStyle w:val="TextoNormal"/>
      </w:pPr>
      <w:r>
        <w:t>A mayor abundamiento, la mercantil ahora recurrente tampoco ha acreditado la concurrencia de aquellas circunstancias concretas que pudieran determinar una irreparabilidad en su economía teniendo en cuenta la cantidad a que fue condenada y tratarse de una entidad con un volumen de actividad lo suficientemente importante como para que pudiera ocasionar difícil reparación en su economía la ejecución de la sentencia dictada en vía judicial (AATC 306/1996 y 2/1997).</w:t>
      </w:r>
    </w:p>
    <w:p w:rsidR="00FA0779" w:rsidRDefault="00FA0779" w:rsidP="00FA0779">
      <w:pPr>
        <w:pStyle w:val="TextoNormal"/>
      </w:pPr>
    </w:p>
    <w:p w:rsidR="00FA0779" w:rsidRDefault="00FA0779" w:rsidP="00FA0779">
      <w:pPr>
        <w:pStyle w:val="TextoNormal"/>
      </w:pPr>
      <w:r w:rsidRPr="00FA0779">
        <w:rPr>
          <w:rStyle w:val="NumeroAFNegritaCaracter"/>
        </w:rPr>
        <w:t>4</w:t>
      </w:r>
      <w:r>
        <w:t>. Por la recurrente en amparo se presentó escrito ante el Registro de este Tribunal el día 16 de mayo de 1997, en el que solicitó la suspensión de la resolución impugnada, reiterando los argumentos contenidos en su escrito de demanda.</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a obtener tutela judicial efectiva el litigante victorioso, que se ve privado de la efectividad del pronunciamiento favorable a sus pretensiones, por lo que la regla general ha de ser la improcedencia de la suspensión, siendo excepcional su adopción (ATC 275/1986, por todos).</w:t>
      </w:r>
    </w:p>
    <w:p w:rsidR="00FA0779" w:rsidRDefault="00FA0779" w:rsidP="00FA0779">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FA0779" w:rsidRDefault="00FA0779" w:rsidP="00FA0779">
      <w:pPr>
        <w:pStyle w:val="TextoNormal"/>
      </w:pPr>
    </w:p>
    <w:p w:rsidR="00FA0779" w:rsidRDefault="00FA0779" w:rsidP="00FA0779">
      <w:pPr>
        <w:pStyle w:val="TextoNormal"/>
      </w:pPr>
      <w:r w:rsidRPr="00FA0779">
        <w:rPr>
          <w:rStyle w:val="NumeroAFNegritaCaracter"/>
        </w:rPr>
        <w:t>2</w:t>
      </w:r>
      <w:r>
        <w:t>. En el presente caso, teniendo en consideración la anterior doctrina, se hace necesario afirmar la improcedencia de la suspensión solicitada, toda vez que la misma tiene fundamentalmente un contenido económico, y tal como señala el Ministerio Fiscal, de posible reparación mediante la devolución de lo cobrado, devolución que, además puede, bien asegurarse previamente por la recurrente en amparo solicitando, si lo estima pertinente, las oportunas garantías en el ámbito judicial, o bien obtenerse ulteriormente, mediante las correspondientes acciones que el ordenamiento jurídico brinda a la actora para su recuperación.</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ello, la Sala acuerda que no procede acceder a la suspensión solicitada.</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2" w:name="AUTO_1997_199"/>
      <w:r>
        <w:lastRenderedPageBreak/>
        <w:t>AUTO 199/1997, de 4 de junio de 1997</w:t>
      </w:r>
    </w:p>
    <w:bookmarkEnd w:id="132"/>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ECLI:ES:TC:1997:199A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Acuerdo el desistimiento en el recurso de amparo 3.343/1996, promovido en litigio social.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3" w:name="AUTO_1997_200"/>
      <w:r>
        <w:lastRenderedPageBreak/>
        <w:t>AUTO 200/1997, de 4 de junio de 1997</w:t>
      </w:r>
    </w:p>
    <w:bookmarkEnd w:id="133"/>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ECLI:ES:TC:1997:200A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3.493/1996.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26 de septiembre de 1996, tuvo entrada en el Registro General de este Tribunal escrito de la representación procesal de don José Francisco González Arrebalí, que había sido presentado el día de antes en el Juzgado de Guardia de esta capital, por medio del cual promueve recurso de amparo frente a la Sentencia de 15 de julio de 1996, de la Audiencia Provincial de Málaga, rollo núm. 390/96, que confirma en apelación la de 18 de abril de 1996, del Juzgado de Instrucción núm. 5 de esa capital, por la que se condena al demandante de amparo, como autor de un delito de robo con intimidación, a la pena de tres años de prisión menor, suspensión de todo cargo público y derecho de sufragio durante el tiempo de la condena, así como el pago de las costas.</w:t>
      </w:r>
    </w:p>
    <w:p w:rsidR="00FA0779" w:rsidRDefault="00FA0779" w:rsidP="00FA0779">
      <w:pPr>
        <w:pStyle w:val="TextoNormal"/>
      </w:pPr>
    </w:p>
    <w:p w:rsidR="00FA0779" w:rsidRDefault="00FA0779" w:rsidP="00FA0779">
      <w:pPr>
        <w:pStyle w:val="TextoNormal"/>
      </w:pPr>
      <w:r w:rsidRPr="00FA0779">
        <w:rPr>
          <w:rStyle w:val="NumeroAFNegritaCaracter"/>
        </w:rPr>
        <w:t>2</w:t>
      </w:r>
      <w:r>
        <w:t>. Los hechos que fundamentan la demanda de amparo, brevemente expuestos consisten en que, presentado recurso de apelación frente a la Sentencia de primera instancia, fue tenido por interpuesto por providencia de 23 de mayo de 1996 resuelto por la Sentencia ahora recurrida, desestimatoria del recurso. En esta Sentencia se expresaba que «dado que la pena que les viene impuesta con arreglo al Código vigente al tiempo de los hechos de autos (el 23 de febrero de 1995) puede igualmente ser impuesta con arreglo a los arts. 237 y 242.1 del Código Penal ahora vigente no se estima necesario hacer uso de la posibilidad prevista en el art. 2.2, en relación con las Disposiciones transitorias segunda y quinta -párrafo segundo-, inciso segundo del mismo Código y 9.3 de la Constitución, y ello habida cuenta además que aplicarse el Código Penal ahora vigente a los hechos enjuiciados, los condenados citados se verían privados de la redención de penas por el trabajo y ello por aplicación de dicha Disposición transitoria segunda» (fundamento jurídico 1.1).</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la demanda, se alega vulneración del derecho fundamental a la tutela judicial efectiva sin indefensión por cuanto la resolución recurrida se pronuncia sobre la aplicabilidad del Código Penal vigente, para descartarla, sin haber dado oportunidad a las partes de alegar sobre este extremo, a pesar de que dicho Código entró vigor con posterioridad a la providencia de 23 de mayo de 1996, que tuvo p interpuesto el recurso de apelación. A la </w:t>
      </w:r>
      <w:r>
        <w:lastRenderedPageBreak/>
        <w:t xml:space="preserve">vez, cuestiona el razonamiento de la Audiencia en cuanto a que no sería más beneficiosa la aplicación del nuevo Código Penal. </w:t>
      </w:r>
    </w:p>
    <w:p w:rsidR="00FA0779" w:rsidRDefault="00FA0779" w:rsidP="00FA0779">
      <w:pPr>
        <w:pStyle w:val="TextoNormal"/>
      </w:pPr>
      <w:r>
        <w:t>Mediante otrosí se solicita la suspensión de la ejecución de la condena, pues de la misma se podría derivar un perjuicio irreparable que haría perder al amparo su finalidad.</w:t>
      </w:r>
    </w:p>
    <w:p w:rsidR="00FA0779" w:rsidRDefault="00FA0779" w:rsidP="00FA0779">
      <w:pPr>
        <w:pStyle w:val="TextoNormal"/>
      </w:pPr>
    </w:p>
    <w:p w:rsidR="00FA0779" w:rsidRDefault="00FA0779" w:rsidP="00FA0779">
      <w:pPr>
        <w:pStyle w:val="TextoNormal"/>
      </w:pPr>
      <w:r w:rsidRPr="00FA0779">
        <w:rPr>
          <w:rStyle w:val="NumeroAFNegritaCaracter"/>
        </w:rPr>
        <w:t>4</w:t>
      </w:r>
      <w:r>
        <w:t>. Tras solicitar, el 25 de noviembre de 1996, de la Audiencia Provincial Málaga la remisión de las actuaciones y acordar, por providencia de 24 de febrero de 1997, la apertura del trámite previsto en el art. 50.3 LOTC, mediante providencia de 21 de abril de 1997, la Sección Primera de este Tribunal acordó admitir a trámite al demanda de amparo y, a tenor de lo dispuesto en el art. 51 LOTC, requerir a los órganos judiciales que conocieron del asunto para que emplacen a cuantos fueron parte en el proceso judicial antecedente excepto al recurrente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Por otra providencia de esa misma fecha, se acordó tener por formada pieza de suspensión y, a tenor de lo dispuesto en el art. 56 de la LOTC, conceder un plazo de tres días al Ministerio Fiscal y al solicitante del amparo para que formulen las alegaciones que estimen pertinentes sobre la suspensión solicitada.</w:t>
      </w:r>
    </w:p>
    <w:p w:rsidR="00FA0779" w:rsidRDefault="00FA0779" w:rsidP="00FA0779">
      <w:pPr>
        <w:pStyle w:val="TextoNormal"/>
      </w:pPr>
    </w:p>
    <w:p w:rsidR="00FA0779" w:rsidRDefault="00FA0779" w:rsidP="00FA0779">
      <w:pPr>
        <w:pStyle w:val="TextoNormal"/>
      </w:pPr>
      <w:r w:rsidRPr="00FA0779">
        <w:rPr>
          <w:rStyle w:val="NumeroAFNegritaCaracter"/>
        </w:rPr>
        <w:t>6</w:t>
      </w:r>
      <w:r>
        <w:t>. Por escrito presentado el día 5 de mayo de 1997, el demandante de amparo formuló sus alegaciones, justificando la procedencia de la suspensión de la resolución recurrida en que la ejecución de una pena privativa de libertad haría perder al amparo su finalidad. Añade que la admisión a trámite de la demanda se convierte en dato y en un juicio de previsibilidad sobre una posible o, incluso, probable estimación de la demanda</w:t>
      </w:r>
    </w:p>
    <w:p w:rsidR="00FA0779" w:rsidRDefault="00FA0779" w:rsidP="00FA0779">
      <w:pPr>
        <w:pStyle w:val="TextoNormal"/>
      </w:pPr>
    </w:p>
    <w:p w:rsidR="00FA0779" w:rsidRDefault="00FA0779" w:rsidP="00FA0779">
      <w:pPr>
        <w:pStyle w:val="TextoNormal"/>
      </w:pPr>
      <w:r w:rsidRPr="00FA0779">
        <w:rPr>
          <w:rStyle w:val="NumeroAFNegritaCaracter"/>
        </w:rPr>
        <w:t>7</w:t>
      </w:r>
      <w:r>
        <w:t>. Por escrito presentado el 8 de mayo de 1997, el Fiscal interesó que, de acuerdo con el art. 56 LOTC, se accediese parcialmente a la suspensión solicitada, pues de cumplirse la sanción de privación de libertad, se produciría un perjuicio que haría perder al amparo su finalidad, por lo que procede la suspensión de las penas de prisión menor y las accesorias de suspensión de todo cargo público sufragio. Contrariamente, interesa la no suspensión de la condena al pago de las costas, dado su carácter meramente pecuniario.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 solicita por el demandante de amparo la suspensión de una resolución judicial que le confirma sendas penas de privación de libertad de tres años de prisión menor y accesoria de suspensión de todo cargo público y del derecho de sufragio durante el tiempo de la misma, así como la condena al pago de las costas causadas. Entienden que, de no acordarse la suspensión, el perjuicio sería irreparable, haciendo perder al amparo su finalidad.</w:t>
      </w:r>
    </w:p>
    <w:p w:rsidR="00FA0779" w:rsidRDefault="00FA0779" w:rsidP="00FA0779">
      <w:pPr>
        <w:pStyle w:val="TextoNormal"/>
      </w:pPr>
      <w:r>
        <w:t>El Ministerio Fiscal interesa una suspensión parcial, que se extienda a las penas privativas de libertad y accesoria, pues su cumplimiento haría perder al amparo su finalidad, pero que no afecte al pago de las costas.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De conformidad con el art. 56 LOTC, procede la suspensión del acto de los poderes públicos por razón del cual se reclame el amparo constitucional cuando la ejecución hubiere de ocasionar un perjuicio que haría perder al amparo su finalidad. No obstante, podrá </w:t>
      </w:r>
      <w:r>
        <w:lastRenderedPageBreak/>
        <w:t>denegarse cuando de ella pueda seguirse perturbación grave de los intereses generales, o de los derechos fundamentales o libertades públicas de un tercero.</w:t>
      </w:r>
    </w:p>
    <w:p w:rsidR="00FA0779" w:rsidRDefault="00FA0779" w:rsidP="00FA0779">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FA0779" w:rsidRDefault="00FA0779" w:rsidP="00FA0779">
      <w:pPr>
        <w:pStyle w:val="TextoNormal"/>
      </w:pPr>
      <w:r>
        <w:t>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FA0779" w:rsidRDefault="00FA0779" w:rsidP="00FA0779">
      <w:pPr>
        <w:pStyle w:val="TextoNormal"/>
      </w:pPr>
    </w:p>
    <w:p w:rsidR="00FA0779" w:rsidRDefault="00FA0779" w:rsidP="00FA0779">
      <w:pPr>
        <w:pStyle w:val="TextoNormal"/>
      </w:pPr>
      <w:r w:rsidRPr="00FA0779">
        <w:rPr>
          <w:rStyle w:val="NumeroAFNegritaCaracter"/>
        </w:rPr>
        <w:t>3</w:t>
      </w:r>
      <w:r>
        <w:t>.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116/1990, 120/1993 ó 169/1995). Pero, aun en estos casos, también se ha declarado que «ello no es necesariamente así en todos los supuestos porque ambos valores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00FA0779" w:rsidRDefault="00FA0779" w:rsidP="00FA0779">
      <w:pPr>
        <w:pStyle w:val="TextoNormal"/>
      </w:pPr>
      <w:r>
        <w:t>Por otra parte, como también ha declarado este Tribunal, la suspensión de las penas privativas de libertad debe extenderse a sus accesorias de suspensión de cargo público y derecho de sufragio, por su accesoriedad e irreparabilidad, siempre que no existan circunstancias que exijan un diferente pronunciamiento (ATC 256/1996).</w:t>
      </w:r>
    </w:p>
    <w:p w:rsidR="00FA0779" w:rsidRDefault="00FA0779" w:rsidP="00FA0779">
      <w:pPr>
        <w:pStyle w:val="TextoNormal"/>
      </w:pPr>
      <w:r>
        <w:t>Contrariamente, se ha entendido que las resoluciones judiciales con efectos meramente económicos, en principio, no causan perjuicios irreparables, por lo que no procede su suspensión (AATC 275/1990 ó 66/199l).</w:t>
      </w:r>
    </w:p>
    <w:p w:rsidR="00FA0779" w:rsidRDefault="00FA0779" w:rsidP="00FA0779">
      <w:pPr>
        <w:pStyle w:val="TextoNormal"/>
      </w:pPr>
    </w:p>
    <w:p w:rsidR="00FA0779" w:rsidRDefault="00FA0779" w:rsidP="00FA0779">
      <w:pPr>
        <w:pStyle w:val="TextoNormal"/>
      </w:pPr>
      <w:r w:rsidRPr="00FA0779">
        <w:rPr>
          <w:rStyle w:val="NumeroAFNegritaCaracter"/>
        </w:rPr>
        <w:t>4</w:t>
      </w:r>
      <w:r>
        <w:t>. En este caso, de conformidad con lo interesado por el Ministerio Fiscal, y sin que ello suponga en modo alguno prejuzgar el sentido de la resolución que sobre el fondo habrá de dictar este Tribunal, procede acordar la suspensión parcial de la resolución recurrida. Debe suspenderse la ejecución de las penas de prisión menor y accesoria de suspensión de todo cargo público y del derecho de sufragio, pues no se aprecia en este caso ninguna circunstancia que pueda justificar un sacrificio de la libertad personal o de los derechos que se ven suspendidos por la accesoria. Contrariamente, dado su carácter meramente pecuniario, no procede la suspensión del pago de las costas, por lo que debe prevalecer el interés general insito en el cumplimiento de las resoluciones judiciales, que dota de efectividad a la tutela judicial.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estimar parcialmente la petición de suspensión, ordenando la suspensión de la ejecución de la Sentencia de 15 de julio de 1996, de la Audiencia Provincial de Málaga, sólo en lo relativo a la imposición de penas de</w:t>
      </w:r>
    </w:p>
    <w:p w:rsidR="00FA0779" w:rsidRDefault="00FA0779" w:rsidP="00FA0779">
      <w:pPr>
        <w:pStyle w:val="TextoNormal"/>
      </w:pPr>
      <w:r>
        <w:t>prisión menor y accesoria de suspensión de todo cargo público y derecho de sufragio al demandante de amparo.</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4" w:name="AUTO_1997_201"/>
      <w:r>
        <w:lastRenderedPageBreak/>
        <w:t>AUTO 201/1997, de 4 de junio de 1997</w:t>
      </w:r>
    </w:p>
    <w:bookmarkEnd w:id="134"/>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ECLI:ES:TC:1997:201A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en el recurso de amparo 3.531/1996, promovido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5" w:name="AUTO_1997_202"/>
      <w:r>
        <w:lastRenderedPageBreak/>
        <w:t>AUTO 202/1997, de 4 de junio de 1997</w:t>
      </w:r>
    </w:p>
    <w:bookmarkEnd w:id="135"/>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ECLI:ES:TC:1997:202A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3.826/1996.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presentado en el Juzgado de Guardia el 22 de octubre de 1996 y registrado en este Tribunal dos días después, el Procurador de los Tribunales don Raúl Martínez Ostenero, en nombre y representación de don Pablo Augusto Velasco Ruiz y don Juan Alejandro Velasco Ruiz, interpuso recurso de amparo contra las Sentencias del Juzgado de lo Penal núm. 26 de Madrid, de 2 de octubre de 1995 y de la Sección Decimoséptima de la Audiencia Provincial de Madrid, de 20 de junio de 1996, dictadas en primera instancia y apelación, respectivamente, en un proceso penal por delito de lesiones.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basa, en síntesis, en los siguientes hechos: </w:t>
      </w:r>
    </w:p>
    <w:p w:rsidR="00FA0779" w:rsidRDefault="00FA0779" w:rsidP="00FA0779">
      <w:pPr>
        <w:pStyle w:val="TextoNormal"/>
      </w:pPr>
      <w:r>
        <w:t xml:space="preserve">a) A causa de una discusión en una discoteca de Madrid en la que resultaron heridos dos jóvenes, se abrieron por el Juzgado de Instrucción núm. 27 de Madrid diligencias previas (núm. 2.241/93) por presuntos delitos de lesiones contra los actuales demandantes de amparo y otra persona, en el transcurso de las cuales se practicaron una serie de ruedas de reconocimiento, frente a las que aquéllos formularon protesta por supuestas irregularidades causantes de indefensión. Tales diligencias serían luego transformadas en procedimiento abreviado (núm. 173/94). </w:t>
      </w:r>
    </w:p>
    <w:p w:rsidR="00FA0779" w:rsidRDefault="00FA0779" w:rsidP="00FA0779">
      <w:pPr>
        <w:pStyle w:val="TextoNormal"/>
      </w:pPr>
      <w:r>
        <w:t xml:space="preserve">b) El enjuiciamiento de los hechos correspondió al Juzgado de lo Penal núm. 26 de Madrid, que el 2 de octubre de 1995, dictó Sentencia por la que condenaba a Juan Alejandro Velasco Ruiz como autor responsable de un delito de lesiones del art. 420 C.P. y de otro delito de lesiones de los arts. 420 y 421.1.º C.P., con la concurrencia de la circunstancia atenuante de menor edad, a las penas de cinco meses de arresto mayor y un año de prisión menor, respectivamente, con accesorias y costas; y a Pablo Augusto Velasco Ruiz, como autor responsable de dos delitos de lesiones del art. 420 C.P., sin el concurso de circunstancias atenuantes, a sendas penas de un año de prisión menor, con accesorias y costas; asimismo, ambos fueron condenados a pagar conjunta y solidariamente unas indemnizaciones de 400.0000 pesetas y 340.000 pesetas a los: lesionados. </w:t>
      </w:r>
    </w:p>
    <w:p w:rsidR="00FA0779" w:rsidRDefault="00FA0779" w:rsidP="00FA0779">
      <w:pPr>
        <w:pStyle w:val="TextoNormal"/>
      </w:pPr>
      <w:r>
        <w:t xml:space="preserve">c) Contra dicha Sentencia se interpuso recurso de apelación tanto por los condenados y actuales demandantes de amparo como por los acusadores particulares. Aquéllos, además, </w:t>
      </w:r>
      <w:r>
        <w:lastRenderedPageBreak/>
        <w:t xml:space="preserve">se adhirieron al interpuesto por uno de estos últimos, añadiendo un nuevo motivo de apelación a los ya formulados. </w:t>
      </w:r>
    </w:p>
    <w:p w:rsidR="00FA0779" w:rsidRDefault="00FA0779" w:rsidP="00FA0779">
      <w:pPr>
        <w:pStyle w:val="TextoNormal"/>
      </w:pPr>
      <w:r>
        <w:t xml:space="preserve">De dichos recursos conoció la Sección Decimoséptima de la Audiencia Provincial de Madrid (rollo 63/96), que (después de no haber considerado en principio pertinente la celebración de vista, acordarla luego y suspender su celebración una vez) el 20 de junio de 1996 dictó Sentencia por la que, estimando los recursos interpuestos por los acusadores particulares y desestimando el interpuesto por los actuales demandantes de amparo, revocó parcialmente la de instancia, elevando las penas impuestas a estos últimos en los siguientes términos: Se condenaba «a Juan Alejandro Velasco Ruiz como autor penalmente responsable, con la concurrencia de la circunstancias agravante de abuso de superioridad y la atenuante de minoría de edad penal, de dos delitos de lesiones, tipificados en el art. 421.1.º, en relación con el art. 420 del derogado Código Penal, a sendas penas de un año de prisión menor, con sus accesorias correspondientes; y a Pablo Augusto Velasco Ruiz, como autor penalmente responsable, con la concurrencia de la referida agravante, de dos delitos de lesiones, previstos y penados en el art. 421.1.º, en relación con el art. 420, todos ellos del derogado Código Penal, y en el párrafo primero de este último artículo, respectivamente, a las penas, por cada uno de ellos, de cuatro años, dos meses y un día de prisión menor, con iguales accesorias». Se confirmaba en lo demás la Sentencia de instancia, y no se hacía imposición de costas en la apelación. </w:t>
      </w:r>
    </w:p>
    <w:p w:rsidR="00FA0779" w:rsidRDefault="00FA0779" w:rsidP="00FA0779">
      <w:pPr>
        <w:pStyle w:val="TextoNormal"/>
      </w:pPr>
      <w:r>
        <w:t>d) Mediante escrito de 28 de septiembre de 1996 los hoy demandantes de amparo presentaron solicitud de aclaración y, en su caso, corrección de dicha Sentencia, al amparo del art. 267 L.O.P.J., que no había sido todavía resuelto a la fecha de interposición del presente recurso.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Los recurrentes alegan, en síntesis, las siguientes lesiones constitucionales: </w:t>
      </w:r>
    </w:p>
    <w:p w:rsidR="00FA0779" w:rsidRDefault="00FA0779" w:rsidP="00FA0779">
      <w:pPr>
        <w:pStyle w:val="TextoNormal"/>
      </w:pPr>
      <w:r>
        <w:t xml:space="preserve">A) En relación con la Sentencia de instancia: a) Vulneración de la prohibición constitucional de la prueba ilícitamente obtenida, por la nulidad de las ruedas de reconocimiento celebradas durante la instrucción. b) Vulneración del derecho a la tutela judicial efectiva, por la apreciación en los fundamentos de Derecho de una circunstancia agravatoria no recogida en el relato de hechos probados. c) Nueva vulneración de este derecho y del principio de igualdad, por no analizarse ni tenerse en cuenta en dicha Sentencia la prueba de descargo. </w:t>
      </w:r>
    </w:p>
    <w:p w:rsidR="00FA0779" w:rsidRDefault="00FA0779" w:rsidP="00FA0779">
      <w:pPr>
        <w:pStyle w:val="TextoNormal"/>
      </w:pPr>
      <w:r>
        <w:t xml:space="preserve">B) En relación con la Sentencia dictada en apelación: a) Creación de indefensión, por la apreciación de hechos no declarados probados ni en primera ni en segunda instancia para estimar la concurrencia de una circunstancia agravante. b) Vulneración del derecho a la tutela judicial efectiva, por la no resolución de las pretensiones contenidas en el recurso de apelación por ellos interpuesto. c) Nueva vulneración de este derecho, por la no aplicación de oficio de preceptos legales de carácter imperativo (las disposiciones transitorias segunda y duodécima del nuevo Código Penal, aprobado por Ley Orgánica 10/1995, de 23 de noviembre). </w:t>
      </w:r>
    </w:p>
    <w:p w:rsidR="00FA0779" w:rsidRDefault="00FA0779" w:rsidP="00FA0779">
      <w:pPr>
        <w:pStyle w:val="TextoNormal"/>
      </w:pPr>
      <w:r>
        <w:t xml:space="preserve">Por todo ello, se solicita en la demanda el otorgamiento del amparo, que se declare la nulidad de las resoluciones recurridas, así como de las diligencias de reconocimiento en rueda practicadas en la instrucción, y que se ordene reponer las actuaciones al momento previo a la celebración del juicio oral. </w:t>
      </w:r>
    </w:p>
    <w:p w:rsidR="00FA0779" w:rsidRDefault="00FA0779" w:rsidP="00FA0779">
      <w:pPr>
        <w:pStyle w:val="TextoNormal"/>
      </w:pPr>
      <w:r>
        <w:t>Mediante otrosí se solicita también la suspensión de la ejecución de la Sentencia dictada en apelación por la Audiencia Provincial de Madrid, puesto que la misma generaría a los recurrentes un evidente perjuicio, como sería su ingreso en prisión, que haría perder al amparo su finalidad.</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23 de enero de 1997 se recibió en este Tribunal el testimonio requerido de lo actuado en el rollo de apelación núm. 63/96, con posterioridad a la interposición del recurso de amparo, del que resulta que la Sección Decimoséptima de la Audiencia Provincial de Madrid resolvió la solicitud de aclaración mediante Auto de 14 de octubre de 1996, accediendo a la corrección interesada. </w:t>
      </w:r>
    </w:p>
    <w:p w:rsidR="00FA0779" w:rsidRDefault="00FA0779" w:rsidP="00FA0779">
      <w:pPr>
        <w:pStyle w:val="TextoNormal"/>
      </w:pPr>
      <w:r>
        <w:t>Advertido el error material padecido, mediante dicho Auto se rectifica la Sentencia dictada en apelación en el sentido siguiente: «al condenado Pablo Augusto Velasco Ruiz le será impuesta, además de la pena de cuatro años, dos meses y un día de prisión menor por el primero de los delitos, la pena de dos años, cuatro meses y un día de prisión menor por el segundo de los delitos, con iguales accesorias, permaneciendo inalterados los demás términos de la Sentencia».</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23 de abril de 1997, la Sección Segunda de este Tribunal acordó tener por recibido el testimonio remitido por la Audiencia Provincial de Madrid; admitir a trámite la demanda de amparo, sin perjuicio de lo que resulte de los antecedentes; a tenor de lo dispuesto en el art. 51 LOTC, requerir atentamente a la Audiencia Provincial de Madrid y al Juzgado de lo Penal núm. 26 de la misma ciudad para que remitieran testimonio del rollo de apelación núm. 63/96 y del procedimiento penal abreviado núm. 173/94, respectivamente, interesando, al propio tiempo, el emplazamiento de cuantos fueron parte en el procedimiento judicial, excepto los recurrentes en amparo, para su posible comparecencia en el presente proceso constitucional; y, conforme a lo solicitado por la parte actora, formar la correspondiente pieza separada de suspensión.</w:t>
      </w:r>
    </w:p>
    <w:p w:rsidR="00FA0779" w:rsidRDefault="00FA0779" w:rsidP="00FA0779">
      <w:pPr>
        <w:pStyle w:val="TextoNormal"/>
      </w:pPr>
    </w:p>
    <w:p w:rsidR="00FA0779" w:rsidRDefault="00FA0779" w:rsidP="00FA0779">
      <w:pPr>
        <w:pStyle w:val="TextoNormal"/>
      </w:pPr>
      <w:r w:rsidRPr="00FA0779">
        <w:rPr>
          <w:rStyle w:val="NumeroAFNegritaCaracter"/>
        </w:rPr>
        <w:t>6</w:t>
      </w:r>
      <w:r>
        <w:t>. Por providencia de la misma fecha, la Sección Segunda acordó tener por formada la presente pieza separada de suspensión y, de conformidad con lo previsto en el art. 56 LOTC, conceder al Ministerio Fiscal y a los solicitantes de amparo un plazo común de tres días para alegaciones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Mediante escrito presentado en el Juzgado de Guardia el 29 de abril de 1997 y registrado en este Tribunal el 5 de mayo siguiente, la representación de los recurrentes reiteró su solicitud de suspensión de la ejecución de la pena privativa de libertad contenida en las resoluciones judiciales objeto del presente recurso, por las siguientes razones: </w:t>
      </w:r>
    </w:p>
    <w:p w:rsidR="00FA0779" w:rsidRDefault="00FA0779" w:rsidP="00FA0779">
      <w:pPr>
        <w:pStyle w:val="TextoNormal"/>
      </w:pPr>
      <w:r>
        <w:t xml:space="preserve">a) La situación personal de los recurrentes durante el procedimiento penal ha sido la de libertad sin fianza, sin que en momento alguno los órganos judiciales hayan creído necesario o conveniente la adopción de medidas cautelares en dicho ámbito. Está asimismo acreditado que los recurrentes han estado en todo momento a disposición de tales órganos, sin haber intentado sustraerse a la acción de la Justicia, por lo que no existe riesgo alguno de que, llegado el caso, dejaran de cumplir las penas privativas de libertad. </w:t>
      </w:r>
    </w:p>
    <w:p w:rsidR="00FA0779" w:rsidRDefault="00FA0779" w:rsidP="00FA0779">
      <w:pPr>
        <w:pStyle w:val="TextoNormal"/>
      </w:pPr>
      <w:r>
        <w:t>b) Por contra, la ejecución de dichas penas dañaría irremediablemente el interés de los recurrentes, dada la naturaleza del bien en juego y la duración media en la tramitación y resolución de los recursos de amparo.</w:t>
      </w:r>
    </w:p>
    <w:p w:rsidR="00FA0779" w:rsidRDefault="00FA0779" w:rsidP="00FA0779">
      <w:pPr>
        <w:pStyle w:val="TextoNormal"/>
      </w:pPr>
    </w:p>
    <w:p w:rsidR="00FA0779" w:rsidRDefault="00FA0779" w:rsidP="00FA0779">
      <w:pPr>
        <w:pStyle w:val="TextoNormal"/>
      </w:pPr>
      <w:r w:rsidRPr="00FA0779">
        <w:rPr>
          <w:rStyle w:val="NumeroAFNegritaCaracter"/>
        </w:rPr>
        <w:t>8</w:t>
      </w:r>
      <w:r>
        <w:t xml:space="preserve">. Mediante escrito registrado el 7 de mayo de 1997, el Ministerio Fiscal entiende que, en aplicación de la doctrina de este Tribunal, procede: </w:t>
      </w:r>
    </w:p>
    <w:p w:rsidR="00FA0779" w:rsidRDefault="00FA0779" w:rsidP="00FA0779">
      <w:pPr>
        <w:pStyle w:val="TextoNormal"/>
      </w:pPr>
      <w:r>
        <w:lastRenderedPageBreak/>
        <w:t xml:space="preserve">a) Suspender la ejecución de las penas privativas de libertad impuestas, así como de sus accesorias legales, por cuanto de no hacerse así y el presente recurso de amparo se estimara, su objeto quedaría desprovisto de virtualidad. </w:t>
      </w:r>
    </w:p>
    <w:p w:rsidR="00FA0779" w:rsidRDefault="00FA0779" w:rsidP="00FA0779">
      <w:pPr>
        <w:pStyle w:val="TextoNormal"/>
      </w:pPr>
      <w:r>
        <w:t xml:space="preserve">Alega, al respecto, que los delitos de lesiones de los arts. 420 y 421.1.º del Código Penal de 1973, por los que han sido condenados los ahora demandantes de amparo, no constituyen ilícitos que revelen una notoria gravedad ni que hayan generado una especial alarma social en su comisión. La carencia de antecedentes penales en ambos acusados y la concurrencia de una circunstancia atenuante de minoría de edad en uno de ellos, permiten afirmar que tampoco se aprecia en los mismos una especial predisposición a este tipo de hechos delictivos. Por otro lado, en lo que atañe a la duración de las penas impuestas, a su juicio tampoco puede reputarse que sean de excesiva duración, teniendo en cuenta la doctrina precedentemente establecida (AATC 289/1995, 301/1995 y 322/1995, entre otros), por lo que de no concederse la suspensión pudiera devenir con notable probabilidad, la ineficacia práctica del amparo. </w:t>
      </w:r>
    </w:p>
    <w:p w:rsidR="00FA0779" w:rsidRDefault="00FA0779" w:rsidP="00FA0779">
      <w:pPr>
        <w:pStyle w:val="TextoNormal"/>
      </w:pPr>
      <w:r>
        <w:t>b) No suspender los pronunciamientos relativos al pago de las responsabilidades civiles y abono de las costas.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FA0779" w:rsidRDefault="00FA0779" w:rsidP="00FA0779">
      <w:pPr>
        <w:pStyle w:val="TextoNormal"/>
      </w:pPr>
      <w:r>
        <w:t>Conforme a tal criterio interpretativo,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la regla general viene siendo la suspensión de su ejecución, por la irreparabilidad del perjuicio que ocasionaría su cumplimiento durante la tramitación del recurso de amparo si finalmente éste se otorgara, aun cuando caben excepciones atendiendo a la gravedad de los hechos y a la duración de la pena impuesta. Del mismo modo, se suele acceder a la suspensión de las penas accesorias legales de las privativas de libertad durante el tiempo de la condena, por entender que han de seguir la misma suerte que la pena principal a la que acompañan.</w:t>
      </w:r>
    </w:p>
    <w:p w:rsidR="00FA0779" w:rsidRDefault="00FA0779" w:rsidP="00FA0779">
      <w:pPr>
        <w:pStyle w:val="TextoNormal"/>
      </w:pPr>
      <w:r>
        <w:t xml:space="preserve">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indemnizaciones y condenas en costas. Dicha regla presenta, sin embargo, una excepción en aquellos supuestos en los que, por razón de la cuantía de la </w:t>
      </w:r>
      <w:r>
        <w:lastRenderedPageBreak/>
        <w:t>condena pecuniaria o por las circunstancias que concurran en el caso, su cumplimiento podría ocasionar daños irreparables, los cuales, no obstante, habrán de ser siempre acreditados, cuando menos mediante un principio razonable de prueba (AATC 321/1995, 118/1996, 121/1996 y 122/1996).</w:t>
      </w:r>
    </w:p>
    <w:p w:rsidR="00FA0779" w:rsidRDefault="00FA0779" w:rsidP="00FA0779">
      <w:pPr>
        <w:pStyle w:val="TextoNormal"/>
      </w:pPr>
    </w:p>
    <w:p w:rsidR="00FA0779" w:rsidRDefault="00FA0779" w:rsidP="00FA0779">
      <w:pPr>
        <w:pStyle w:val="TextoNormal"/>
      </w:pPr>
      <w:r w:rsidRPr="00FA0779">
        <w:rPr>
          <w:rStyle w:val="NumeroAFNegritaCaracter"/>
        </w:rPr>
        <w:t>2</w:t>
      </w:r>
      <w:r>
        <w:t>. Aplicando los anteriores criterios al caso presente, procede acordar la suspensión de la ejecución de la Sentencias impugnadas (incluida la corrección de la última por Auto de 14 de octubre de 1996) por lo que respecta a las penas privativas de libertad impuestas a los demandantes de amparo por la comisión de varios delitos de lesiones (dos penas de un año de prisión menor, a uno de ellos, y una pena de cuatro años, dos meses y un día, y otra de dos años, cuatro meses y un día, ambas de prisión menor, al otro), así como por lo que se refiere a las accesorias legales correspondientes, en cuanto han de seguir la suerte de las principales.</w:t>
      </w:r>
    </w:p>
    <w:p w:rsidR="00FA0779" w:rsidRDefault="00FA0779" w:rsidP="00FA0779">
      <w:pPr>
        <w:pStyle w:val="TextoNormal"/>
      </w:pPr>
      <w:r>
        <w:t>No es preciso, en cambio, hacer ningún pronunciamiento en relación con las responsabilidades civiles y costas de la instancia, pues, además de que por regla general no procede su suspensión, nada se solícita al respecto.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suspender la ejecución de las Sentencias del Juzgado de lo Penal núm. 26 de Madrid, de 2 de octubre de 1995, y de la Sección Decimoséptima de la Audiencia Provincial de Madrid, de 20 de junio de 1996 (corregida esta</w:t>
      </w:r>
    </w:p>
    <w:p w:rsidR="00FA0779" w:rsidRDefault="00FA0779" w:rsidP="00FA0779">
      <w:pPr>
        <w:pStyle w:val="TextoNormal"/>
      </w:pPr>
      <w:r>
        <w:t>última por Auto de 14 de octubre de 1996), en cuanto a las penas privativas de libertad impuestas a los demandantes de amparo y accesorias correspondientes.</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6" w:name="AUTO_1997_203"/>
      <w:r>
        <w:lastRenderedPageBreak/>
        <w:t>AUTO 203/1997, de 4 de junio de, 1997</w:t>
      </w:r>
    </w:p>
    <w:bookmarkEnd w:id="136"/>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ECLI:ES:TC:1997:203A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haber lugar al desistimiento del actor en el recurso de amparo 3.883/1996, promovido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7" w:name="AUTO_1997_204"/>
      <w:r>
        <w:lastRenderedPageBreak/>
        <w:t>AUTO 204/1997, de 4 de junio de 1997</w:t>
      </w:r>
    </w:p>
    <w:bookmarkEnd w:id="137"/>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ECLI:ES:TC:1997:204A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Declarando la falta de competencia del Tribunal Constitucional para conocer de la impugnación de la previa denegación del beneficio de pobreza solicitado por el actor en el recurso de amparo 3.984/1996.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medio de escrito registrado el día 6 de noviembre de 1996, don Jesús Crespo Aunes, en su propio nombre y derecho, y tras exponer las alegaciones que estimó convenientes, solicitó de este Tribunal que tuviera por anunciado en tiempo y forma recurso de amparo contra la Sentencia de la Audiencia Provincial de Zaragoza, de 11 de septiembre de 1996 (notificada el posterior 23 de septiembre). </w:t>
      </w:r>
    </w:p>
    <w:p w:rsidR="00FA0779" w:rsidRDefault="00FA0779" w:rsidP="00FA0779">
      <w:pPr>
        <w:pStyle w:val="TextoNormal"/>
      </w:pPr>
      <w:r>
        <w:t>En la súplica de dicho escrito manifestó lo siguiente: «... se me designe de oficio, previa concesión del beneficio de justicia gratuita, Procurador en (sic) los Tribunales y Abogado para representarme ...».</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Sección, mediante providencia de 21 de noviembre de 1996, acordó requerir al Juzgado Decano de Zaragoza para que comunicase la tramitación que se hubiera dado al expediente gubernativo núm. 641/96, al que había dado lugar la solicitud de designación de Abogado y Procurador de oficio instada por el señor Crespo Aunes ante dicho Juzgado, «así como que, en su día, deberá comunicar a este Tribunal la designación de colegiados que realicen los respectivos Colegios de Abogados y Procuradores». </w:t>
      </w:r>
    </w:p>
    <w:p w:rsidR="00FA0779" w:rsidRDefault="00FA0779" w:rsidP="00FA0779">
      <w:pPr>
        <w:pStyle w:val="TextoNormal"/>
      </w:pPr>
      <w:r>
        <w:t xml:space="preserve">A raíz de la formulación de dicho requerimiento, quedaron sucesivamente registrados en este Tribunal los siguientes documentos: </w:t>
      </w:r>
    </w:p>
    <w:p w:rsidR="00FA0779" w:rsidRDefault="00FA0779" w:rsidP="00FA0779">
      <w:pPr>
        <w:pStyle w:val="TextoNormal"/>
      </w:pPr>
      <w:r>
        <w:t xml:space="preserve">a) El 20 de diciembre de 1996, la negativa del Colegio de Abogados de Madrid a efectuar en favor del recurrente el nombramiento provisional de Abogado de oficio, «por entender este Ilustre Colegio de Abogados que no cumple las condiciones establecidas en la Ley 1/1996, habiéndose trasladado la misma a la Comisión de Asistencia Jurídica Gratuita». </w:t>
      </w:r>
    </w:p>
    <w:p w:rsidR="00FA0779" w:rsidRDefault="00FA0779" w:rsidP="00FA0779">
      <w:pPr>
        <w:pStyle w:val="TextoNormal"/>
      </w:pPr>
      <w:r>
        <w:t xml:space="preserve">b) El día 17 de enero de 1997, por último, la resolución dictada por la referida Comisión de Asistencia Jurídica Gratuita (C.A.J.G. en lo sucesivo), de fecha 6 de noviembre, en la que se acuerda confirmar la decisión provisional adoptada por el Colegio de Abogados y, en su consecuencia, «denegar el reconocimiento del derecho a la asistencia jurídica gratuita instado por el/la solicitante, por haber quedado acreditado que, los recursos e ingresos económicos del solicitante superan los establecidos en el art. 3 de la Ley 1/1996». </w:t>
      </w:r>
    </w:p>
    <w:p w:rsidR="00FA0779" w:rsidRDefault="00FA0779" w:rsidP="00FA0779">
      <w:pPr>
        <w:pStyle w:val="TextoNormal"/>
      </w:pPr>
      <w:r>
        <w:lastRenderedPageBreak/>
        <w:t>En el último apartado de la citada resolución se dice que la misma «podrá ser impugnada, dentro del plazo de los cinco días siguientes a su notificación, ante el órgano judicial que esté tramitando el proceso para el cual se solicitó el derecho a la asistencia gratuita, o ante el Juez Decano de la localidad si el proceso no se hubiera iniciado (art. 20 de la Ley 1/1996). El escrito de interposición del recurso podrá ser presentado ante la Secretaría de la Comisión de Asistencia Jurídica Gratuita».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31 de enero de 1997, la C.A.J.G. remitió a este Tribunal Constitucional un documento del siguiente tenor: </w:t>
      </w:r>
    </w:p>
    <w:p w:rsidR="00FA0779" w:rsidRDefault="00FA0779" w:rsidP="00FA0779">
      <w:pPr>
        <w:pStyle w:val="TextoNormal"/>
      </w:pPr>
      <w:r>
        <w:t xml:space="preserve">«Habiéndose recibido escrito por el que se impugna la resolución adoptada por esta Comisión respecto a la solicitud de asistencia jurídica gratuita instada por don Jesús Crespo Aunes, se remite el expediente original para que, según se determina en el art. 20 de la Ley 1/1996, ese órgano Judicial resuelva lo que en derecho proceda. </w:t>
      </w:r>
    </w:p>
    <w:p w:rsidR="00FA0779" w:rsidRDefault="00FA0779" w:rsidP="00FA0779">
      <w:pPr>
        <w:pStyle w:val="TextoNormal"/>
      </w:pPr>
      <w:r>
        <w:t xml:space="preserve">Ruego comunique a esta Comisión la resolución que se adopte». </w:t>
      </w:r>
    </w:p>
    <w:p w:rsidR="00FA0779" w:rsidRDefault="00FA0779" w:rsidP="00FA0779">
      <w:pPr>
        <w:pStyle w:val="TextoNormal"/>
      </w:pPr>
      <w:r>
        <w:t>Al transcrito documento se acompañó la totalidad del expediente administrativo a que había dado lugar la inicial solicitud de asistencia jurídica gratuita del recurrente.</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Mediante nueva providencia de 6 de febrero de 1997, la Sección acordó «conforme a lo dispuesto en el art. 20 de la Ley 1/1996, de 12 de enero, y art. 10 del Acuerdo del Pleno de este Tribunal, de 18 de junio pasado, dar vista de dicho expediente al Abogado del Estado por el plazo de tres días dentro de los cuales deberá formular las alegaciones que estime pertinentes conforme a lo dispuesto en el artículo 10.2 del indicado Acuerdo». </w:t>
      </w:r>
    </w:p>
    <w:p w:rsidR="00FA0779" w:rsidRDefault="00FA0779" w:rsidP="00FA0779">
      <w:pPr>
        <w:pStyle w:val="TextoNormal"/>
      </w:pPr>
      <w:r>
        <w:t>El Abogado del Estado formuló sus alegaciones a través de escrito registrado el 17 de febrero de 1997, en el cual se limitó exclusivamente a consignar «Que se atiene a lo resuelto por la Comisión de Asistencia Jurídica Gratuita en el sentido de no haberse acreditado la insuficiencia económica alegada».</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Por medio de nueva providencia de 26 de febrero de 1996, la Sección acordó «conceder un plazo de tres días al recurrente y al Abogado del Estado para que se pronuncien sobre la falta de competencia de este Tribunal en las presentes actuaciones, para conocer del recurso previsto en el art. 20 de la Ley 1/1996, de 10 de enero ( ... ) a la vista de lo dispuesto en los arts. 9 y 10 del Acuerdo de 18 de junio de 1996, del Pleno del Tribunal Constitucional». </w:t>
      </w:r>
    </w:p>
    <w:p w:rsidR="00FA0779" w:rsidRDefault="00FA0779" w:rsidP="00FA0779">
      <w:pPr>
        <w:pStyle w:val="TextoNormal"/>
      </w:pPr>
      <w:r>
        <w:t xml:space="preserve">En dicho trámite el Abogado del Estado, mediante escrito registrado el 5 de marzo de 1997, consideró que, ante la escasez de datos proporcionados por el recurrente sobre el objeto de su queja y sobre su situación económica, la competencia correspondería al Tribunal Constitucional si se hubiese acreditado el cumplimiento del requisito establecido en el art. 8 del Acuerdo de 18 de junio de 1996, lo que, al no haberse demostrado, motiva que la impugnación deba decaer «por no haberse acreditado la concurrencia de los presupuestos que determinan la competencia resolutoria del propio T.C.». </w:t>
      </w:r>
    </w:p>
    <w:p w:rsidR="00FA0779" w:rsidRDefault="00FA0779" w:rsidP="00FA0779">
      <w:pPr>
        <w:pStyle w:val="TextoNormal"/>
      </w:pPr>
      <w:r>
        <w:t>El escrito de alegaciones del recurrente quedó registrado el 18 de marzo de 1997, y en él manifestó desconocer la tramitación que ha de darse a su impugnación y la normativa atributiva de la competencia para resolver la misma.</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Tal y como ha quedado suficientemente reseñado en los antecedentes, don Jesús Crespo Aunes se dirigió a este Tribunal solicitando que le fuese nombrado Abogado y Procurador de oficio con el fin de interponer demanda de amparo contra la Sentencia dictada por la Audiencia Provincial de Zaragoza, de 11 de septiembre de 1996.</w:t>
      </w:r>
    </w:p>
    <w:p w:rsidR="00FA0779" w:rsidRDefault="00FA0779" w:rsidP="00FA0779">
      <w:pPr>
        <w:pStyle w:val="TextoNormal"/>
      </w:pPr>
      <w:r>
        <w:t>El procedimiento administrativo tendente a la obtención del reconocimiento en su favor del derecho a litigar gratuitamente finalizó mediante resolución denegatoria dictada por la C.A.J.G. de Madrid. Frente a dicha decisión, que fundamenta la negativa al reconocimiento del derecho en la obtención por parte del recurrente de un volumen de ingresos declarados superior al límite máximo fijado por la normativa vigente, éste interpuso la «impugnación» a que se refiere el art. 20 de la Ley 1/1996.</w:t>
      </w:r>
    </w:p>
    <w:p w:rsidR="00FA0779" w:rsidRDefault="00FA0779" w:rsidP="00FA0779">
      <w:pPr>
        <w:pStyle w:val="TextoNormal"/>
      </w:pPr>
      <w:r>
        <w:t>La Comisión remitió entonces a este Tribunal la totalidad del expediente, por entender que la competencia para enjuiciar dicha impugnación nos corresponde, atribución competencial ésta a cuyo favor también se han pronunciado, en el trámite de alegaciones habilitado por la Sección al efecto, tanto el Abogado del Estado como el propio recurrente.</w:t>
      </w:r>
    </w:p>
    <w:p w:rsidR="00FA0779" w:rsidRDefault="00FA0779" w:rsidP="00FA0779">
      <w:pPr>
        <w:pStyle w:val="TextoNormal"/>
      </w:pPr>
      <w:r>
        <w:t>En consecuencia, y con carácter previo a emitir cualquier pronunciamiento acerca del contenido de la impugnación formalizada por este último, ha de determinarse si el Tribunal Constitucional, a la luz de la Ley 1/1996 y de nuestro Acuerdo, de 18 de junio de 1996, ostenta o no la competencia requerida para llevar a cabo en el presente caso dicho enjuiciamiento.</w:t>
      </w:r>
    </w:p>
    <w:p w:rsidR="00FA0779" w:rsidRDefault="00FA0779" w:rsidP="00FA0779">
      <w:pPr>
        <w:pStyle w:val="TextoNormal"/>
      </w:pPr>
    </w:p>
    <w:p w:rsidR="00FA0779" w:rsidRDefault="00FA0779" w:rsidP="00FA0779">
      <w:pPr>
        <w:pStyle w:val="TextoNormal"/>
      </w:pPr>
      <w:r w:rsidRPr="00FA0779">
        <w:rPr>
          <w:rStyle w:val="NumeroAFNegritaCaracter"/>
        </w:rPr>
        <w:t>2</w:t>
      </w:r>
      <w:r>
        <w:t>. Es sabido que la Ley 1/1996, de 10 de enero, de Asistencia Jurídica Gratuita (L.A.J.G., en adelante), en radical contraste con el régimen netamente judicialista que se plasmaba en la ya derogada regulación de la Ley de Enjuiciamiento Civil (arts. 13 a 50), diseña un nuevo sistema de reconocimiento del derecho a litigar gratuitamente de carácter eminentemente administrativo, tanto por la naturaleza del procedimiento que ha de seguirse para la obtención de dicho reconocimiento, -el cual se rige supletoriamente por la Ley 30/1992, de Régimen Jurídico de las Administraciones Públicas y del Procedimiento Administrativo Común (art. 11.1 L.A.J.G.)-, como fundamentalmente por la composición de unos órganos de nuevo cuño -las Comisiones de Asistencia Jurídica Gratuita (art. 10 L.A.J.G.)- a los que el legislador ha conferido la competencia para pronunciarse definitivamente sobre todas las solicitudes que se promuevan al respecto.</w:t>
      </w:r>
    </w:p>
    <w:p w:rsidR="00FA0779" w:rsidRDefault="00FA0779" w:rsidP="00FA0779">
      <w:pPr>
        <w:pStyle w:val="TextoNormal"/>
      </w:pPr>
      <w:r>
        <w:t>La propia Exposición de Motivos de la Ley así lo pone de manifiesto en su apartado 5, al afirmar que el esencial propósito perseguido por el legislador en este campo ha sido el de la «desjudicialización» del procedimiento para reconocer el derecho a la asistencia jurídica gratuita, propósito que, sin embargo, y como no podía ser de otro modo a la luz del categórico mandato constitucional contenido en el art. 106.1 C.E., no ha impedido la instauración en la L.A.J.G. de un específico mecanismo de control judicial de la legalidad de las decisiones administrativas que dicten las Comisiones de Asistencia Jurídica Gratuita reconociendo o denegando el reconocimiento de este derecho asistencial.</w:t>
      </w:r>
    </w:p>
    <w:p w:rsidR="00FA0779" w:rsidRDefault="00FA0779" w:rsidP="00FA0779">
      <w:pPr>
        <w:pStyle w:val="TextoNormal"/>
      </w:pPr>
      <w:r>
        <w:t>Dicho mecanismo de control, al que se denomina simple y llanamente «impugnación», se encuentra regulado en el art. 20 L.A.J.G., precepto cuyos dos primeros párrafos rezan así:</w:t>
      </w:r>
    </w:p>
    <w:p w:rsidR="00FA0779" w:rsidRDefault="00FA0779" w:rsidP="00FA0779">
      <w:pPr>
        <w:pStyle w:val="TextoNormal"/>
      </w:pPr>
      <w:r>
        <w:t>«Quienes sean titulares de un derecho o de un interés legítimo podrán impugnar las resoluciones que, de modo definitivo, reconozcan o denieguen el derecho a la asistencia jurídica gratuita.</w:t>
      </w:r>
    </w:p>
    <w:p w:rsidR="00FA0779" w:rsidRDefault="00FA0779" w:rsidP="00FA0779">
      <w:pPr>
        <w:pStyle w:val="TextoNormal"/>
      </w:pPr>
      <w:r>
        <w:lastRenderedPageBreak/>
        <w:t>Tal impugnación, para la que no será preceptiva la intervención de Letrado, habrá de realizarse por escrito y de forma motivada, en el plazo de cinco días desde la notificación de la resolución o desde que haya sido conocida por cualquiera de los legitimados para interponerla, ante el Secretario de la Comisión de Asistencia Jurídica Gratuita. Éste remitirá el escrito de impugnación, junto con el expediente correspondiente a la resolución impugnada y una certificación de ésta, al Juzgado o Tribunal competente o al Juez Decano para su reparto, si el procedimiento no se hubiera iniciado.»</w:t>
      </w:r>
    </w:p>
    <w:p w:rsidR="00FA0779" w:rsidRDefault="00FA0779" w:rsidP="00FA0779">
      <w:pPr>
        <w:pStyle w:val="TextoNormal"/>
      </w:pPr>
      <w:r>
        <w:t>De conformidad, pues, con lo dispuesto en la transcrita norma, en lo relativo al reconocimiento o denegación del derecho a la asistencia jurídica gratuita las Comisiones administrativas del mismo nombre ostentan únicamente la «primera palabra», pues sus decisiones siempre podrán ser revisadas por un órgano judicial.</w:t>
      </w:r>
    </w:p>
    <w:p w:rsidR="00FA0779" w:rsidRDefault="00FA0779" w:rsidP="00FA0779">
      <w:pPr>
        <w:pStyle w:val="TextoNormal"/>
      </w:pPr>
    </w:p>
    <w:p w:rsidR="00FA0779" w:rsidRDefault="00FA0779" w:rsidP="00FA0779">
      <w:pPr>
        <w:pStyle w:val="TextoNormal"/>
      </w:pPr>
      <w:r w:rsidRPr="00FA0779">
        <w:rPr>
          <w:rStyle w:val="NumeroAFNegritaCaracter"/>
        </w:rPr>
        <w:t>3</w:t>
      </w:r>
      <w:r>
        <w:t>. En el presente caso, en el que el reconocimiento del derecho a la asistencia jurídica gratuita se ha solicitado con la exclusiva finalidad de interponer un recurso de amparo, la C.A.J.G. de Madrid ha entendido que el Tribunal Constitucional es, a los efectos del art. 20 L.A.J.G., el «Tribunal competente» para resolver la impugnación promovida frente a la denegación de la solicitud de justicia gratuita, postura que también comparten el Abogado del Estado y el propio recurrente.</w:t>
      </w:r>
    </w:p>
    <w:p w:rsidR="00FA0779" w:rsidRDefault="00FA0779" w:rsidP="00FA0779">
      <w:pPr>
        <w:pStyle w:val="TextoNormal"/>
      </w:pPr>
      <w:r>
        <w:t>Este Tribunal, sin embargo, por las razones que a continuación se detallan, carece de competencia para enjuiciar dicha concreta impugnación:</w:t>
      </w:r>
    </w:p>
    <w:p w:rsidR="00FA0779" w:rsidRDefault="00FA0779" w:rsidP="00FA0779">
      <w:pPr>
        <w:pStyle w:val="TextoNormal"/>
      </w:pPr>
      <w:r>
        <w:t>a) El art. 20 L.A.J.G., como con evidencia se desprende de su lectura, no ha otorgado la competencia judicial para conocer de las impugnaciones en él reguladas, ni a los Juzgados de lo Contencioso-Administrativo -como hubiera sido lo procedente en atención a la naturaleza de la decisión impugnada-, ni tampoco al Juzgado o Tribunal que vaya a conocer del asunto principal para cuya incoación se solicita el reconocimiento del derecho a litigar gratuitamente.</w:t>
      </w:r>
    </w:p>
    <w:p w:rsidR="00FA0779" w:rsidRDefault="00FA0779" w:rsidP="00FA0779">
      <w:pPr>
        <w:pStyle w:val="TextoNormal"/>
      </w:pPr>
      <w:r>
        <w:t>Antes, al contrario, la norma distingue en función de si el procedimiento principal se hubiere o no iniciado, asignando la competencia para revisar la decisión de la C.A.J.G., en el primer caso, al órgano judicial que ya esté conociendo del proceso para cuyo seguimiento se haya instado la concesión del derecho a la asistencia gratuita, y en el segundo, al Juzgado de Primera Instancia que, por turno de reparto, corresponda, al que el Juez Decano de la capital de provincia donde tenga su sede la C.A.J.G. autora de la resolución impugnada remitirá el expediente administrativo.</w:t>
      </w:r>
    </w:p>
    <w:p w:rsidR="00FA0779" w:rsidRDefault="00FA0779" w:rsidP="00FA0779">
      <w:pPr>
        <w:pStyle w:val="TextoNormal"/>
      </w:pPr>
      <w:r>
        <w:t>b) El problema planteado, por tanto, se centra en establecer si, en el presente caso, el escrito que don Jesús Crespo Aunes remitió a este Tribunal, en el que, en su propio nombre y derecho, se limita a anunciar su intención de interponer demanda de amparo frente a una determinada Sentencia dictada por la Audiencia Provincial de Zaragoza, y a solicitar que le sean nombrados Abogado y Procurador de oficio, posee o no la virtualidad suficiente para iniciar el procedimiento de amparo.</w:t>
      </w:r>
    </w:p>
    <w:p w:rsidR="00FA0779" w:rsidRDefault="00FA0779" w:rsidP="00FA0779">
      <w:pPr>
        <w:pStyle w:val="TextoNormal"/>
      </w:pPr>
      <w:r>
        <w:t>La contestación al referido interrogante ha de ser forzosamente negativa. De acuerdo con lo que establece el art. 49.1 LOTC, «el recurso de amparo constitucional se iniciará mediante demanda en la que se expondrá con claridad y concisión los hechos que la fundamenten, se citarán los preceptos constitucionales que se estimen infringidos y se fijará con precisión el amparo que se solicita para preservar o restablecer el derecho a la libertad que se considere vulnerado», demanda que habrá de formularse dentro de plazos de caducidad legalmente previstos (arts. 42, 43.2 y 44.2 LOTC), a la que deberán acompañarse determinados documentos (art. 49.2 LOTC) y que, en todo caso, tendrá que ir firmada por Abogado y Procurador (art. 81.1 LOTC).</w:t>
      </w:r>
    </w:p>
    <w:p w:rsidR="00FA0779" w:rsidRDefault="00FA0779" w:rsidP="00FA0779">
      <w:pPr>
        <w:pStyle w:val="TextoNormal"/>
      </w:pPr>
      <w:r>
        <w:lastRenderedPageBreak/>
        <w:t>Es pues, la interposición de un escrito de demanda en el que concurran los requisitos establecidos por la LOTC el único acto procesal capaz de producir la iniciación del procedimiento de amparo.</w:t>
      </w:r>
    </w:p>
    <w:p w:rsidR="00FA0779" w:rsidRDefault="00FA0779" w:rsidP="00FA0779">
      <w:pPr>
        <w:pStyle w:val="TextoNormal"/>
      </w:pPr>
      <w:r>
        <w:t>Así se desprende igualmente de lo dispuesto en los arts. 9 y 10.1 del antes citado Acuerdo Plenario de 18 de junio de 1996, preceptos ambos que predeterminan la competencia de este Tribunal para conocer de la impugnación contra la denegación del reconocimiento del derecho a litigar gratuitamente en el exclusivo supuesto en que la situación de insuficiencia económica sobrevenga con posterioridad a la interposición del recurso de amparo.</w:t>
      </w:r>
    </w:p>
    <w:p w:rsidR="00FA0779" w:rsidRDefault="00FA0779" w:rsidP="00FA0779">
      <w:pPr>
        <w:pStyle w:val="TextoNormal"/>
      </w:pPr>
      <w:r>
        <w:t>c) En el asunto que ahora nos ocupa, pues, al no revestir el escrito formulado por el recurrente los caracteres y requisitos de una auténtica demanda en el sentido de los arts. 49 y concordantes de la LOTC, es evidente que el procedimiento de amparo aún no ha sido iniciado. Dicho escrito, a lo sumo, podría equivaler a un mero «anuncio» del recurso, cuya virtualidad, tal y como se ha declarado en constante jurisprudencia respecto de los escritos dirigidos por los propios interesados a este Tribunal y que se limitan a solicitar el nombramiento de Abogado y Procurador (vgr. STC 270/1993 o ATC 633/1987, entre otras muchas), es la de interrumpir el plazo de caducidad legalmente previsto para el ejercicio de la acción de amparo, pero no conllevar su ejercicio mismo.</w:t>
      </w:r>
    </w:p>
    <w:p w:rsidR="00FA0779" w:rsidRDefault="00FA0779" w:rsidP="00FA0779">
      <w:pPr>
        <w:pStyle w:val="TextoNormal"/>
      </w:pPr>
    </w:p>
    <w:p w:rsidR="00FA0779" w:rsidRDefault="00FA0779" w:rsidP="00FA0779">
      <w:pPr>
        <w:pStyle w:val="TextoNormal"/>
      </w:pPr>
      <w:r w:rsidRPr="00FA0779">
        <w:rPr>
          <w:rStyle w:val="NumeroAFNegritaCaracter"/>
        </w:rPr>
        <w:t>4</w:t>
      </w:r>
      <w:r>
        <w:t>. En consecuencia, no habiéndose iniciado el procedimiento de amparo, este Tribunal, de conformidad con lo dispuesto en el art. 20 L.A.J.G., carece de competencia para enjuiciar la «impugnación» interpuesta por el recurrente contra la denegación de la solicitud de reconocimiento del derecho a la asistencia jurídica gratuita dictada por la C.A.J.G. de Madrid.</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w:t>
      </w:r>
    </w:p>
    <w:p w:rsidR="00FA0779" w:rsidRDefault="00FA0779" w:rsidP="00FA0779">
      <w:pPr>
        <w:pStyle w:val="TextoNormal"/>
      </w:pPr>
      <w:r>
        <w:t>1.º Declararse incompetente para el enjuiciamiento de la impugnación interpuesta por don Jesús Crespo Aunes contra la resolución de la Comisión de Asistencia Jurídica Gratuita de Madrid, el 13 de enero de 1997.</w:t>
      </w:r>
    </w:p>
    <w:p w:rsidR="00FA0779" w:rsidRDefault="00FA0779" w:rsidP="00FA0779">
      <w:pPr>
        <w:pStyle w:val="TextoNormal"/>
      </w:pPr>
      <w:r>
        <w:t>2.º Devolver a dicha Comisión las actuaciones que en su día fueron remitidas por la misma a este Tribunal.</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8" w:name="AUTO_1997_205"/>
      <w:r>
        <w:lastRenderedPageBreak/>
        <w:t>AUTO 205/1997, de 4 de junio de 1997</w:t>
      </w:r>
    </w:p>
    <w:bookmarkEnd w:id="138"/>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ECLI:ES:TC:1997:205A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condicionad de la ejecución del acto que origina el recurso de amparo 1.464/1997.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presentado en el Juzgado de Guardia el 7 de abril de 1997 y registrado en este Tribunal dos días después, el Procurador de los Tribunales don José Carlos Peñalver Garcerán, en nombre y representación de la entidad mercantil «Claudío Coello 40, S. L.», interpuso recurso de amparo contra la providencia del Juzgado de Primera Instancia núm. 4 de Ponferrada, de 7 de marzo de 1997, recaída en un proceso especial de ejecución del art. 131 L.H. y por la que se acuerda su lanzamiento de un local de negocios.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basa en las siguientes alegaciones de hecho: </w:t>
      </w:r>
    </w:p>
    <w:p w:rsidR="00FA0779" w:rsidRDefault="00FA0779" w:rsidP="00FA0779">
      <w:pPr>
        <w:pStyle w:val="TextoNormal"/>
      </w:pPr>
      <w:r>
        <w:t xml:space="preserve">a) El 10 de noviembre de 1995 don Miguel Muñagorri Laguía, en nombre y representación de la entidad «Claudio Coello, 40, S. L.» (actual demandante de amparo), suscribió con doña Alvarina Pérez Franco, en nombre y representación de la entidad «Luchani, S. L.», un contrato de traspaso de local de negocio y de industria de hostelería, en virtud del cual la primera de las mencionadas sociedades recibía el traspaso del local de negocios que esta última tenía arrendado en un inmueble sito en la localidad de Fabero de Bierzo (León), propiedad de don Luciano Carballo Rodríguez, esposo de doña Alvarina, y en el que se venía explotando el hotel «Verdinegro». Desde aquella fecha, la actual demandante de amparo continúa con la explotación del hotel. </w:t>
      </w:r>
    </w:p>
    <w:p w:rsidR="00FA0779" w:rsidRDefault="00FA0779" w:rsidP="00FA0779">
      <w:pPr>
        <w:pStyle w:val="TextoNormal"/>
      </w:pPr>
      <w:r>
        <w:t xml:space="preserve">b) Ese mismo año se había iniciado por parte del «Banco Español de Crédito, S. A.», y ante el Juzgado de Primera Instancia núm. 4 de Ponferrada, un procedimiento judicial sumario del art. 131 L.H. sobre el referido inmueble (procedimiento núm. 36/95), y en el cual los demandados eran don Luciano Carballo Rodríguez y doña Alvarina Pérez Franco, y del que resultó la adjudicación del mismo en favor de la entidad «SCI Gestión, S. A.». </w:t>
      </w:r>
    </w:p>
    <w:p w:rsidR="00FA0779" w:rsidRDefault="00FA0779" w:rsidP="00FA0779">
      <w:pPr>
        <w:pStyle w:val="TextoNormal"/>
      </w:pPr>
      <w:r>
        <w:t xml:space="preserve">c) A consecuencia de dicha adjudicación, el 7 de febrero de 1997, la entidad hoy demandante de amparo fue requerida por cédula para el desalojo del local, con apercibimiento de lanzamiento, tras de lo cual compareció ante el Juzgado para aportar copia del contrato de traspaso del local y solicitar que se paralizara la ejecución. </w:t>
      </w:r>
    </w:p>
    <w:p w:rsidR="00FA0779" w:rsidRDefault="00FA0779" w:rsidP="00FA0779">
      <w:pPr>
        <w:pStyle w:val="TextoNormal"/>
      </w:pPr>
      <w:r>
        <w:t xml:space="preserve">d) El 7 de marzo de 1997 el Juzgado dictó providencia declarando no haber lugar a lo solicitado y señalando como fecha para la práctica de la diligencia de lanzamiento el 10 de abril de 1997. </w:t>
      </w:r>
    </w:p>
    <w:p w:rsidR="00FA0779" w:rsidRDefault="00FA0779" w:rsidP="00FA0779">
      <w:pPr>
        <w:pStyle w:val="TextoNormal"/>
      </w:pPr>
      <w:r>
        <w:lastRenderedPageBreak/>
        <w:t xml:space="preserve">e) Mediante escrito presentado en el Juzgado el 20 de marzo de 1997 la actual demandante de amparo se personó en el procedimiento hipotecario e interpuso recurso de reposición contra la indicada providencia de 7 de marzo, aduciendo vulneración del art. 24.1 C.E. </w:t>
      </w:r>
    </w:p>
    <w:p w:rsidR="00FA0779" w:rsidRDefault="00FA0779" w:rsidP="00FA0779">
      <w:pPr>
        <w:pStyle w:val="TextoNormal"/>
      </w:pPr>
      <w:r>
        <w:t xml:space="preserve">f) El día 21 de marzo de 1997 el Juzgado dictó providencia acordando que se le devolviera el indicado recurso por no haber sido parte en el procedimiento, sin perjuicio de la posibilidad de utilizar las facultades que confiere el art. 132 L.H. </w:t>
      </w:r>
    </w:p>
    <w:p w:rsidR="00FA0779" w:rsidRDefault="00FA0779" w:rsidP="00FA0779">
      <w:pPr>
        <w:pStyle w:val="TextoNormal"/>
      </w:pPr>
      <w:r>
        <w:t>g) Contra dicha providencia volvió a interponer recurso de reposición, otra vez con invocación del art. 24.1 C.E., que fue nuevamente devuelto por providencia de 31 de marzo de 1997.</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demandante de amparo considera que las resoluciones judiciales impugnadas han vulnerado su derecho a la tutela judicial efectiva sin indefensión (art. 24.1 C.E.), al acordar su lanzamiento del local de negocios que había recibido en traspaso en virtud de un procedimiento hipotecario en el que no había sido llamada a ser parte, y al impedirle su personación posterior en el mismo. Invoca en su apoyo las SSTC 6/1992 y 21/1995. </w:t>
      </w:r>
    </w:p>
    <w:p w:rsidR="00FA0779" w:rsidRDefault="00FA0779" w:rsidP="00FA0779">
      <w:pPr>
        <w:pStyle w:val="TextoNormal"/>
      </w:pPr>
      <w:r>
        <w:t xml:space="preserve">Pide, por ello, que se declare la nulidad de la providencia de 7 de marzo de 1997. y consiguientemente, de las de 21 y 31 de marzo de 1997. </w:t>
      </w:r>
    </w:p>
    <w:p w:rsidR="00FA0779" w:rsidRDefault="00FA0779" w:rsidP="00FA0779">
      <w:pPr>
        <w:pStyle w:val="TextoNormal"/>
      </w:pPr>
      <w:r>
        <w:t>Solicita, asimismo que se acuerde la suspensión, sin afianzamiento, de su lanzamiento del inmueble, por los graves perjuicios que podría suponer el cierre del hotel.</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21 de abril de 1997, la Sección Primera de este Tribunal acordó admitir a trámite la demanda de amparo, sin perjuicio de lo que resulta de los antecedentes: a tenor de lo dispuesto en el art. 51 LOTC, requerir atentamente al Juzgado de Primera Instancia núm. 4 de Ponferrada la remisión de testimonio del procedimiento hipotecario núm. 3/1995, interesándose al propio tiempo el emplazamiento de cuantos fueron parte en el procedimiento judicial, excepto la recurrente en amparo, para su posible comparecencia en el presente proceso constitucional, y conforme a lo solicitado por la parte actora, formar la correspondiente pieza separada de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la misma fecha, la Sección Primera acordó tener por formada la presente pieza separada de suspensión y, de conformidad con lo previsto en el art. 56. LOTC, conceder al Ministerio Fiscal y a la solicitante del amparo un plazo común de tres días para alegaciones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6</w:t>
      </w:r>
      <w:r>
        <w:t>. Mediante escrito registrado el 8 de mayo de 1997, el Ministerio Fiscal entiende que procede la suspensión de la ejecución de la resolución del Juzgado que ordena el lanzamiento de la recurrente, porque si no se hiciere, podría perder el amparo su finalidad, ya que si bien en abstracto cabría la devolución de la posesión arrendaticia a la actora, sin embargo en la realidad podría devenir imposible si los titulares dispusiesen de la propiedad o de la posesión a favor de terceros al no estar limitada su titularidad.</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La representación de la entidad recurrente formuló sus alegaciones en esta pieza mediante escrito presentado en el Juzgado de Guardia el 30 de abril de 1997 y registrado en este Tribunal el 8 de mayo de 1997. </w:t>
      </w:r>
    </w:p>
    <w:p w:rsidR="00FA0779" w:rsidRDefault="00FA0779" w:rsidP="00FA0779">
      <w:pPr>
        <w:pStyle w:val="TextoNormal"/>
      </w:pPr>
      <w:r>
        <w:lastRenderedPageBreak/>
        <w:t xml:space="preserve">Informa, en primer lugar, de que el lanzamiento tuvo lugar el pasado 28 de abril de 1997, con entrega de la posesión del local a la entidad demandante en el procedimiento hipotecario, el Banco Español de Crédito. </w:t>
      </w:r>
    </w:p>
    <w:p w:rsidR="00FA0779" w:rsidRDefault="00FA0779" w:rsidP="00FA0779">
      <w:pPr>
        <w:pStyle w:val="TextoNormal"/>
      </w:pPr>
      <w:r>
        <w:t xml:space="preserve">Reitera, no obstante, su petición de suspensión, que pide se atienda con extremada urgencia, por las siguientes razones: </w:t>
      </w:r>
    </w:p>
    <w:p w:rsidR="00FA0779" w:rsidRDefault="00FA0779" w:rsidP="00FA0779">
      <w:pPr>
        <w:pStyle w:val="TextoNormal"/>
      </w:pPr>
      <w:r>
        <w:t xml:space="preserve">a) En primer lugar, porque, a su juicio, el arrendamiento sigue vigente. Alega en este sentido que, de acuerdo con la jurisprudencia del Tribunal Supremo (STS de 9 de mayo de 1996), el cambio de propietario por adjudicación en subasta pública de la finca hipotecada no implica la resolución del contrato arrendaticio urbano, y que su derecho personal de arrendamiento no se ha puesto en duda en ningún momento, dirigiéndose incluso el Juzgado a la actual demandante de amparo como arrendataria del local. </w:t>
      </w:r>
    </w:p>
    <w:p w:rsidR="00FA0779" w:rsidRDefault="00FA0779" w:rsidP="00FA0779">
      <w:pPr>
        <w:pStyle w:val="TextoNormal"/>
      </w:pPr>
      <w:r>
        <w:t xml:space="preserve">b) En segundo lugar, por cuanto, a su entender, no procedía el lanzamiento, ya que, según la jurisprudencia del Tribunal Supremo, para cumplir con el mandato del art. 131.17 L.H. hubiera bastado con entregar al adjudicatario la posesión mediata del inmueble, manteniendo al arrendatario en la posesión inmediata. </w:t>
      </w:r>
    </w:p>
    <w:p w:rsidR="00FA0779" w:rsidRDefault="00FA0779" w:rsidP="00FA0779">
      <w:pPr>
        <w:pStyle w:val="TextoNormal"/>
      </w:pPr>
      <w:r>
        <w:t xml:space="preserve">c) En tercer lugar, por los graves perjuicios que ocasionaría a la entidad demandante de amparo y a otras personas el cierre de la industria hotelera: Los perjuicios que se alegan (y para cuya acreditación se aportan determinados documentos) son los siguientes. Para los trabajadores de la empresa, que quedarían sin empleo, debiendo tramitarse un expediente de regulación pese a su deseo de mantener sus puestos de trabajo. Para los propios clientes, alguno de los cuales llevan varios años residiendo en el hotel. Y, finalmente, para la propia entidad demandante de amparo. El cierre del hotel le supone la pérdida de un negocio rentable, quedándose sin actividad, le impide recuperar las inversiones realizadas que se cifran en varios millones de pesetas, así como hacer frente a los préstamos bancarios obtenidos para su realización, y le impide asimismo cumplir con sus otras obligaciones contraídas. </w:t>
      </w:r>
    </w:p>
    <w:p w:rsidR="00FA0779" w:rsidRDefault="00FA0779" w:rsidP="00FA0779">
      <w:pPr>
        <w:pStyle w:val="TextoNormal"/>
      </w:pPr>
      <w:r>
        <w:t xml:space="preserve">d) En cuarto y último lugar, por cuanto la entidad hoy demandante de amparo habría obrado en todo momento de buena fe. Al celebrar el contrato de traspaso del local, desconocía no sólo la existencia del procedimiento hipotecario sino la de la propia hipoteca, y sólo habría tenido conocimiento de todo ello al ser requerida por el Juzgado para el desalojo. </w:t>
      </w:r>
    </w:p>
    <w:p w:rsidR="00FA0779" w:rsidRDefault="00FA0779" w:rsidP="00FA0779">
      <w:pPr>
        <w:pStyle w:val="TextoNormal"/>
      </w:pPr>
      <w:r>
        <w:t>Finalmente, solicita que la suspensión sea otorgada sin fianza, ya que de todo lo expuesto se desprende que dicha suspensión no ha de suponer perjuicio alguno para el adjudicatario del bien subastado.</w:t>
      </w:r>
    </w:p>
    <w:p w:rsidR="00FA0779" w:rsidRDefault="00FA0779" w:rsidP="00FA0779">
      <w:pPr>
        <w:pStyle w:val="TextoNormal"/>
      </w:pPr>
    </w:p>
    <w:p w:rsidR="00FA0779" w:rsidRDefault="00FA0779" w:rsidP="00FA0779">
      <w:pPr>
        <w:pStyle w:val="TextoNormal"/>
      </w:pPr>
      <w:r w:rsidRPr="00FA0779">
        <w:rPr>
          <w:rStyle w:val="NumeroAFNegritaCaracter"/>
        </w:rPr>
        <w:t>8</w:t>
      </w:r>
      <w:r>
        <w:t>. Por providencia de 21 de mayo de 1997 la Sección Segunda acordó conceder al Procurador de los Tribunales don Carlos Ibáñez de la Cadiniere, personado en el presente proceso en nombre y representación del «Banco Español de Crédito, S. A.», un plazo de tres días para alegaciones en esta pieza de suspensión.</w:t>
      </w:r>
    </w:p>
    <w:p w:rsidR="00FA0779" w:rsidRDefault="00FA0779" w:rsidP="00FA0779">
      <w:pPr>
        <w:pStyle w:val="TextoNormal"/>
      </w:pPr>
    </w:p>
    <w:p w:rsidR="00FA0779" w:rsidRDefault="00FA0779" w:rsidP="00FA0779">
      <w:pPr>
        <w:pStyle w:val="TextoNormal"/>
      </w:pPr>
      <w:r w:rsidRPr="00FA0779">
        <w:rPr>
          <w:rStyle w:val="NumeroAFNegritaCaracter"/>
        </w:rPr>
        <w:t>9</w:t>
      </w:r>
      <w:r>
        <w:t xml:space="preserve">. El 24 de mayo de 1997 se registró el escrito de alegaciones del mencionado Procurador, en nombre y representación del «Banco Español de Crédito, S. A.», en el que expresa su oposición a la suspensión solicitada. </w:t>
      </w:r>
    </w:p>
    <w:p w:rsidR="00FA0779" w:rsidRDefault="00FA0779" w:rsidP="00FA0779">
      <w:pPr>
        <w:pStyle w:val="TextoNormal"/>
      </w:pPr>
      <w:r>
        <w:t xml:space="preserve">Invoca, en primer lugar, la naturaleza del procedimiento judicial sumario del art. 131 L.H. como procedimiento de pura ejecución contra los bienes hipotecados, sin fase previa de discusión relativa al crédito, para subrayar la injusta afectación que la suspensión del lanzamíento produciría al acreedor hipotecario en su reconocida y legítima pretensión, que no es otra que la de cobrar lo que se le debe. Y añade que la suspensión solicitada, que no </w:t>
      </w:r>
      <w:r>
        <w:lastRenderedPageBreak/>
        <w:t xml:space="preserve">persigue más que dificultar y dilatar el derecho que tiene el acreedor a la toma de posesión del bien hipotecado para resarcirse con ello de la suma de 44.000.000 de pesetas, que es el precio de remate, supondría para él un grave perjuicio sin justificación. </w:t>
      </w:r>
    </w:p>
    <w:p w:rsidR="00FA0779" w:rsidRDefault="00FA0779" w:rsidP="00FA0779">
      <w:pPr>
        <w:pStyle w:val="TextoNormal"/>
      </w:pPr>
      <w:r>
        <w:t>Mediante otrosí solicita que, en el caso de que se decrete la suspensión, se imponga el afianzamiento que se estime oportuno en razón de los daños y perjuicios que supondría para el acreedor, en aplicación de lo previsto en el art. 56.2 LOTC.</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FA0779" w:rsidRDefault="00FA0779" w:rsidP="00FA0779">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respecto de las cuales, por ello, la regla general viene siendo la no suspensión, y aquellas otras que afectan a bienes o derechos de difícil o imposible restitución a su estado anterior (como las que imponen penas privativas de libertad), en cuyo caso la regla general viene siendo la suspensión (AATC 321/1995, 118/1996 y 122/1996), teniendo en cuenta que, en definitiva, el criterio que ha de observarse en materia de suspensión es el de la preservación de la eficacia de un posible pronunciamiento estimatorio (ATC 258/1996).</w:t>
      </w:r>
    </w:p>
    <w:p w:rsidR="00FA0779" w:rsidRDefault="00FA0779" w:rsidP="00FA0779">
      <w:pPr>
        <w:pStyle w:val="TextoNormal"/>
      </w:pPr>
      <w:r>
        <w:t>En consonancia con tales criterios, cuando se trata de la ejecucíón de resoluciones judiciales determinantes del desalojo de viviendas o locales de negocio (en virtud, por ejemplo, de un proceso especial de ejecución del art.  131 L.H.), la regla general viene siendo el otorgamiento de la suspensión, debido a las dificultades que podría encontrar el recurrente para volver a ocupar la vivienda o el local sí, por no accederse a aquélla, llegara a producirse la enajenación del inmueble o la cesión de su uso a un tercero de buena fe, si bien condicionada normalmente a la prestación de fianza por parte del demandante de amparo para responder de los perjuicios económicos que la suspensión pudiera ocasionar al litigante que obtuvo un pronunciamiento favorable a sus pretensiones (AATC 171/1995, 213/1995 y 38/1997, entre otros recientes).</w:t>
      </w:r>
    </w:p>
    <w:p w:rsidR="00FA0779" w:rsidRDefault="00FA0779" w:rsidP="00FA0779">
      <w:pPr>
        <w:pStyle w:val="TextoNormal"/>
      </w:pPr>
    </w:p>
    <w:p w:rsidR="00FA0779" w:rsidRDefault="00FA0779" w:rsidP="00FA0779">
      <w:pPr>
        <w:pStyle w:val="TextoNormal"/>
      </w:pPr>
      <w:r w:rsidRPr="00FA0779">
        <w:rPr>
          <w:rStyle w:val="NumeroAFNegritaCaracter"/>
        </w:rPr>
        <w:t>2</w:t>
      </w:r>
      <w:r>
        <w:t>. En el caso presente se solicita la suspensión de la ejecución de la providencia dictada por el Juzgado de Primera Instancia núm. 4 de Ponferrada en un proceso especial de ejecución del art. 131 L.H., en virtud de la cual se acordó el lanzamiento de la actual de</w:t>
      </w:r>
      <w:r>
        <w:lastRenderedPageBreak/>
        <w:t>mandante de amparo del local de negocios, destinado a la explotación de un hotel, que ocupaba en virtud de trapaso por su anterior arrendataria.</w:t>
      </w:r>
    </w:p>
    <w:p w:rsidR="00FA0779" w:rsidRDefault="00FA0779" w:rsidP="00FA0779">
      <w:pPr>
        <w:pStyle w:val="TextoNormal"/>
      </w:pPr>
      <w:r>
        <w:t>Se trata, pues, de un supuesto en el que, de acuerdo con la doctrina anteriormente expuesta, procede de ordinario la suspensión. No obstante, en el caso presente se da una circunstancia excepcional y obstativa de un pronunciamiento de tal clase, y es el hecho de que, como informa la propia recurrente en su escrito de alegaciones en esta pieza y resulta, además, de las actuaciones recibidas en la pieza principal, el lanzamiento ya se ha efectuado con posterioridad a la interposición del presente recurso, con entrega de la posesión al adjudicatario por cesión de remate en la subasta.</w:t>
      </w:r>
    </w:p>
    <w:p w:rsidR="00FA0779" w:rsidRDefault="00FA0779" w:rsidP="00FA0779">
      <w:pPr>
        <w:pStyle w:val="TextoNormal"/>
      </w:pPr>
      <w:r>
        <w:t>En atención a esta circunstancia, la solicitud de suspensión ha perdido sobrevenidamente su objeto y carece ya de sentido otorgarla (AATC 87/1981, 123/1983 y 61/1996).</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denegar la suspensión solicitada, sin perjuicio de la adopción por el Juzgado de Primera Instancia núm. 4 de Ponferrada de las medidas cautelares que puedan resultar procedentes.</w:t>
      </w:r>
    </w:p>
    <w:p w:rsidR="00FA0779" w:rsidRDefault="00FA0779" w:rsidP="00FA0779">
      <w:pPr>
        <w:pStyle w:val="TextoNormal"/>
      </w:pPr>
    </w:p>
    <w:p w:rsidR="00FA0779" w:rsidRDefault="00FA0779" w:rsidP="00FA0779">
      <w:pPr>
        <w:pStyle w:val="TextoNormal"/>
      </w:pPr>
      <w:r>
        <w:t>Madrid, a 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39" w:name="AUTO_1997_206"/>
      <w:r>
        <w:lastRenderedPageBreak/>
        <w:t>AUTO 206/1997, de 9 de junio de 1997</w:t>
      </w:r>
    </w:p>
    <w:bookmarkEnd w:id="139"/>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ECLI:ES:TC:1997:206A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Acuerda el desistimiento en el recurso de amparo 2.783/1996.</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0" w:name="AUTO_1997_207"/>
      <w:r>
        <w:lastRenderedPageBreak/>
        <w:t>AUTO 207/1997, de 9 de junio de 1997</w:t>
      </w:r>
    </w:p>
    <w:bookmarkEnd w:id="140"/>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ECLI:ES:TC:1997:207A</w:t>
      </w:r>
    </w:p>
    <w:p w:rsidR="00FA0779" w:rsidRDefault="00FA0779" w:rsidP="00FA0779">
      <w:pPr>
        <w:pStyle w:val="SntesisDescriptiva"/>
      </w:pPr>
    </w:p>
    <w:p w:rsidR="00FA0779" w:rsidRDefault="00FA0779" w:rsidP="00FA0779">
      <w:pPr>
        <w:pStyle w:val="SntesisDescriptiva"/>
      </w:pPr>
      <w:r>
        <w:t>Excms. Srs. don José Vicente Gimeno Sendra, don Pedro Cruz Villalón y don Manuel Jiménez de Parga y Cabrera.</w:t>
      </w:r>
    </w:p>
    <w:p w:rsidR="00FA0779" w:rsidRDefault="00FA0779" w:rsidP="00FA0779">
      <w:pPr>
        <w:pStyle w:val="SntesisDescriptiva"/>
      </w:pPr>
    </w:p>
    <w:p w:rsidR="00FA0779" w:rsidRDefault="00FA0779" w:rsidP="00FA0779">
      <w:pPr>
        <w:pStyle w:val="SntesisDescriptiva"/>
      </w:pPr>
      <w:r>
        <w:t>Acordando la inadmisión a trámite del recurso de amparo 469/1997.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ante este Tribunal el 6 de febrero de 1997, la representación procesal de don Jaime Rodríguez Hermida interpuso recurso de amparo contra la Sentencia dictada por la Sala Tercera, Sección Primera, del Tribunal Supremo, de 27 de diciembre de 1996, por la que se desestima el recurso contencioso-administrativo entablado contra el Acuerdo del Consejo General del Poder Judicial (C.G.P.J.), de fecha 1 de diciembre de 1993, sobre denegación de solicitud de rehabilitación del recurrente en la carrera judicial.</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demandante de amparo, que fue separado de la Carrera Judicial por la comisión de la falta grave prevista en el art. 417.2 L.O.P.J. (Acuerdo del C.G.P.J. de 13 de mayo de 1986), considera que la decisión del C.G.P.J. (Acuerdo de 1 de diciembre de 1993), por la que se le ha denegado la solicitud de ser rehabilitado en la carrera judicial, posteriormente confirmada por la Sala Tercera del Tribunal Supremo (Sentencia de 27 de diciembre de 1996), ha vulnerado los derechos fundamentales consagrados en los arts. 14, 24 y 25 de la Constitución. </w:t>
      </w:r>
    </w:p>
    <w:p w:rsidR="00FA0779" w:rsidRDefault="00FA0779" w:rsidP="00FA0779">
      <w:pPr>
        <w:pStyle w:val="TextoNormal"/>
      </w:pPr>
      <w:r>
        <w:t xml:space="preserve">Manifiesta, en primer término que el hecho de haber sido sancionado con mucha mayor severidad que lo fuera el Juez a quien dirigió la orden o presión constitutiva de la infracción disciplinaria por la que se le sancionó con la separación de la carrera judicial, lesiona sus derechos fundamentales a la igualdad y a la proporcionalidad de las penas. A su juicio, además, el entender que los efectos de una sanción disciplinaria pueden permanecer vigentes sine die supone la vulneración «del principio de igualdad en la aplicación de la Ley», como también la supone el considerar con mayor rigidez la concesión de la rehabilitación por razón de sanción disciplinaria que por razón de la sanción de un delito. </w:t>
      </w:r>
    </w:p>
    <w:p w:rsidR="00FA0779" w:rsidRDefault="00FA0779" w:rsidP="00FA0779">
      <w:pPr>
        <w:pStyle w:val="TextoNormal"/>
      </w:pPr>
      <w:r>
        <w:t xml:space="preserve">La demanda de amparo se detiene, en segundo término, en el contenido de la STC 174/1996, de la que transcribe varios de sus pasajes y de cuya doctrina extrae como conclusión la de que «la interdicción de la duración por vida de la pena de separación» resulta contraria al art. 25.2 C.E., «cuya finalidad trascendente es la reinserción social». </w:t>
      </w:r>
    </w:p>
    <w:p w:rsidR="00FA0779" w:rsidRDefault="00FA0779" w:rsidP="00FA0779">
      <w:pPr>
        <w:pStyle w:val="TextoNormal"/>
      </w:pPr>
      <w:r>
        <w:t xml:space="preserve">Aunque agrupada dentro del mismo apartado que las anteriores consideraciones, la demanda alude, en tercer lugar, a la interpretación de los términos de «indignidad» e «indigno» llevada a cabo por las resoluciones impugnadas, concluyendo que dichas calificaciones no pueden predicarse de la conducta y de la persona del recurrente «pues. aparte de </w:t>
      </w:r>
      <w:r>
        <w:lastRenderedPageBreak/>
        <w:t xml:space="preserve">no constar, previamente, tipificados los hechos o conductas que pudieran dar lugar a ella, con la consiguiente conculcación del principio de legalidad del art. 25 de la Constitución, siendo, por tanto, arbitraria cualquiera que sea la circunstancia legitimadora de esa conceptuación... y, a mayor abundamiento, en ningún artículo de la L.O.P.J se predica ésta (sic) indignidad de ningún funcionario, siendo un concepto extrapolado por las resoluciones recurridas y que se desenvuelve en otros cuerpos legales». </w:t>
      </w:r>
    </w:p>
    <w:p w:rsidR="00FA0779" w:rsidRDefault="00FA0779" w:rsidP="00FA0779">
      <w:pPr>
        <w:pStyle w:val="TextoNormal"/>
      </w:pPr>
      <w:r>
        <w:t>Por último, el recurrente pone fin a su alegato haciéndose de nuevo eco de la lesión que a los arts. 14 y 25.2 C.E. supuso el hecho de que en su día fuera sancionado con mayor severidad que el Juez a quien dirigió la orden constitutiva de la infracción disciplinaria, y negando que la concesión de la rehabilitación pueda en la actualidad ocasionar ningún «impacto» ni «alarma social».</w:t>
      </w:r>
    </w:p>
    <w:p w:rsidR="00FA0779" w:rsidRDefault="00FA0779" w:rsidP="00FA0779">
      <w:pPr>
        <w:pStyle w:val="TextoNormal"/>
      </w:pPr>
    </w:p>
    <w:p w:rsidR="00FA0779" w:rsidRDefault="00FA0779" w:rsidP="00FA0779">
      <w:pPr>
        <w:pStyle w:val="TextoNormal"/>
      </w:pPr>
      <w:r w:rsidRPr="00FA0779">
        <w:rPr>
          <w:rStyle w:val="NumeroAFNegritaCaracter"/>
        </w:rPr>
        <w:t>3</w:t>
      </w:r>
      <w:r>
        <w:t>. La Sección, a través de providencia fechada el 23 de abril de 1997. acordó conceder al recurrente en amparo y al Ministerio Fiscal un plazo de diez días, con el fin de que, en virtud de lo establecido en el art. 50.3 LOTC, pudiesen formular alegaciones sobre la concurrencia de la causa de inadimisibilidad de la demanda de amparo prevista en el art. 50. l.c) LOTC.</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recurrente, mediante escrito registrado el 5 de mayo de 1997, manifestó su sorpresa por el contenido de la referida providencia pues, a su juicio, la problemática que plantea su recurso de amparo ha sido sustancialmente resuelta afirmativamente por la STC 174/1996, «Sentencia que, de no haber existido, ni hubiéramos formalizado estas alegaciones, ni con antelación la demanda que nos ocupa». </w:t>
      </w:r>
    </w:p>
    <w:p w:rsidR="00FA0779" w:rsidRDefault="00FA0779" w:rsidP="00FA0779">
      <w:pPr>
        <w:pStyle w:val="TextoNormal"/>
      </w:pPr>
      <w:r>
        <w:t>Tras reiterar, en unos primeros apartados, parte de la fundamentación esgrimida en el escrito de demanda, el recurrente aduce que las resoluciones impugnadas, al estimar que los efectos de la sanción que le fue impuesta aún permanecen, le han dejado en una situación de indefensión lesiva del art. 24.1 C.E., pues le impiden de hecho volver a solicitar la rehabilitación dentro del plazo de los tres años siguientes a la primera negativa a que se refiere el art. 381 L.O.P.J. Esta misma alegación se reitera en un posterior apartado quinto del escrito de alegaciones, bajo la invocación del art. 17 C.E., al cual no se había hecho referencia alguna en la originaria demanda. Finalmente, en el referido escrito alegatorio se vuelven a reproducir los argumentos relacionados con la interpretación de los términos «indignidad» e «indigno», ya contenidos en el cuerpo del escrito de interposición del recurso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Ministerio Fiscal formuló sus alegaciones por medio de escrito registrado ante este Tribunal el día 21 de mayo de 1997. </w:t>
      </w:r>
    </w:p>
    <w:p w:rsidR="00FA0779" w:rsidRDefault="00FA0779" w:rsidP="00FA0779">
      <w:pPr>
        <w:pStyle w:val="TextoNormal"/>
      </w:pPr>
      <w:r>
        <w:t xml:space="preserve">Para el representante de dicho Ministerio, en primer lugar, no es posible realizar pronunciamiento alguno sobre todas aquellas alegaciones del recurrente relativas a la resolución inicialmente sancionadora y a las sentencias dictadas en los recursos interpuestos contra aquella, porque sobre las mismas se ciernen los efectos negativos o excluyentes de la cosa juzgada; de ahí que el ámbito del presente recurso de amparo deba quedar circunscrito a la negativa a la rehabilitación decretada por las resoluciones impugnadas. </w:t>
      </w:r>
    </w:p>
    <w:p w:rsidR="00FA0779" w:rsidRDefault="00FA0779" w:rsidP="00FA0779">
      <w:pPr>
        <w:pStyle w:val="TextoNormal"/>
      </w:pPr>
      <w:r>
        <w:t>En tal sentido sostiene el Ministerio Fiscal que: a) La alegada infracción del principio de legalidad sancionadora, en sí misma considerada, es inadmisible porque se refiere a una sanción firme; b) La alusión al derecho a la tutela judicial efectiva carece manifiestamente de contenido, por haber recibido el demandante una respuesta razonada y fundada en dere</w:t>
      </w:r>
      <w:r>
        <w:lastRenderedPageBreak/>
        <w:t xml:space="preserve">cho a su pretensión, como lo demuestra el hecho de que, «pese a enunciarlo, ninguna argumentación incluye el recurrente en su demanda acerca de este derecho fundamental»; c) En cuanto a la lesión del principio de igualdad, «los términos de comparación aportados no son válidos, pues en absoluto se demuestra que se trata de supuestos idénticos», como tampoco lo es la referencia a la STC 174/1996, pues su lectura «evidencia que lo allí resuelto se basó esencialmente en que, al haberse cancelado de forma legal dichos antecedentes, los mismos no podían ser tenidos en cuenta para denegar el ingreso; desde la estricta perspectiva del artículo 14 C.E. a que alude el demandante de amparo, el término de comparación tampoco es válido, pues el supuesto de hecho no es idéntico. </w:t>
      </w:r>
    </w:p>
    <w:p w:rsidR="00FA0779" w:rsidRDefault="00FA0779" w:rsidP="00FA0779">
      <w:pPr>
        <w:pStyle w:val="TextoNormal"/>
      </w:pPr>
      <w:r>
        <w:t>Ello no obstante, el Ministerio Fiscal se inclina finalmente por la admisión a trámite de la demanda de amparo, al entender que la misma no carece manifiestamente de contenido desde la óptica «del art. 23.2 C.E. -acceso a funciones públicas en condiciones de igualdad, con respecto a los principios de mérito y capacidad- que no ha sido alegada expresamente por el demandante de amparo».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Una vez cumplimentado el trámite de alegaciones previsto en el art. 50.3 LOTC, hemos de confirmar ahora la concurrencia del motivo de inadmisibilidad de la demanda de amparo, relativo a su manifiesta carencia de contenido constitucional [art. 50.1 e) LOTC].</w:t>
      </w:r>
    </w:p>
    <w:p w:rsidR="00FA0779" w:rsidRDefault="00FA0779" w:rsidP="00FA0779">
      <w:pPr>
        <w:pStyle w:val="TextoNormal"/>
      </w:pPr>
    </w:p>
    <w:p w:rsidR="00FA0779" w:rsidRDefault="00FA0779" w:rsidP="00FA0779">
      <w:pPr>
        <w:pStyle w:val="TextoNormal"/>
      </w:pPr>
      <w:r w:rsidRPr="00FA0779">
        <w:rPr>
          <w:rStyle w:val="NumeroAFNegritaCaracter"/>
        </w:rPr>
        <w:t>2</w:t>
      </w:r>
      <w:r>
        <w:t>. En primer término, ha de señalarse que, si bien en los apartados preliminares de la demanda de amparo se invocan expresamente los arts. 14, 24 y 25 de la Constitución, en realidad, la íntegra fundamentación de dicho escrito se extiende única y exclusivamente sobre cuestiones relacionadas con los derechos fundamentales consagrados en el primero y en el último de los mencionados preceptos, de manera que, tal y como también ha advertido el Ministerio Fiscal, la invocación del derecho a la tutela judicial efectiva, al encontrarse falta de fundamentación en el escrito de demanda, debe ser considerada una alegación inconsistente y, en consecuencia, no precisada de un pronunciamiento expreso y concreto a cargo de este Tribunal (vgr. STC 123/1993).</w:t>
      </w:r>
    </w:p>
    <w:p w:rsidR="00FA0779" w:rsidRDefault="00FA0779" w:rsidP="00FA0779">
      <w:pPr>
        <w:pStyle w:val="TextoNormal"/>
      </w:pPr>
      <w:r>
        <w:t>A dicha conclusión no se opone el hecho de que, con posterioridad a la interposición del recurso de amparo, el recurrente, en el escrito de alegaciones formulado en el trámite del art. 50.3 LOTC, haya incorporado una precisa fundamentación sobre tal extremo (bajo la cobertura, tanto del propio art. 24.1 C.E., como del derecho a la seguridad del art. 17 C.E,), puesto que si el escrito de alegaciones presentado ex art. 52 LOTC, como tiene reiteradamente declarado este Tribunal, no constituye un cauce procesal a través del cual pueda realizarse una alteración o modificación de los elementos esenciales de la pretensión de amparo (SSTC 79/1982, 74/1985, 131/1986, 96/1989, 1/1992, entre otras), con mucha mayor razón ha de ser aplicada esta doctrina respecto a los escritos de alegaciones formulados ex art. 50.3 LOTC, los cuales, al encontrarse legalmente limitados a contener el criterio de la parte sobre la estricta causa de inadmisión que se le sugiere de oficio por este Tribunal, poseen un ámbito de operatividad mucho más restringido que los primeros.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De la misma forma, aunque por distintas razones, este Tribunal tampoco puede emitir pronunciamiento alguno respecto a las distintas lesiones constitucionales que se predican, tanto del acto por el que el recurrente fue separado de la. carrera judicial (Acuerdos del C.G.P.J. de 13 de mayo y 2 de julio de 1996), como de las resoluciones confirmatorias </w:t>
      </w:r>
      <w:r>
        <w:lastRenderedPageBreak/>
        <w:t>del mismo en vía de recurso jurisdiccional (Sentencia del Tribunal Supremo de 9 de febrero de 1987). Tal acontece, en concreto, con la supuesta lesión a los arts. 14 y 25.2 C.E. que se dice ocasionada por la circunstancia de haber sido sancionado el recurrente con mucha mayor severidad que el Juez a quien sometió a las presiones constitutivas de la infracción disciplinaria que fue castigada por Acuerdo del C.G.P.J. de 13 de mayo de 1986, posteriormente confirmado por el Tribunal Supremo.</w:t>
      </w:r>
    </w:p>
    <w:p w:rsidR="00FA0779" w:rsidRDefault="00FA0779" w:rsidP="00FA0779">
      <w:pPr>
        <w:pStyle w:val="TextoNormal"/>
      </w:pPr>
      <w:r>
        <w:t>En este punto parece olvidar el demandante de amparo que el enjuiciamiento de todo ese conjunto de resoluciones gubernativas y jurisdiccionales ya nos fue sometido con anterioridad, mediante la interposición por parte del también ahora demandante de los recursos de amparo núms. 240/1987 y 382/1988, que fueron íntegramente desestimados por la STC 98/1989. Por tanto, sobre dichas cuestiones, tal y como también ha puesto de relieve el Ministerio Público, se cierne el efecto negativo o excluyente de la cosa juzgada material, lo que determina a los efectos aquí examinados, su manifiesta carencia de contenido constitucional.</w:t>
      </w:r>
    </w:p>
    <w:p w:rsidR="00FA0779" w:rsidRDefault="00FA0779" w:rsidP="00FA0779">
      <w:pPr>
        <w:pStyle w:val="TextoNormal"/>
      </w:pPr>
    </w:p>
    <w:p w:rsidR="00FA0779" w:rsidRDefault="00FA0779" w:rsidP="00FA0779">
      <w:pPr>
        <w:pStyle w:val="TextoNormal"/>
      </w:pPr>
      <w:r w:rsidRPr="00FA0779">
        <w:rPr>
          <w:rStyle w:val="NumeroAFNegritaCaracter"/>
        </w:rPr>
        <w:t>4</w:t>
      </w:r>
      <w:r>
        <w:t>. En tercer lugar, la utilización por parte de las resoluciones impugnadas de los conceptos «indignidad» e «indigno», considerados en la demanda como estados objetivos y situaciones subjetivas que de algún modo han fundamentado la negativa a la solicitud de rehabilitación formulada por el recurrente, cuando «en ningún artículo de la L.O.P.J. se predica ésta (sic), indignidad de ningún funcionario, siendo un concepto extrapolado por las resoluciones recurridas y que se desenvuelve en otros cuerpos legales», tampoco puede haber lesionado «el principio de legalidad del art. 25», puesto que el derecho fundamental consagrado en el apartado primero de dicho precepto, de conformidad con la totalidad de la doctrina constitucional emitida sobre el mismo, tan sólo opera en el marco del Derecho sancionador, sea propiamente el Derecho Penal, sea el Derecho Administrativo sancionador (vgr. STC 66/1983), y en tal sentido es evidente que las resoluciones impugnadas, ni imponen al recurrente sanción alguna, ni aplican disposiciones legales o reglamentarias que deban someterse a la garantía del principio de legalidad sancionadora consagrado en el art. 25.1 C.E.</w:t>
      </w:r>
    </w:p>
    <w:p w:rsidR="00FA0779" w:rsidRDefault="00FA0779" w:rsidP="00FA0779">
      <w:pPr>
        <w:pStyle w:val="TextoNormal"/>
      </w:pPr>
    </w:p>
    <w:p w:rsidR="00FA0779" w:rsidRDefault="00FA0779" w:rsidP="00FA0779">
      <w:pPr>
        <w:pStyle w:val="TextoNormal"/>
      </w:pPr>
      <w:r w:rsidRPr="00FA0779">
        <w:rPr>
          <w:rStyle w:val="NumeroAFNegritaCaracter"/>
        </w:rPr>
        <w:t>5</w:t>
      </w:r>
      <w:r>
        <w:t>. Por último, el recurrente achaca a las resoluciones impugnadas el haber lesionado el «principio de igualdad en la aplicación de la Ley» (art. 14 C.E.), al considerar, de una parte, que los efectos de la sanción originariamente impuesta al recurrente pueden permanecer vigentes sine die, y, de otro lado, que existe una mayor rigidez en la concesión de la rehabilitación por razón de sanción disciplinaria que por razón de la sanción de un delito.</w:t>
      </w:r>
    </w:p>
    <w:p w:rsidR="00FA0779" w:rsidRDefault="00FA0779" w:rsidP="00FA0779">
      <w:pPr>
        <w:pStyle w:val="TextoNormal"/>
      </w:pPr>
      <w:r>
        <w:t>Sobre el primero de estos argumentos, es de tener en cuenta que tanto la resolución como la Sentencia impugnada sólo han podido limitarse a la apreciación de la no concurrencia de los requisitos exigidos por los arts. 380 y concordantes L.O.P.J. para que proceda la rehabilitación del ahora demandante de amparo, sin que, en modo alguno, dichas. resoluciones hayan de prejuzgar la respuesta que una futura y eventual solicitud en su caso reciba.  Respecto a la posible violación del principio de igualdad, en la forma denunciada en segundo lugar por el recurrente, tampoco debe ser estimada, ya que, como ha advertido el Ministerio Fiscal en argumentación que este Tribunal no duda en hacer suya, «los términos de comparación aportados por el demandante de amparo no son válidos, pues en absoluto se demuestra que se trata de supuestos idénticos»; y lo mismo sucede con la referencia a la STC 174/1996, ya que la lectura de esta resolución «evidencia que lo allí resuelto se basó esencialmente en que, al haberse cancelado de forma legal dichos antecedentes, los mismos no podían ser tenidos en cuenta para denegar el ingreso; desde la es</w:t>
      </w:r>
      <w:r>
        <w:lastRenderedPageBreak/>
        <w:t>tricta perspectiva del artículo 14 C.E. a que alude el demandante de amparo, el término de comparación tampoco es válido, pues el supuesto de hecho no es idéntico».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inadmitir el recurso de amparo interpuesto por don Jaime Rodríguez Hermida.</w:t>
      </w:r>
    </w:p>
    <w:p w:rsidR="00FA0779" w:rsidRDefault="00FA0779" w:rsidP="00FA0779">
      <w:pPr>
        <w:pStyle w:val="TextoNormal"/>
      </w:pPr>
    </w:p>
    <w:p w:rsidR="00FA0779" w:rsidRDefault="00FA0779" w:rsidP="00FA0779">
      <w:pPr>
        <w:pStyle w:val="TextoNormal"/>
      </w:pPr>
      <w:r>
        <w:t>Madrid, a nueve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1" w:name="AUTO_1997_208"/>
      <w:r>
        <w:lastRenderedPageBreak/>
        <w:t>AUTO 208/1997, de 12 de junio de 1997</w:t>
      </w:r>
    </w:p>
    <w:bookmarkEnd w:id="141"/>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ECLI:ES:TC:1997:208A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inadmisión a trámite del recurso de amparo 4.101/1996.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día 13 de noviembre de 1996 tuvo entrada en el Registro General de este Tribunal un escrito presentado por el Procurador de los Tribunales don Julián Caballero Aguado, en nombre y representación de don Antonio Blanco Martínez, y mediante el que se interponía recurso de amparo constitucional contra el Auto de la Audiencia Provincial de Burgos, de 14 de octubre de 1996, que confirmó el dictado por el Juzgado de Primera Instancia de Briviesca en Autos de juicio ejecutivo núm. 286/91.</w:t>
      </w:r>
    </w:p>
    <w:p w:rsidR="00FA0779" w:rsidRDefault="00FA0779" w:rsidP="00FA0779">
      <w:pPr>
        <w:pStyle w:val="TextoNormal"/>
      </w:pPr>
    </w:p>
    <w:p w:rsidR="00FA0779" w:rsidRDefault="00FA0779" w:rsidP="00FA0779">
      <w:pPr>
        <w:pStyle w:val="TextoNormal"/>
      </w:pPr>
      <w:r w:rsidRPr="00FA0779">
        <w:rPr>
          <w:rStyle w:val="NumeroAFNegritaCaracter"/>
        </w:rPr>
        <w:t>2</w:t>
      </w:r>
      <w:r>
        <w:t>. El recurrente fue demandado en procedimiento ejecutivo por una entidad bancaria, como consecuencia de lo cual se le embargaron determinados bienes cuya tercera subasta fue publicada en los pertinentes edictos para el día 19 de febrero de 1996. Ese día no pudo celebrarse la subasta, al parecer y según se declara en la demanda de amparo por no comparecer el Juez ni el Secretario del Juzgado, celebrándose la misma al día siguiente. Por entender el ejecutado que la subasta finalmente celebrada era nula de pleno derecho, interpuso recurso de reposición contra la providencia de 20 de febrero de 1996 por la que se tenía por celebrada la subasta. Dicho recurso fue desestimado mediante Auto que, a su vez, fue recurrido en apelación ante la Audiencia Provincial de Burgos. Este órgano judicial dictó Auto de 14 de octubre de 1996 desestimando el recurso de apelación interpuesto.</w:t>
      </w:r>
    </w:p>
    <w:p w:rsidR="00FA0779" w:rsidRDefault="00FA0779" w:rsidP="00FA0779">
      <w:pPr>
        <w:pStyle w:val="TextoNormal"/>
      </w:pPr>
    </w:p>
    <w:p w:rsidR="00FA0779" w:rsidRDefault="00FA0779" w:rsidP="00FA0779">
      <w:pPr>
        <w:pStyle w:val="TextoNormal"/>
      </w:pPr>
      <w:r w:rsidRPr="00FA0779">
        <w:rPr>
          <w:rStyle w:val="NumeroAFNegritaCaracter"/>
        </w:rPr>
        <w:t>3</w:t>
      </w:r>
      <w:r>
        <w:t>. En su demanda de amparo aduce el recurrente la vulneración de su derecho a una tutela judicial efectiva sin indefensión (art. 24.1 C.E.), al haberse decidido celebrar la subasta en fecha distinta de la prevista, sin que concurriesen razones de fuerza mayor para ello y sin una nueva convocatoria edictal, lo que perjudicó gravemente sus intereses ya que se vió privado de la asistencia de posibles interesados y postores en la licitación.</w:t>
      </w:r>
    </w:p>
    <w:p w:rsidR="00FA0779" w:rsidRDefault="00FA0779" w:rsidP="00FA0779">
      <w:pPr>
        <w:pStyle w:val="TextoNormal"/>
      </w:pPr>
    </w:p>
    <w:p w:rsidR="00FA0779" w:rsidRDefault="00FA0779" w:rsidP="00FA0779">
      <w:pPr>
        <w:pStyle w:val="TextoNormal"/>
      </w:pPr>
      <w:r w:rsidRPr="00FA0779">
        <w:rPr>
          <w:rStyle w:val="NumeroAFNegritaCaracter"/>
        </w:rPr>
        <w:t>4</w:t>
      </w:r>
      <w:r>
        <w:t>. Mediante providencia de 17 de abril de 1997 la Sección Segunda acordó, a tenor de lo dispuesto en el art. 50.3 LOTC, conceder un plazo común de diez días al Ministerio Fiscal y al solicitante de amparo para que, dentro de dicho término, alegasen sobre la eventual concurrencia de la causa de inadmisión consistente en carecer la demanda manifiestamente de contenido que justifique una decisión por parte de este Tribunal Constitucional [art. 50.1 c) LOTC].</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5</w:t>
      </w:r>
      <w:r>
        <w:t>. El demandante de amparo registró su escrito de alegaciones el día 5 de mayo de 1997. En dicho escrito insiste el actor sobre la absoluta arbitrariedad con que actuaron el Juez y el Secretario de Justicia al suspender la primera subasta, y en el hecho de que el acta en la que así se acordó aparece firmada por un tercer funcionario «desconocido». En definitiva el interés legítimo del demandado-ejecutado a obtener un precio justo por la venta judicial y forzosa de sus bienes no se ha visto tutelado. Finalmente se interesa de este Tribunal que otorgue el amparo solicitado.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registró su alegato el día 8 de mayo de 1997. Tras una sucinta exposición de los hechos, sostiene el Ministerio Público que en el Auto dictado en apelación se da cumplida respuesta a la nulidad pretendida por el actor. En efecto, no existió la indefensión denunciada toda vez que el hoy demandante de amparo fue debidamente citado al acto de la primera subasta celebrado el día 19 de febrero de 1996, no acudiendo a la misma por lo que no pudo en tal acto hacer valer sus derechos en orden a la suspensión irregularmente decretada de la subasta. </w:t>
      </w:r>
    </w:p>
    <w:p w:rsidR="00FA0779" w:rsidRDefault="00FA0779" w:rsidP="00FA0779">
      <w:pPr>
        <w:pStyle w:val="TextoNormal"/>
      </w:pPr>
      <w:r>
        <w:t>En este sentido considera el Ministerio Fiscal que la Audiencia utilizó un concepto de indefensión material coincidente con el manejado por el propio Tribunal Constitucional a la hora de determinar la eventual vulneración del derecho reconocido en el art. 24.2. En consecuencia, el Ministerio Fiscal termina sus alegaciones interesando que se inadmita la presente demanda de amparo por carecer manifiestamente de contenido, concurriendo la causa de inadmisión prevista en el art. 50.1 a) de la LOTC.</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Tras el examen de las alegaciones del recurrente y del Ministerio Fiscal, hemos de confirmar nuestra inicial apreciación de que no procede la admisión a trámite de la presente demanda de amparo, al concurrir la causa de inadmisión prevista en el art. 50.1 e) LOTC y consistente en carecer la demanda manifiestamente de contenido que justifique una decisión sobre el fondo de la misma.</w:t>
      </w:r>
    </w:p>
    <w:p w:rsidR="00FA0779" w:rsidRDefault="00FA0779" w:rsidP="00FA0779">
      <w:pPr>
        <w:pStyle w:val="TextoNormal"/>
      </w:pPr>
    </w:p>
    <w:p w:rsidR="00FA0779" w:rsidRDefault="00FA0779" w:rsidP="00FA0779">
      <w:pPr>
        <w:pStyle w:val="TextoNormal"/>
      </w:pPr>
      <w:r w:rsidRPr="00FA0779">
        <w:rPr>
          <w:rStyle w:val="NumeroAFNegritaCaracter"/>
        </w:rPr>
        <w:t>2</w:t>
      </w:r>
      <w:r>
        <w:t>. A pesar de las irregularidades procedimentales existentes en la vía previa a este proceso constitucional, es lo cierto, tal como sostiene el Ministerio Fiscal que no existió una indenfensión material, única constitucionalmente relevante desde la perspectiva del art. 24.2 de la Constitución (SSTC 8/1991 y 367/1993).</w:t>
      </w:r>
    </w:p>
    <w:p w:rsidR="00FA0779" w:rsidRDefault="00FA0779" w:rsidP="00FA0779">
      <w:pPr>
        <w:pStyle w:val="TextoNormal"/>
      </w:pPr>
      <w:r>
        <w:t>En efecto, según consta en el Auto dictado por la Audiencia Provincial el recurrente, pese a haber sido notificado en forma, no compareció por decisión propia a la subasta inicialmente prevista para el día 19, ni tampoco se le impidió comparecer en la finalmente celebrada al día siguiente. Frente a esta realidad el recurrente no realiza alegación alguna, limitándose a una invocación genérica del art. 24.1 de la Constitución, de la que no cabe deducir la existencia de una real y efectiva indefensión. En consecuencia, el resultado denunciado por el recurrente, al margen de su formal irregularidad procesal, no fue ajeno a la propia conducta de la parte. Siendo ello así es manifiesta la carencia de contenido de la demanda.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En consecuencia, y de conformidad con el art. 50.1 e) LOTC, la Sección acuerda la inadmisión de la demanda de amparo y el archivo de las actuaciones.</w:t>
      </w:r>
    </w:p>
    <w:p w:rsidR="00FA0779" w:rsidRDefault="00FA0779" w:rsidP="00FA0779">
      <w:pPr>
        <w:pStyle w:val="TextoNormal"/>
      </w:pPr>
    </w:p>
    <w:p w:rsidR="00FA0779" w:rsidRDefault="00FA0779" w:rsidP="00FA0779">
      <w:pPr>
        <w:pStyle w:val="TextoNormal"/>
      </w:pPr>
      <w:r>
        <w:t>Madrid, a doce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2" w:name="AUTO_1997_209"/>
      <w:r>
        <w:lastRenderedPageBreak/>
        <w:t>AUTO 209/1997, de 12 de junio de 1997</w:t>
      </w:r>
    </w:p>
    <w:bookmarkEnd w:id="142"/>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ECLI:ES:TC:1997:209A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inadmisión a trámite del recurso de amparo 109/1997.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Mediante escrito registrado en este Tribunal el 10 de enero de 1997, la Procuradora de los Tribunales doña María Jesús Fernández Salagre, en nombre y representación de doña Zila Moreno González, bajo la dirección letrada de don Santiago Luengo Martín, interpuso recurso de amparo constitucional contra el Auto del Juzgado de lo Penal núm. 9 de Madrid, de 13 de diciembre de 1996, que en la ejecutoria 139/96 -Sección Novena-, deniega la suspensión de la ejecución de la pena privativa de libertad impuesta por Sentencia firme relativa a delito de robo. </w:t>
      </w:r>
    </w:p>
    <w:p w:rsidR="00FA0779" w:rsidRDefault="00FA0779" w:rsidP="00FA0779">
      <w:pPr>
        <w:pStyle w:val="TextoNormal"/>
      </w:pPr>
      <w:r>
        <w:t xml:space="preserve">Los hechos más relevantes que se desprenden de la demanda son, en síntesis los siguientes: </w:t>
      </w:r>
    </w:p>
    <w:p w:rsidR="00FA0779" w:rsidRDefault="00FA0779" w:rsidP="00FA0779">
      <w:pPr>
        <w:pStyle w:val="TextoNormal"/>
      </w:pPr>
      <w:r>
        <w:t xml:space="preserve">a) La recurrente fue condenada por Sentencia de 15 de enero de 1996 del Juzgado de lo Penal núm. 9 de Madrid en el procedimiento 406/95, a la pena de un año de prisión menor por delito de robo. La Sentencia fue declarada firme por Auto de 12 de marzo de 1996. </w:t>
      </w:r>
    </w:p>
    <w:p w:rsidR="00FA0779" w:rsidRDefault="00FA0779" w:rsidP="00FA0779">
      <w:pPr>
        <w:pStyle w:val="TextoNormal"/>
      </w:pPr>
      <w:r>
        <w:t xml:space="preserve">b) Solicitada la suspensión de la ejecución de la pena privativa de libertad (arts. 81 y siguientes del C. P. de 1995), fue informada negativamente por el Ministerio Fiscal y el mismo Juzgado, mediante Auto de 13 de diciembre de 1996, la desestimó sobre la base del siguiente fundamento jurídico único: </w:t>
      </w:r>
    </w:p>
    <w:p w:rsidR="00FA0779" w:rsidRDefault="00FA0779" w:rsidP="00FA0779">
      <w:pPr>
        <w:pStyle w:val="TextoNormal"/>
      </w:pPr>
      <w:r>
        <w:t>«La suspensión de la ejecución de las penas privativas de libertad precisa, para su concesión, la concurrencia de los requisitos previstos en los artículos 81 y siguientes del Código Penal, pero siempre se trata de una facultad del Tribunal sentenciador, y en el supuesto de autos y a la vista de lo anteriormente expuesto ha de denegarse la concesión de los beneficios solicitados.»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En su demanda de amparo solicita la actora la nulidad del Auto impugnado por entender que ha vulnerado el derecho a la tutela judicial efectiva sin indefensión (art. 24.1 C.E.), al carecer dicha resolución de motivación suficiente y razonada, pese a incidir directamente sobre el derecho fundamental a la libertad y sin que exista posibilidad alguna de impugnación. Se alegan al respecto las SSTC 368/1993, 5/1995 y 71/1995. </w:t>
      </w:r>
    </w:p>
    <w:p w:rsidR="00FA0779" w:rsidRDefault="00FA0779" w:rsidP="00FA0779">
      <w:pPr>
        <w:pStyle w:val="TextoNormal"/>
      </w:pPr>
      <w:r>
        <w:t>Se solicita, asimismo, la suspensión de la Sentencia condenatoria de 15 de enero de 1996, del Juzgado de lo Penal núm. 9 de Madrid, en el procedimiento 406/95.</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Por providencia de 29 de abril de 1997, la Sección Segunda, con arreglo a lo dispuesto en el art. 50.3 LOTC, acordó conceder un plazo común de diez días al Ministerio Fiscal y al demandante de amparo, para que, en dicho termino, alegasen lo que estimasen pertinente en relación con la posible existencia de la causa de inadmisión prevista en el art. 50.1 c) LOTC y consistente en carecer la demanda manifiestamente de contenido que justifique una decisión por parte de este Tribunal Constitucional.</w:t>
      </w:r>
    </w:p>
    <w:p w:rsidR="00FA0779" w:rsidRDefault="00FA0779" w:rsidP="00FA0779">
      <w:pPr>
        <w:pStyle w:val="TextoNormal"/>
      </w:pPr>
    </w:p>
    <w:p w:rsidR="00FA0779" w:rsidRDefault="00FA0779" w:rsidP="00FA0779">
      <w:pPr>
        <w:pStyle w:val="TextoNormal"/>
      </w:pPr>
      <w:r w:rsidRPr="00FA0779">
        <w:rPr>
          <w:rStyle w:val="NumeroAFNegritaCaracter"/>
        </w:rPr>
        <w:t>4</w:t>
      </w:r>
      <w:r>
        <w:t>. El día 16 de mayo de 1997. la demandante registró su escrito de alegaciones insistiendo en la vulneración de su derecho fundamental a una tutela judicial efectiva por la falta de motivación y la falta de indicación de ulteriores recursos, que convierten al Auto impugnado en una resolución judicial contraria al mencionado derecho fundamental.</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Ministerio Fiscal presentó su alegato el día 20 de mayo de 1997. Tras a sucinta exposición de los hechos, advierte el Ministerio Público que previo a pronunciarse sobre la cuestión planteada es preciso examinar si la actora agotó la vía jurisdiccional ordinaria antes de formular el presente recurso, en cuyo caso concurriría también la causa de inadmisión prevista en el art. 50.1. a) LOTC. </w:t>
      </w:r>
    </w:p>
    <w:p w:rsidR="00FA0779" w:rsidRDefault="00FA0779" w:rsidP="00FA0779">
      <w:pPr>
        <w:pStyle w:val="TextoNormal"/>
      </w:pPr>
      <w:r>
        <w:t>En este sentido, aunque en el escrito de interposición del recurso se afirma haber cumplido con dicho requisito, según lo dispuesto en el art. 6 de la Ley de 17 de marzo de 1908, es lo cierto que tal precepto resulta inaplicable, al haber sido derogado por la Disposición derogatoria, 1. b) de la Ley Orgánica 10/1995, de 23 de noviembre. Resulta así que el Auto de 13 de diciembre de 1996, dictado por el Juez de lo Penal era susceptible de ser recurrido en queja ante la Audiencia Provincial con arreglo a lo dispuesto en el art. 218 de la L.E.Crim., lo que no realizó la actora. En cuanto a la falta de contenido constitucional de la demanda, y para el caso de que no fuera apreciada la anterior causa de inadmisión, es de señalar que la concesión del beneficio de la libertad condicional constituye una facultad discrecional el Juzgador, cuya decisión se hace depender no sólo de la concurrencia de determinados requisitos legales de carácter objetivo, sino también de la apreciación subjetiva de aquél, que atenderá especialmente «a la peligrosidad criminal del sujeto» (art. 80 del Código Penal), por lo que es dable su denegación aun cuando concurran aquéllos. En esta línea interesa recordar que es doctrina constitucional reiterada la que sostiene que el instituto de la remisión condicional «no impone a los Jueces y Tribunales una especial obligación de benevolencia ni... les obliga a conceder la remisión condicional cuando se dan los requisitos del Código Penal» y que no corresponde al T.C. juzgar acerca de las decisiones judiciales sobre esta materia (STC 54/1986), por ser una facultad exclusiva de la jurisdicción ordinaria. En consecuencia, concluye el Ministerio Fiscal interesando la inadmisión de la presente demanda de amparo.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Examinadas las alegaciones formuladas por la recurrente y por el Ministerio Fiscal en el trámite previsto en el art. 50.3 de la LOTC, resulta obligado analizar si, además, de concurrir eventualmente la causa de inadmisión prevista en el art. 50.1 c) de la LOTC, la actora no ha agotado la vía judicial previa a este proceso constitucional, tal como pone de relieve el Ministerio Público.</w:t>
      </w:r>
    </w:p>
    <w:p w:rsidR="00FA0779" w:rsidRDefault="00FA0779" w:rsidP="00FA0779">
      <w:pPr>
        <w:pStyle w:val="TextoNormal"/>
      </w:pPr>
      <w:r>
        <w:lastRenderedPageBreak/>
        <w:t>Por ser esta última causa de inadmisión un vicio de orden público procesal vinculado al principio de subsidiariedad que informa el proceso constitucional de amparo procede analizar, en primer lugar, si tal como manifiesta el Ministerio Fiscal concurre tal impedimento.</w:t>
      </w:r>
    </w:p>
    <w:p w:rsidR="00FA0779" w:rsidRDefault="00FA0779" w:rsidP="00FA0779">
      <w:pPr>
        <w:pStyle w:val="TextoNormal"/>
      </w:pPr>
    </w:p>
    <w:p w:rsidR="00FA0779" w:rsidRDefault="00FA0779" w:rsidP="00FA0779">
      <w:pPr>
        <w:pStyle w:val="TextoNormal"/>
      </w:pPr>
      <w:r w:rsidRPr="00FA0779">
        <w:rPr>
          <w:rStyle w:val="NumeroAFNegritaCaracter"/>
        </w:rPr>
        <w:t>2</w:t>
      </w:r>
      <w:r>
        <w:t>. En efecto, en el presente caso y en línea con lo manifestado por el Ministerio Fiscal, no puede entenderse agotada la vía judicial ordinaria previa a la interposición del presente recurso, puesto que la disposición contenida en el art. 6 de la Ley de 17 de marzo de 1908 (tan discutida tanto doctrinal como jurisprudencialmente, fue expresamente derogada por el apartado b) de la Disposición derogatoria única del nuevo Código Penal de 1995, cuya entrada en vigor se produjo con anterioridad a que fuera dictada la resolución ahora impugnada en amparo. En consecuencia, a partir de ese momento resultaban de aplicación las normas generales sobre recursos contra Autos dictados por los Jueces de lo Penal y, por tanto, la ahora demandante de amparo pudo interponer contra la resolución objeto de este proceso constitucional los pertinentes recursos de reforma y de apelación. Al no haber hecho uso de los mismos, la presente demanda ha de ser inadmitida por imperativo de lo dispuesto en el art. 50.1 a) en relación con el art. 44.1 a), ambos de la LOTC.</w:t>
      </w:r>
    </w:p>
    <w:p w:rsidR="00FA0779" w:rsidRDefault="00FA0779" w:rsidP="00FA0779">
      <w:pPr>
        <w:pStyle w:val="TextoNormal"/>
      </w:pPr>
    </w:p>
    <w:p w:rsidR="00FA0779" w:rsidRDefault="00FA0779" w:rsidP="00FA0779">
      <w:pPr>
        <w:pStyle w:val="TextoNormal"/>
      </w:pPr>
      <w:r w:rsidRPr="00FA0779">
        <w:rPr>
          <w:rStyle w:val="NumeroAFNegritaCaracter"/>
        </w:rPr>
        <w:t>3</w:t>
      </w:r>
      <w:r>
        <w:t>. Apreciada la concurrencia de la causa de inadmisión anteriormente señalada resulta innecesario pronunciarse sobre la posible carencia manifiesta de contenido de la demanda.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atención a todo lo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doce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3" w:name="AUTO_1997_210"/>
      <w:r>
        <w:lastRenderedPageBreak/>
        <w:t>AUTO 210/1997, de 12 de junio de 1997</w:t>
      </w:r>
    </w:p>
    <w:bookmarkEnd w:id="143"/>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ECLI:ES:TC:1997:210A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2.018/1997.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el Juzgado de Guardia el 12 de mayo de 997, el Procurador de los Tribunales don Luis José, García Barrenechea, en nombre representación de don Hugo Bernardo Borgobello Luzuriaga, y bajo la dirección letrada de doña Amalia Fernández Doyague, interpuso recurso de amparo contra 1 AUTO NÚM. 23/97 del Pleno de la Sala Segunda de lo Penal de la Audiencia Nacional, de fecha 21 de abril de 1997, que desestimó el recurso de súplica núm. 10/97 interpuesto contra el AUTO NÚM. 34/96 de la Sección Segunda de la misma Sala y Tribunal, dictado el 5 de diciembre de 1996, rollo de Sala 6/96, dimanante el expediente gubernativo de extradición 6/96.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más relevantes que se desprenden de la demanda y documentos portados son, en síntesis, los siguientes: </w:t>
      </w:r>
    </w:p>
    <w:p w:rsidR="00FA0779" w:rsidRDefault="00FA0779" w:rsidP="00FA0779">
      <w:pPr>
        <w:pStyle w:val="TextoNormal"/>
      </w:pPr>
      <w:r>
        <w:t xml:space="preserve">a) El día 28 de febrero de 1990, como consecuencia de unos disparos, resultó muerta doña Montserrat Martí Navarro en la ciudad italiana de Milán. </w:t>
      </w:r>
    </w:p>
    <w:p w:rsidR="00FA0779" w:rsidRDefault="00FA0779" w:rsidP="00FA0779">
      <w:pPr>
        <w:pStyle w:val="TextoNormal"/>
      </w:pPr>
      <w:r>
        <w:t xml:space="preserve">b) A raíz de esos hechos se inició un proceso penal por los delitos de homicidio y tenencia ilícita de armas en dicho país contra el ciudadano de nacionalidad argentina don Hugo Bernardo Borgobello, nacido en Las Heras/Mendoza (Argentina), hoy recurrente de amparo. La orden de detención cursada contra él no pudo ser cumplida, porque no fue hallado. El recurrente no prestó nunca declaración en la causa. Su esposa designó a un Letrado, don Giuseppe López quien asumió la defensa del recurrente desde el día 6 de junio de 1990. </w:t>
      </w:r>
    </w:p>
    <w:p w:rsidR="00FA0779" w:rsidRDefault="00FA0779" w:rsidP="00FA0779">
      <w:pPr>
        <w:pStyle w:val="TextoNormal"/>
      </w:pPr>
      <w:r>
        <w:t xml:space="preserve">c) El día 21 de septiembre de 1990 el Letrado aportó al Tribunal un escrito redactado en castellano por Borgobello, junto con la traducción al italiano, que contenía la versión de éste de lo sucedido. El 28 de diciembre del mismo año se depositó en la Secretaria del Tribunal el nombramiento del citado defensor y la designación del domicilio de éste a efectos de citaciones, firmada por el Sr. Borgobello, firma autentificada por su esposa. En este escrito se autorizaba al defensor para que impugnara en su caso la posible Sentencia condenatoria, dándole poder especial. </w:t>
      </w:r>
    </w:p>
    <w:p w:rsidR="00FA0779" w:rsidRDefault="00FA0779" w:rsidP="00FA0779">
      <w:pPr>
        <w:pStyle w:val="TextoNormal"/>
      </w:pPr>
      <w:r>
        <w:t xml:space="preserve">d) Celebrado el juicio en rebeldía del Sr. Borgobello los días 8 y 9 de enero de 1991, recayó Sentencia el mismo día 9 por la que se le condenaba como autor de un delito de </w:t>
      </w:r>
      <w:r>
        <w:lastRenderedPageBreak/>
        <w:t xml:space="preserve">homicidio a la pena de diecisiete años y como autor de un delito de tenencia ilícita de armas a la pena de dos años y multa de un millón de liras. </w:t>
      </w:r>
    </w:p>
    <w:p w:rsidR="00FA0779" w:rsidRDefault="00FA0779" w:rsidP="00FA0779">
      <w:pPr>
        <w:pStyle w:val="TextoNormal"/>
      </w:pPr>
      <w:r>
        <w:t xml:space="preserve">e) Interpuesto recurso de apelación, la audiencia se celebró el 30 de abril de 1991, sin que compareciera el condenado que continuaba en situación de rebeldía, pero con la presencia de su Letrado. Por Sentencia de la misma fecha, el Tribunal de apelación desestimó el recurso y confirmó la resolución impugnada. </w:t>
      </w:r>
    </w:p>
    <w:p w:rsidR="00FA0779" w:rsidRDefault="00FA0779" w:rsidP="00FA0779">
      <w:pPr>
        <w:pStyle w:val="TextoNormal"/>
      </w:pPr>
      <w:r>
        <w:t xml:space="preserve">f) El 20 de junio de 1991 el Letrado don Giuseppe López formalizó el recurso de casación, que fue inadmitido por Sentencia del Tribunal de casación de 24 de octubre de 1991, por lo que la condena devíno en aquel momento firme. </w:t>
      </w:r>
    </w:p>
    <w:p w:rsidR="00FA0779" w:rsidRDefault="00FA0779" w:rsidP="00FA0779">
      <w:pPr>
        <w:pStyle w:val="TextoNormal"/>
      </w:pPr>
      <w:r>
        <w:t xml:space="preserve">g) La Fiscalía de la República ante el Tribunal de Milán emitió la Orden Internacional de Detención (O.I.D.) núm. 2.002/91 contra el ahora recurrente de amparo el 16 de enero de 1992. </w:t>
      </w:r>
    </w:p>
    <w:p w:rsidR="00FA0779" w:rsidRDefault="00FA0779" w:rsidP="00FA0779">
      <w:pPr>
        <w:pStyle w:val="TextoNormal"/>
      </w:pPr>
      <w:r>
        <w:t xml:space="preserve">h) Con fecha 30 de enero de 1996 el Servicio de INTERPOL de la Dirección General de la Policía participó al Juzgado Central de Instrucción núm. 3, en funciones de guardia, la detención en Valencia del Sr. Borgobello y la iniciación de diligencias, con fines de extradición para el cumplímiento de la condena impuesta, a instancias de la República italiana. </w:t>
      </w:r>
    </w:p>
    <w:p w:rsidR="00FA0779" w:rsidRDefault="00FA0779" w:rsidP="00FA0779">
      <w:pPr>
        <w:pStyle w:val="TextoNormal"/>
      </w:pPr>
      <w:r>
        <w:t xml:space="preserve">i) Decretada por dicho Juzgado la prisión provisional incondicional el 31 de enero de 1996, se concedió un plazo de cuarenta días a las autoridades italianas para que formalizaran la demanda de extradición. Por Auto, de 22 de febrero de 1996, se decretó la libertad sin fianza del reclamado. </w:t>
      </w:r>
    </w:p>
    <w:p w:rsidR="00FA0779" w:rsidRDefault="00FA0779" w:rsidP="00FA0779">
      <w:pPr>
        <w:pStyle w:val="TextoNormal"/>
      </w:pPr>
      <w:r>
        <w:t xml:space="preserve">j) Mediante nota verbal fechada el 8 de marzo de 1996 la Embajada de Italia en Madrid presentó la demanda de extradición, acompañada de la correspondiente documentación, para la ejecución de las penas impuestas por los delitos de homicidio y tenencia ilícita de armas. </w:t>
      </w:r>
    </w:p>
    <w:p w:rsidR="00FA0779" w:rsidRDefault="00FA0779" w:rsidP="00FA0779">
      <w:pPr>
        <w:pStyle w:val="TextoNormal"/>
      </w:pPr>
      <w:r>
        <w:t xml:space="preserve">k) El Consejo de Ministros, en su reunión del 28 de marzo de 1996, acordó la continuación del procedimiento de extradición, lo que se comunicó a la Presidencia de la Audiencia Nacional. </w:t>
      </w:r>
    </w:p>
    <w:p w:rsidR="00FA0779" w:rsidRDefault="00FA0779" w:rsidP="00FA0779">
      <w:pPr>
        <w:pStyle w:val="TextoNormal"/>
      </w:pPr>
      <w:r>
        <w:t xml:space="preserve">1) Por AUTO NÚM. 34/96, de 5 de diciembre de 1996, la Sección Segunda de la Sala de lo Penal de la Audiencia Nacional acordó declarar la procedencia de a extradición del Sr. Borgobello Luzuriaga solicitada por el Gobierno de Italia, sin perjuicio de la decisión última que corresponde legalmente al Gobierno. </w:t>
      </w:r>
    </w:p>
    <w:p w:rsidR="00FA0779" w:rsidRDefault="00FA0779" w:rsidP="00FA0779">
      <w:pPr>
        <w:pStyle w:val="TextoNormal"/>
      </w:pPr>
      <w:r>
        <w:t xml:space="preserve">11) La representación del recurrente interpuso recurso de súplica contra la anterior resolución, que fue también impugnada por el Ministerio Fiscal. </w:t>
      </w:r>
    </w:p>
    <w:p w:rsidR="00FA0779" w:rsidRDefault="00FA0779" w:rsidP="00FA0779">
      <w:pPr>
        <w:pStyle w:val="TextoNormal"/>
      </w:pPr>
      <w:r>
        <w:t>m) El Pleno de la Sala de lo Penal de la Audiencia Nacional, mediante AUTO NÚM. 23/97, de 21 de abril de 1997, desestimó el recurso y declaró procedente a extradición.</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formula la solicitud de declaración de nulidad de ambos Autos, tanto el dictado por la Sección Segunda como el pronunciado por el Pleno de la Sala de lo Penal, ambos de la Audiencia Nacional. Se pretende asimismo la suspensión le la ejecución de los Autos que declaran procedente la extradición, así como del Acuerdo posterior del Consejo de Ministros. Sin embargo, no hay constancia ni acreditación de que tal Acuerdo haya sido adoptado a la fecha de presentación de a demanda, ni, por lo tanto, el sentido del mismo. </w:t>
      </w:r>
    </w:p>
    <w:p w:rsidR="00FA0779" w:rsidRDefault="00FA0779" w:rsidP="00FA0779">
      <w:pPr>
        <w:pStyle w:val="TextoNormal"/>
      </w:pPr>
      <w:r>
        <w:t xml:space="preserve">La representación del recurrente parte del criterio de que los ciudadanos extranjeros están legitimados para interponer el recurso de amparo y formula diversos motivos :&gt;asados en la eventual vulneración de los siguientes derechos fundamentales: A la tutela judicial efectiva (art. 24.1 C.E.) en relación con el de defensa, a ser informado de la acusación y a </w:t>
      </w:r>
      <w:r>
        <w:lastRenderedPageBreak/>
        <w:t xml:space="preserve">un proceso con todas las garantías (art. 24.2 C.E.); a la presunción de inocencia (art. 24.2 C.E.); al principio de legalidad penal (art. 25.1 C.E.); y al principio de igualdad (art. 14 C.E.). </w:t>
      </w:r>
    </w:p>
    <w:p w:rsidR="00FA0779" w:rsidRDefault="00FA0779" w:rsidP="00FA0779">
      <w:pPr>
        <w:pStyle w:val="TextoNormal"/>
      </w:pPr>
      <w:r>
        <w:t xml:space="preserve">a) El recurso aduce que los extranjeros sometidos en España a un procedimiento de extradición están legitimados activamente para formular recurso de amparo constitucional cuando se han vulnerado derechos fundamentales no sólo por las Autoridades españolas sino también por las del Estado requirente, con apoyo en la doctrina del Tribunal Constitucional (SSTC 11/1983, 13/1994), y del Tribunal Europeo de Derechos Humanos (Sentencia de 7 de julio de 1989, asunto Soering). </w:t>
      </w:r>
    </w:p>
    <w:p w:rsidR="00FA0779" w:rsidRDefault="00FA0779" w:rsidP="00FA0779">
      <w:pPr>
        <w:pStyle w:val="TextoNormal"/>
      </w:pPr>
      <w:r>
        <w:t xml:space="preserve">b) Los derechos a la tutela judicial efectiva, a la defensa, a ser informado de a acusación y a un proceso con todas las garantías habrían resultado lesionados porque el Tribunal italiano pronunció la condena en rebeldía del acusado. El Segundo Protocolo Adicional al Convenio Europeo de Extradición (en adelante, 11 P.A. al C.E.Ex.) permite bajo ciertas condiciones la entrega del sujeto requerido condenado en rebeldía, según lo dispuesto en el art. 3 del título 111, que sólo contiene tal precepto. Ahora bien, Italia había formulado reserva al mencionado título 111. Los órganos judiciales españoles estiman de aplicación dicho título 111, porque Italia ha retirado a referida reserva, aunque la retirada no ha sido publicada en ningún Diario Oficial. </w:t>
      </w:r>
    </w:p>
    <w:p w:rsidR="00FA0779" w:rsidRDefault="00FA0779" w:rsidP="00FA0779">
      <w:pPr>
        <w:pStyle w:val="TextoNormal"/>
      </w:pPr>
      <w:r>
        <w:t xml:space="preserve">Pero aun considerando eficaz la retirada de la reserva, los Autos impugnados no dan cumplimiento a las condiciones establecidas en el título 111 del 11 P.A. al C.E.Ex., que exige que la parte requirente garantice un nuevo proceso que salvaguarde los derechos de la defensa. Simplemente examinan si se ha garantizado al Sr. Borgobello el ejercicio de los derechos de la defensa en el proceso seguido contra él en Italia. Pero la procedencia de la extradición no se condiciona a ese nuevo proceso cuya celebración es obligatoria según el reiterado título, en la hipótesis de que éste fuera aplicable. </w:t>
      </w:r>
    </w:p>
    <w:p w:rsidR="00FA0779" w:rsidRDefault="00FA0779" w:rsidP="00FA0779">
      <w:pPr>
        <w:pStyle w:val="TextoNormal"/>
      </w:pPr>
      <w:r>
        <w:t xml:space="preserve">A juicio del recurrente no es posible conceder la extradición cuando se solicita la entrega de un individuo sobre el que ha recaído condena dictada en rebeldía Nuestro ordenamiento no permite, como regla general, la celebración de un juicio en ausencia del imputado, salvo las excepciones de los juicios de faltas y de aquello procedimientos abreviados en los que la pena privativa de libertad solicitada se inferior a un año. Por otro lado, el art. 2 de la Ley de Extradición Pasiva (en adelante L.Ex.P.) impide la entrega, salvo que el Estado requirente ofrezca garantías de que el reclamado será sometido a un nuevo juicio en el que deberá estar presente debidamente defendido. La propia Audiencia Nacional ha seguido este criterio, como se demuestra en el Auto del Pleno de 25 de octubre de 1994 y en el Auto d la Sección Segunda de 20 de septiembre de 1994, así como en la STC 11/1983 </w:t>
      </w:r>
    </w:p>
    <w:p w:rsidR="00FA0779" w:rsidRDefault="00FA0779" w:rsidP="00FA0779">
      <w:pPr>
        <w:pStyle w:val="TextoNormal"/>
      </w:pPr>
      <w:r>
        <w:t xml:space="preserve">Los derechos fundamentales alegados fueron vulnerados, según la demanda, e virtud del proceso que se siguió en Italia, por lo que serían imputables también a la Audiencia Nacional española, que ha dado por inexistentes tales vulneraciones. Este razonamiento se apoya en los votos particulares presentados a la STC 11/1983 Se enumeran como vicios del enjuiciamiento acaecido en Italia la falta de designación de Abogado, pues consta que fue su esposa y no él mismo quien lo nombró; que es muy posible que el Sr. Borgobello desconociera algunos o todos los cargos dirigido contra él; que una testigo no estuvo presente en el acto del juicio, por lo que si declaración fue leída en el mismo; que los peritos no demostraron que el arma hubiera sido disparada por el recurrente; que no se encontraron huellas en el coche que el Sr. Borgobello nunca pudo haber redactado de su puño y letra la carta e la que, según se afirma, da su versión de lo ocurrido, pues es analfabeto y </w:t>
      </w:r>
      <w:r>
        <w:lastRenderedPageBreak/>
        <w:t xml:space="preserve">precisamente ahora está cursando estudios en la Escuela del Centro Penitenciario para aprende a leer y a escribir. </w:t>
      </w:r>
    </w:p>
    <w:p w:rsidR="00FA0779" w:rsidRDefault="00FA0779" w:rsidP="00FA0779">
      <w:pPr>
        <w:pStyle w:val="TextoNormal"/>
      </w:pPr>
      <w:r>
        <w:t xml:space="preserve">c) La presunción de inocencia habría resultado quebrantada de forma directa por los Tribunales italianos y de forma mediata por la Audiencia Nacional, al haber sido juzgado el Sr. Borgobello en aquel país en rebeldía y al no haber considerado que éste se encontraba en España en el momento del suceso, como lo acredita el hecho de que está dado de alta en la Seguridad Social desde 1985 y porque en su momento se aportaron contratos y recibos con personas y entidades españolas que ponen de manifiesto que el recurrente vivía en España con el hijo suyo y de la fallecida, así como con la madre de ésta. </w:t>
      </w:r>
    </w:p>
    <w:p w:rsidR="00FA0779" w:rsidRDefault="00FA0779" w:rsidP="00FA0779">
      <w:pPr>
        <w:pStyle w:val="TextoNormal"/>
      </w:pPr>
      <w:r>
        <w:t xml:space="preserve">d) El quebranto del principio de legalidad penal se deriva de que la Audiencia Nacional ha otorgado efectos a la retirada de la reserva al título III del 11 P.A al C.E.Ex. desde el momento en que fue presentada al Secretario General del Consejo de Europa -presentación que al parecer tuvo lugar el 23 de agosto de 1990-, con olvido de que este principio exige una previa lex scripta, como también lo requiere los arts. 9.3 y 96.1 C.E., así como el art. 1.1 del C.C. Puesto que la retirada no está publicada, no puede ser aplicado el precepto al presente caso, tal y como entendió el Ministerio Fiscal en su adhesión al recurso de súplica. </w:t>
      </w:r>
    </w:p>
    <w:p w:rsidR="00FA0779" w:rsidRDefault="00FA0779" w:rsidP="00FA0779">
      <w:pPr>
        <w:pStyle w:val="TextoNormal"/>
      </w:pPr>
      <w:r>
        <w:t>e) La conculcación del principio de igualdad se fundamenta en que la Audiencia Nacional ha denegado hasta ahora las solicitudes de extradición formuladas por Italia por haber sido dictada la condena en rebeldía, y sólo a partir del presente caso se modifica el criterio considerando procedente la extradición. Si la normativa no ha variado, tampoco puede variar el criterio adoptado. Se citan a estos efectos e Auto del Pleno de la Audiencia Nacional de 25 de octubre de 1994 y el Auto de la Sección Segunda de la misma Audiencia de 20 de septiembre de 1994. Existe, pues, discriminación porque hay una distinción de trato carente de justificación coherente y razonable.</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10 de junio de 1997, la Sección Cuarta de este Tribunal acordó admitir a trámite la demanda de amparo y requerir la remisión de las actuaciones. Por otra providencia de la misma fecha acordó formar la oportuna pieza separada de suspensión, concediendo, en virtud de lo dispuesto en el art. 56 de la LOTC, un plazo común de tres días a la parte recurrente y al Ministerio Fiscal para que alegaran lo que estimasen pertinente sobre la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Ministerio Fiscal presentó sus alegaciones el día 12 de junio de 1997, en las que expresa que no se opone a la suspensión solicitada. Tras calificarla como una medida cautelar que sirve, en su caso, para mantener un statu quo existente en el momento de dictarse la resolución judicial recurrida en amparo, e impedir que su ejecución conlleve los graves efectos que indica el art. 56 LOTC, observa que en ningún caso puede servir de medio para obtener una concesión anticipada del amparo. Con los datos obrantes en la causa, entiende que es procedente la suspensión solicitada, pero circunscrita -como viene a indicar el recurrente- a la parte de los Autos que acordaron la extradición, y puntualiza que no procede la suspensión en la parte en que mantienen la situación personal del extraditable. En otro caso éste sería entregado a las Autoridades del Estado requirente, lo que determinaría que un eventual pronunciamiento favorable en este proceso no tuviera efectos favorables más allá de los meramente declarativos, incurriendo, por tanto, en el supuesto de perjuicios de imposible o difícil reparación a que hace mención el art. 56 LOTC. Además el Fiscal tampoco entiende que concurran causas que determinen la negativa a la suspensión solicitada, pues una rápida tramitación de este proceso -exigida, por otra parte, por la </w:t>
      </w:r>
      <w:r>
        <w:lastRenderedPageBreak/>
        <w:t>situación de prisión del Sr. Borgobello- minimiza la supuesta afectación de intereses generales, y no se aprecia que se perjudiquen derechos fundamentales o libertades públicas de terceros.</w:t>
      </w:r>
    </w:p>
    <w:p w:rsidR="00FA0779" w:rsidRDefault="00FA0779" w:rsidP="00FA0779">
      <w:pPr>
        <w:pStyle w:val="TextoNormal"/>
      </w:pPr>
    </w:p>
    <w:p w:rsidR="00FA0779" w:rsidRDefault="00FA0779" w:rsidP="00FA0779">
      <w:pPr>
        <w:pStyle w:val="TextoNormal"/>
      </w:pPr>
      <w:r w:rsidRPr="00FA0779">
        <w:rPr>
          <w:rStyle w:val="NumeroAFNegritaCaracter"/>
        </w:rPr>
        <w:t>6</w:t>
      </w:r>
      <w:r>
        <w:t>. La representación del recurrente no presentó el oportuno escrito de alegaciones.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Según la doctrina de este Tribunal acerca del art. 56,1 de la LOTC, la regla general en materia de resoluciones judiciales es la no suspensión, habida cuenta del interés general que se deriva de su ejecución y como consecuencia de la presunción de legitimidad de las actuaciones de los poderes públicos (AATC 269/1995, 288/1995, 302/1995 y 344/1995, entre los más recientes). El mismo precepto prevé como excepción el acuerdo de la suspensión «cuando la ejecución hubiere de ocasionar un perjuicio que haría perder al amparo su finalidad».</w:t>
      </w:r>
    </w:p>
    <w:p w:rsidR="00FA0779" w:rsidRDefault="00FA0779" w:rsidP="00FA0779">
      <w:pPr>
        <w:pStyle w:val="TextoNormal"/>
      </w:pPr>
      <w:r>
        <w:t>Desde una perspectiva procesal la suspensión se muestra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liaría perder al amparo su finalidad ... ), convirtiendo así una eventual Sentencia favorable en una mera declaración de buenos propósitos, desprovista de eficacia práctica» (ATC 344/1995).</w:t>
      </w:r>
    </w:p>
    <w:p w:rsidR="00FA0779" w:rsidRDefault="00FA0779" w:rsidP="00FA0779">
      <w:pPr>
        <w:pStyle w:val="TextoNormal"/>
      </w:pPr>
    </w:p>
    <w:p w:rsidR="00FA0779" w:rsidRDefault="00FA0779" w:rsidP="00FA0779">
      <w:pPr>
        <w:pStyle w:val="TextoNormal"/>
      </w:pPr>
      <w:r w:rsidRPr="00FA0779">
        <w:rPr>
          <w:rStyle w:val="NumeroAFNegritaCaracter"/>
        </w:rPr>
        <w:t>2</w:t>
      </w:r>
      <w:r>
        <w:t>. En aplicación de la anterior doctrina, se advierte que en el presente caso se da la circunstancia de que la ejecución de las resoluciones impugnadas convertiría en ilusoria una eventual concesión del amparo, toda vez que si don Hugo Bernardo Borgobello fuera entregado a las Autoridades del Estado requirente, carecería ya de sentido que este Tribunal se pronunciara sobre las vulneraciones de derechos alegadas, que en definitiva tienen por objetivo impedir su extradición. No se aprecia que en este caso concurra una perturbación grave de los intereses generales ni de los derechos fundamentales o libertades públicas de un tercero.</w:t>
      </w:r>
    </w:p>
    <w:p w:rsidR="00FA0779" w:rsidRDefault="00FA0779" w:rsidP="00FA0779">
      <w:pPr>
        <w:pStyle w:val="TextoNormal"/>
      </w:pPr>
      <w:r>
        <w:t>Por otra parte, como con acierto indica el Ministerio Fiscal, el recurrente se encuentra en prisión provisional, lo que pone de manifiesto que serían perfectamente ejecutables los Autos impugnados en el caso de que el amparo no fuera estimado y fuera levantado el acuerdo de suspensión. Por ello debe ser mantenida la ejecutividad de tales resoluciones en lo que afecta a la situación personal del Sr. Borgobello.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w:t>
      </w:r>
    </w:p>
    <w:p w:rsidR="00FA0779" w:rsidRDefault="00FA0779" w:rsidP="00FA0779">
      <w:pPr>
        <w:pStyle w:val="TextoNormal"/>
      </w:pPr>
      <w:r>
        <w:t>1.º Suspender la ejecución del AUTO NÚM. 23/97 del Pleno de la Sala Segunda de lo Penal de la Audiencia Nacional, de fecha 21 de abril de 1997, y la del AUTO NÚM. 34/96 de la Sección Segunda de la misma Sala y Tribunal, dictado el 5 de diciembre de 1996,</w:t>
      </w:r>
    </w:p>
    <w:p w:rsidR="00FA0779" w:rsidRDefault="00FA0779" w:rsidP="00FA0779">
      <w:pPr>
        <w:pStyle w:val="TextoNormal"/>
      </w:pPr>
      <w:r>
        <w:lastRenderedPageBreak/>
        <w:t>rollo de Sala 6/96, dimanante del expediente gubernativo de extradición 6/96, en cuanto acuerdan la procedencia de la extradición de don Hugo Bernardo Borgobello Luzuriaga a Italia, pero no en cuanto a la situación de prisión provisional del mismo.</w:t>
      </w:r>
    </w:p>
    <w:p w:rsidR="00FA0779" w:rsidRDefault="00FA0779" w:rsidP="00FA0779">
      <w:pPr>
        <w:pStyle w:val="TextoNormal"/>
      </w:pPr>
      <w:r>
        <w:t>2.º Declarar que no procede la entrega del recurrente, en tanto no se levante la suspensión acordada en el apartado anterior.</w:t>
      </w:r>
    </w:p>
    <w:p w:rsidR="00FA0779" w:rsidRDefault="00FA0779" w:rsidP="00FA0779">
      <w:pPr>
        <w:pStyle w:val="TextoNormal"/>
      </w:pPr>
      <w:r>
        <w:t>3.º Comunicar urgentemente el presente Auto al Gobierno de la Nación por conducto del Ministerio de Justicia</w:t>
      </w:r>
    </w:p>
    <w:p w:rsidR="00FA0779" w:rsidRDefault="00FA0779" w:rsidP="00FA0779">
      <w:pPr>
        <w:pStyle w:val="TextoNormal"/>
      </w:pPr>
    </w:p>
    <w:p w:rsidR="00FA0779" w:rsidRDefault="00FA0779" w:rsidP="00FA0779">
      <w:pPr>
        <w:pStyle w:val="TextoNormal"/>
      </w:pPr>
      <w:r>
        <w:t>Madrid, a doce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4" w:name="AUTO_1997_211"/>
      <w:r>
        <w:lastRenderedPageBreak/>
        <w:t>AUTO 211/1997, de 16 de junio de 1997</w:t>
      </w:r>
    </w:p>
    <w:bookmarkEnd w:id="144"/>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ECLI:ES:TC:1997:211A</w:t>
      </w:r>
    </w:p>
    <w:p w:rsidR="00FA0779" w:rsidRDefault="00FA0779" w:rsidP="00FA0779">
      <w:pPr>
        <w:pStyle w:val="SntesisDescriptiva"/>
      </w:pPr>
    </w:p>
    <w:p w:rsidR="00FA0779" w:rsidRDefault="00FA0779" w:rsidP="00FA0779">
      <w:pPr>
        <w:pStyle w:val="SntesisDescriptiva"/>
      </w:pPr>
      <w:r>
        <w:t>Excms. Srs. don Álvaro Rodríguez Bereijo,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3.563/1995.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23 de septiembre de 1996, la entidad «Anoeta, U.T.E.», representada por la Procuradora de los Tribunales doña Esperanza Azpeitia Calvín, interpone recurso de amparo contra la Sentencia de la Sala de lo Social del Tribunal Superior de Justicia del País Vasco, de 6 de octubre de 1994, sobre aplicación de Convenio Colectivo, y el Auto de la Sala de lo Social del Tribunal Supremo, de 4 de julio de 1995, por el que se inadmite recurso de casación para la unificación de doctrina.</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recurso se basa en los siguientes hechos: </w:t>
      </w:r>
    </w:p>
    <w:p w:rsidR="00FA0779" w:rsidRDefault="00FA0779" w:rsidP="00FA0779">
      <w:pPr>
        <w:pStyle w:val="TextoNormal"/>
      </w:pPr>
      <w:r>
        <w:t xml:space="preserve">a) En 1992, la Inspección de Trabajo levantó acta de infracción a la empresa «Rush-Construçoes e Investimentos Ltda.» (en adelante, «Rush»), subcontratista de la empresa principal «Anoeta U.T.E.», ahora recurrente en amparo La infracción consistía en que los trabajadores de la empresa «Rush», todos ellos de nacionalidad portuguesa, habían percibido menores salarios de los establecidos en el Convenio Colectivo de la Construcción de Guipúzcoa, que para la Inspección de Trabajo era el convenio aplicable. Se proponía una sanción de 500.000 pesetas y, en virtud de lo establecido en el art. 42.2 del Estatuto de los Trabajadores (E.T.) se consideraba responsable solidaria a la empresa solicitante de amparo. </w:t>
      </w:r>
    </w:p>
    <w:p w:rsidR="00FA0779" w:rsidRDefault="00FA0779" w:rsidP="00FA0779">
      <w:pPr>
        <w:pStyle w:val="TextoNormal"/>
      </w:pPr>
      <w:r>
        <w:t xml:space="preserve">b) La empresa demandante de amparo formuló descargos contra el acta, oponiéndose a la condición de responsable solidaria que se le imputa respecto a la sanción impuesta a la subcontratista, en base al carácter personalísimo que tiene cualquier responsabilidad que nazca de una infracción. También la empresa «Rush» formuló escrito de descargos rechazando, en primer lugar, que el Convenio Colectivo de Guipúzcoa pudiera aplicarse a trabajadores extranjeros de una empresa igualmente extranjera desplazados a un lugar determinado y alegando, en segundo término, que, aunque fuera aplicable aquel Convenio, el mismo se respetaba. </w:t>
      </w:r>
    </w:p>
    <w:p w:rsidR="00FA0779" w:rsidRDefault="00FA0779" w:rsidP="00FA0779">
      <w:pPr>
        <w:pStyle w:val="TextoNormal"/>
      </w:pPr>
      <w:r>
        <w:t xml:space="preserve">A la vista de que se discutía la aplicabilidad o inaplicabilidad del citado Convenio y, en su caso, la correcta interpretación de los conceptos salariales de las nóminas de los trabajadores, cuestiones cuyo conocimiento está atribuido al orden social [art. 9.5 LOPJ, en relación con el art. 2, a) y 1), L.P.L.], la autoridad laboral acordó iniciar procedimiento de </w:t>
      </w:r>
      <w:r>
        <w:lastRenderedPageBreak/>
        <w:t xml:space="preserve">oficio, de conformidad con lo establecido en el art. 148.2 (hoy 149.2) L.P.L. La admisión de la demanda provoca la suspensión del expediente administrativo (art. 150.2 L.P.L.). </w:t>
      </w:r>
    </w:p>
    <w:p w:rsidR="00FA0779" w:rsidRDefault="00FA0779" w:rsidP="00FA0779">
      <w:pPr>
        <w:pStyle w:val="TextoNormal"/>
      </w:pPr>
      <w:r>
        <w:t xml:space="preserve">c) La demanda fue estimada por Sentencia del Juzgado de lo Social núm. 1 de San Sebastián, declarándose la aplicabilidad del Convenio Colectivo de la Construcción de Guipúzcoa. La Sentencia razona que la solicitud deducida únicamente pretendía la emanación de una Sentencia «meramente declarativa», «sin condena alguna al abono de cantidades o a deducciones de responsabilidades en dicho abono, lo que no empece que a la vista de la resolución dictada, los trabajadores afectados ejerciten las acciones que a su derecho convenga». </w:t>
      </w:r>
    </w:p>
    <w:p w:rsidR="00FA0779" w:rsidRDefault="00FA0779" w:rsidP="00FA0779">
      <w:pPr>
        <w:pStyle w:val="TextoNormal"/>
      </w:pPr>
      <w:r>
        <w:t xml:space="preserve">En el acto del juicio, la defensa letrada de la empresa recurrente en amparo opuso excepción de falta de legitimación activa de la autoridad laboral, no para iniciar el proceso, sino para actuar en él. La excepción fue estimada por la Sentencia del Juzgado de lo Social, por entender que la autoridad laboral impulsa el procedimiento, pero no es en rigor parte en el mismo y no puede proponer pruebas o recurrir la Sentencia, siendo partes únicamente los trabajadores interesados y la empresa. De ahí que, en su fallo, la Sentencia del Juzgado de lo Social dijera «que debo estimar la excepción de falta de legitimación activa interpuesta» por la empresa solicitante de amparo, «y entrando a conocer del fondo del asunto debo estimar la demanda de oficio interpuesta». </w:t>
      </w:r>
    </w:p>
    <w:p w:rsidR="00FA0779" w:rsidRDefault="00FA0779" w:rsidP="00FA0779">
      <w:pPr>
        <w:pStyle w:val="TextoNormal"/>
      </w:pPr>
      <w:r>
        <w:t xml:space="preserve">d) La empresa solicitante de amparo interpuso recurso de suplicación contra la anterior Sentencia, solicitando su revocación, y que se declarara la inaplicabilidad del Convenio Colectivo de la Construcción de Guipúzcoa, o, subsidiariamente, para el caso de que fuera aplicable., que el montante total de los conceptos salariales abonados a los trabajadores es equiparable a los conceptos salariales del Convenio Colectivo citado. </w:t>
      </w:r>
    </w:p>
    <w:p w:rsidR="00FA0779" w:rsidRDefault="00FA0779" w:rsidP="00FA0779">
      <w:pPr>
        <w:pStyle w:val="TextoNormal"/>
      </w:pPr>
      <w:r>
        <w:t xml:space="preserve">Pero la Sala de lo Social del Tribunal Superior de Justicia del País Vasco, de oficio. declara «la falta de legitimación activa» de la empresa recurrente en amparo «para recurrir en suplicación la Sentencia absolutoria en la instancia contra ella -por estimación de la opuesta excepción de falta de legitimación pasiva-» y, en consecuencia, declara la firmeza de Sentencia dictada por el Juzgado de lo Social. El Tribunal Superior de Justicia entiende que, aunque el fallo de la Sentencia del Juzgado de lo Social dice estimar la falta de legitimación «activa» interpuesta por la entidad demandante de amparo, lo que en verdad estima es la falta de legitimación «pasiva» de esta entidad que había sido demandada. Para el órgano judicial la única empresa obligada a soportar las consecuencias del fallo declarativo es la empresa «Rush», quien no recurrió la Sentencia del Juzgado de lo Social. El Tribunal Superior de Justicia añade que la cuestión planteada bien podía haber sido objeto de recurso de aclaración, En conclusión, para el órgano judicial, si la empresa ahora solicitante de amparo «alegó su falta de legitimación pasiva en el litigio y su excepción fue acogida resulta evidente que carece de legitimación activa para recurrir» en suplicación. El Tribunal Superior de Justicia añade que el Juzgado de lo Social se limita a declarar la aplicabilidad del Convenio Colectivo, «dejando al margen otros pronunciamientos como pudiera ser el de posibles responsabilidades -principal o subsidiaria, mancomunada o solidaria- que pudieran derivarse de la existencia de la subcontrata que cupiera, eventualmente, fueran objeto de litigio en el pleito individual que pudiera plantearse en reclamación de cantidades que no son objeto de condena» en la Sentencia del Juzgado, «precisamente por ello -se concluye- acoge (el Juzgado) la excepción de falta de legitimidad pasiva» de la entidad demandante de amparo. </w:t>
      </w:r>
    </w:p>
    <w:p w:rsidR="00FA0779" w:rsidRDefault="00FA0779" w:rsidP="00FA0779">
      <w:pPr>
        <w:pStyle w:val="TextoNormal"/>
      </w:pPr>
      <w:r>
        <w:t>e) La entidad solicitante de amparo interpuso recurso de casación para la unificación de doctrina. Partiendo de que la función del recurso de casación para la unificación de doctrina no es sólo la de unificar doctrina, sino que por imperativo del art. 24.1 C.E. tiene ade</w:t>
      </w:r>
      <w:r>
        <w:lastRenderedPageBreak/>
        <w:t xml:space="preserve">más una función tuteladora -se dice con cita de la Sentencia del Tribunal Supremo de 2 abril de 1991-, el recurso denunciaba lesión del art. 24.1 C.E., citando numerosas Sentencias del Tribunal Constitucional. </w:t>
      </w:r>
    </w:p>
    <w:p w:rsidR="00FA0779" w:rsidRDefault="00FA0779" w:rsidP="00FA0779">
      <w:pPr>
        <w:pStyle w:val="TextoNormal"/>
      </w:pPr>
      <w:r>
        <w:t>El recurso fue inadmitido por Auto de la Sala de lo Social del Tribunal Supremo. En primer lugar, por incumplimiento del requisito de recoger y expresar la relación precisa y circunstanciada de la contradicción alegada, toda vez que el recurso se limita a citar varias Sentencias del Tribunal Constitucional (a juicio del Tribunal Supremo no idóneas para acreditar la contradicción, aunque sí pueden serlo para fundar la infracción legal) y cinco Sentencias de la Sala de lo Social del Tribunal Supremo y cuatro de la Sala de lo Social del Tribunal Superior de Justicia de Madrid, pero sin hacer, respecto de ellas, la exigible relación precisa y circunstanciada. Y, en segundo término, porque no hay contradicción entre la Sentencia recurrida y las Sentencias de contraste aportadas.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afirma que la Sentencia del Tribunal Superior de Justicia del País Vasco y el Auto del Tribunal Supremo vulneran el art. 24.1, en relación con el art. 14 C.E. </w:t>
      </w:r>
    </w:p>
    <w:p w:rsidR="00FA0779" w:rsidRDefault="00FA0779" w:rsidP="00FA0779">
      <w:pPr>
        <w:pStyle w:val="TextoNormal"/>
      </w:pPr>
      <w:r>
        <w:t xml:space="preserve">Se aduce que se trata de decisiones irrazonadas, que incurren en incongruencia omisiva, no colaboran con las partes y que niegan el acceso al recurso de suplicación, debiéndose recordar en este sentido, se dice, que las causas de inadmisión de los recursos deben interpretarse restrictivamente y que las normas procesales han de interpretarse en el sentido más favorable para la satisfacción del derecho a la tutela judicial efectiva. </w:t>
      </w:r>
    </w:p>
    <w:p w:rsidR="00FA0779" w:rsidRDefault="00FA0779" w:rsidP="00FA0779">
      <w:pPr>
        <w:pStyle w:val="TextoNormal"/>
      </w:pPr>
      <w:r>
        <w:t xml:space="preserve">La demanda insiste en que ni en la instancia ni en el recurso la entidad demandante opuso la excepción de falta de legitimación pasiva, Lo que la Sentencia de instancia estimó es la excepción de falta de acción para ser parte de la autoridad laboral; pero nunca estimó la falta de legitimación pasiva de la entidad demandante de amparo. </w:t>
      </w:r>
    </w:p>
    <w:p w:rsidR="00FA0779" w:rsidRDefault="00FA0779" w:rsidP="00FA0779">
      <w:pPr>
        <w:pStyle w:val="TextoNormal"/>
      </w:pPr>
      <w:r>
        <w:t xml:space="preserve">Se solicita la anulación de la Sentencia y del Auto impugnados y que se retrotraigan las actuaciones para que el Tribunal Superior de Justicia del País Vasco examine el recurso de suplicación o, subsidiariamente, que el Tribunal Supremo resuelva el recurso de casación para la unificación de doctrina. </w:t>
      </w:r>
    </w:p>
    <w:p w:rsidR="00FA0779" w:rsidRDefault="00FA0779" w:rsidP="00FA0779">
      <w:pPr>
        <w:pStyle w:val="TextoNormal"/>
      </w:pPr>
      <w:r>
        <w:t>Se solicita, asimismo, la suspensión de los efectos de la Sentencia recurrida.</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19 de mayo de 1997, la Sección Segunda de este Tribunal acuerda admitir a trámite la demanda de amparo. Mediante otra providencia de la misma fecha, la Sección acuerda formar la oportuna pieza de suspensión y, de conformidad con el art. 56 LOTC, conceder un plazo de tres días a la parte recurrente y al Ministerio Fiscal para que aleguen lo que estimen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23 de mayo de 1997 se registra el escrito de alegaciones de la representación de la entidad recurrente. </w:t>
      </w:r>
    </w:p>
    <w:p w:rsidR="00FA0779" w:rsidRDefault="00FA0779" w:rsidP="00FA0779">
      <w:pPr>
        <w:pStyle w:val="TextoNormal"/>
      </w:pPr>
      <w:r>
        <w:t>El escrito comíenza por recordar que en la controversia de la que trae causa el presente recurso de amparo se pretendió la aplicación del Convenio Colectivo de la Construcción de Guipúzcoa al personal que trabajó en la construcción del estadio deportivo de Anoeta. Y afirma que la ejecución de la Sentencia de instancia representaría importantes sumas, debiendo resaltarse el efecto «cascada», toda vez que se han formulado posteriores reclamaciones con apoyo en esa primera Sentencia. Es público y notorio que la obra del estadio de Anoeta ya concluyó y que los trabajadores ,que prestaron sus servicios cesaron o, progresivamente, están cesando, siendo imposible la restitución de importe alguno si se ejecu</w:t>
      </w:r>
      <w:r>
        <w:lastRenderedPageBreak/>
        <w:t xml:space="preserve">ta la Sentencia, después se otorga el amparo y se resuelve el recurso de suplicación de acuerdo con los intereses de la recurrente en amparo. Es obvio que se ocasiona un perjuicio, traducido en los importes percibidos por los trabajadores que ya no tienen vinculación con la empresa, siendo imposible que con posterioridad se recuperen los mismos. </w:t>
      </w:r>
    </w:p>
    <w:p w:rsidR="00FA0779" w:rsidRDefault="00FA0779" w:rsidP="00FA0779">
      <w:pPr>
        <w:pStyle w:val="TextoNormal"/>
      </w:pPr>
      <w:r>
        <w:t>Por todo lo cual, se solicita la suspensión de los efectos de la Sentencia recurrida y la de instancia que confirma.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presenta su escrito de alegaciones el 29 de mayo de 1997. </w:t>
      </w:r>
    </w:p>
    <w:p w:rsidR="00FA0779" w:rsidRDefault="00FA0779" w:rsidP="00FA0779">
      <w:pPr>
        <w:pStyle w:val="TextoNormal"/>
      </w:pPr>
      <w:r>
        <w:t xml:space="preserve">Tras recordar los antecedentes del caso, el escrito afirma que, si bien es cierto que la interposición de un recurso de amparo no obsta a la efectividad o ejecutoriedad de las resoluciones judiciales, también lo es que se necesita el contrapeso que el art. 56 LOTC confiere al Tribunal en orden a decidir la suspensión de la ejecución de la resolución recurrida, cuando de no hacerse así el amparo pudiera perder su finalidad. Sobre el incidente de suspensión, el Tribunal parte de la premisa de que «en un Estado de Derecho las Sentencias claman por ser cumplidas, como exigencia implícita de la eficacia de la tutela judicial» (AATC 120/1995 y de 9 de diciembre de 1996). </w:t>
      </w:r>
    </w:p>
    <w:p w:rsidR="00FA0779" w:rsidRDefault="00FA0779" w:rsidP="00FA0779">
      <w:pPr>
        <w:pStyle w:val="TextoNormal"/>
      </w:pPr>
      <w:r>
        <w:t xml:space="preserve">En el presente supuesto, se solicita la suspensión de las resoluciones recurridas sin indicar perjuicio alguno para la parte, perjuicio que, en principio, parece inexistente, toda vez que la entidad solicitante de amparo ha resultado absuelta -afirma el Ministerio Fiscal- por la Sentencia que posteriormente adquirió firmeza y contra la que se recurre y es difícil imaginar que la ejecución de un fallo que no le concierne y es meramente declarativo puede originarle perjuicio alguno. </w:t>
      </w:r>
    </w:p>
    <w:p w:rsidR="00FA0779" w:rsidRDefault="00FA0779" w:rsidP="00FA0779">
      <w:pPr>
        <w:pStyle w:val="TextoNormal"/>
      </w:pPr>
      <w:r>
        <w:t>En virtud de lo cual, el Ministerio Fiscal estima que no debe accederse a la solicitud de suspensión.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 De conformidad con la doctrina de este Tribunal acerca del art. 56.1 LOTC, la regla ordinaria en materia de resoluciones judiciales es la no suspensión, habida cuenta del interés general que se deriva de su ejecución y como consecuencia de la presunción de legitimidad de las actuaciones de los poderes públicos (por todos, AATC 269/1995, 288/1995, 302/1995 y 344/1995). En sí misma, la suspensión de la ejecución entraña siempre una perturbación de la función jurisdiccional, que comprende la facultad de ejecutar lo juzgado, a la vez que afecta al derecho a obtener tutela judicial efectiva del litigante victorioso, que se ve privado de la efectividad del pronunciamiento favorable a sus pretensiones, por lo que la regla general ha de ser la improcedencia de la suspensión, siendo excepcional su adopción (por ejemplo, ATC 275/1986). En consecuencia, la suspensión se configura como una medida de carácter excepcional y de aplicación restrictiva, dado el interés general en la efectividad de las decisiones de los poderes públicos y, en particular, en la ejecución de las resoluciones judiciales (AATC 17/1980, 57/1980, 257/1986, 249/1989, 141/1990, 212/1994, 35/1996 y 76/1996, entre otros).</w:t>
      </w:r>
    </w:p>
    <w:p w:rsidR="00FA0779" w:rsidRDefault="00FA0779" w:rsidP="00FA0779">
      <w:pPr>
        <w:pStyle w:val="TextoNormal"/>
      </w:pPr>
      <w:r>
        <w:t xml:space="preserve">Asimismo,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y aquellas otras que afectan a bienes o derechos de difícil o imposible reparación a su estado anterior (como el derecho a la libertad personal), caso este último en el cual la regla general que se sigue es la suspensión de </w:t>
      </w:r>
      <w:r>
        <w:lastRenderedPageBreak/>
        <w:t>la ejecución de las resoluciones judiciales durante la tramitación del recurso (entre otros, AATC 573/1985, 574/1985, 275/1990 y 76/1996), sin que proceda recordar aquí las excepciones que esta regla general puede presentar a la vista de las circunstancias concurrentes. Pero no es ocioso reiterar que en general se ha entendido que las resoluciones judiciales con efectos meramente patrimoniales o económicos en principio no causan perjuicios irreparables, por lo que no procede suspender su ejecución (por todos, AATC 573/1985,574/1985 y 275/1990).</w:t>
      </w:r>
    </w:p>
    <w:p w:rsidR="00FA0779" w:rsidRDefault="00FA0779" w:rsidP="00FA0779">
      <w:pPr>
        <w:pStyle w:val="TextoNormal"/>
      </w:pPr>
    </w:p>
    <w:p w:rsidR="00FA0779" w:rsidRDefault="00FA0779" w:rsidP="00FA0779">
      <w:pPr>
        <w:pStyle w:val="TextoNormal"/>
      </w:pPr>
      <w:r w:rsidRPr="00FA0779">
        <w:rPr>
          <w:rStyle w:val="NumeroAFNegritaCaracter"/>
        </w:rPr>
        <w:t>2</w:t>
      </w:r>
      <w:r>
        <w:t>. La presente demanda de amparo solicita que por la Sala de lo Social del Tribunal Superior de Justicia del País Vasco se examine y entre en el fondo del recurso de suplicación interpuesto por la entidad solicitante de amparo y que fue inadmitido por aquella Sala por apreciar que esta entidad carecía de legitimación activa para recurrir en suplicación la Sentencia que le había sido -afirma el órgano judicial- «absolutoria» en la instancia.  Subsidiariamente, se solicita que la Sala de lo Social del Tribunal Supremo resuelva el recurso de casación para la unificación de doctrina, inadmitido por la Sala por incumplir el requisito de recoger y expresar la relación precisa y circunstanciada de la contradicción alegada, y, en segundo término, por inexistencia de contradicción entre la Sentencia recurrida y las Sentencias de contraste aportadas.</w:t>
      </w:r>
    </w:p>
    <w:p w:rsidR="00FA0779" w:rsidRDefault="00FA0779" w:rsidP="00FA0779">
      <w:pPr>
        <w:pStyle w:val="TextoNormal"/>
      </w:pPr>
      <w:r>
        <w:t>Pues bien, en verdad ni una cosa ni otra resultan impedidas porque no se acceda a la suspensión interesada, aparte de que en rigor no se solicita la suspensión de la ejecución de la Sentencia de la Sala de lo Social del Tribunal Superior de Justicia, sino la de la Sentencia de instancia que aquella otra Sentencia declara firme. Sea como fuere, ocurre que esta última Sentencia es meramente declarativa, limitándose a declarar la aplicabilidad de un determinado Convenio Colectivo sin condenar al abono de cantidad alguna ni determinar, en su caso, a quién o a quiénes les corresponde hacerlo. En todo caso, conviene reiterar de nuevo la ya citada doctrina de este Tribunal en el sentido de que, en principio, las resoluciones judiciales con efectos meramente patrimoniales o económicos no causan perjuicios irreparables, toda vez que no impiden que las cosas puedan ser devueltas al estado en que se hallaban antes de la ejecución, por lo que no procede suspender su ejecución.</w:t>
      </w:r>
    </w:p>
    <w:p w:rsidR="00FA0779" w:rsidRDefault="00FA0779" w:rsidP="00FA0779">
      <w:pPr>
        <w:pStyle w:val="TextoNormal"/>
      </w:pPr>
      <w:r>
        <w:t>Los razonamientos anteriores conducen derechamente a rechazar la suspensión reclamada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denegar la suspensión solicitada.</w:t>
      </w:r>
    </w:p>
    <w:p w:rsidR="00FA0779" w:rsidRDefault="00FA0779" w:rsidP="00FA0779">
      <w:pPr>
        <w:pStyle w:val="TextoNormal"/>
      </w:pPr>
    </w:p>
    <w:p w:rsidR="00FA0779" w:rsidRDefault="00FA0779" w:rsidP="00FA0779">
      <w:pPr>
        <w:pStyle w:val="TextoNormal"/>
      </w:pPr>
      <w:r>
        <w:t>Madrid, a dieciséis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5" w:name="AUTO_1997_212"/>
      <w:r>
        <w:lastRenderedPageBreak/>
        <w:t>AUTO 212/1997, de 16 de junio de 1997</w:t>
      </w:r>
    </w:p>
    <w:bookmarkEnd w:id="145"/>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ECLI:ES:TC:1997:212A</w:t>
      </w:r>
    </w:p>
    <w:p w:rsidR="00FA0779" w:rsidRDefault="00FA0779" w:rsidP="00FA0779">
      <w:pPr>
        <w:pStyle w:val="SntesisDescriptiva"/>
      </w:pPr>
    </w:p>
    <w:p w:rsidR="00FA0779" w:rsidRDefault="00FA0779" w:rsidP="00FA0779">
      <w:pPr>
        <w:pStyle w:val="SntesisDescriptiva"/>
      </w:pPr>
      <w:r>
        <w:t>Excms. Srs. don Álvaro Rodríguez Bereijo,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4.379/1995.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22 de diciembre de 1995, tuvo entrada en el Registro General de este Tribunal escrito presentado ante el Juzgado de Guardia de esta ciudad por la representación procesal de Don Michael S. Ivanovitch, por medio del cual promueve recurso de amparo frente al Auto de 20 de octubre de 1995 de la Audiencia Provincial de Madrid que resuelve el recurso de apelación 1.707/94, interpuesto frente al Auto de 24 de octubre de 1994 del Juzgado de Primera Instancia núm. 29 de esta capital, dictado en procedimiento de modificación de efectos de Sentencia de divorcio.</w:t>
      </w:r>
    </w:p>
    <w:p w:rsidR="00FA0779" w:rsidRDefault="00FA0779" w:rsidP="00FA0779">
      <w:pPr>
        <w:pStyle w:val="TextoNormal"/>
      </w:pPr>
    </w:p>
    <w:p w:rsidR="00FA0779" w:rsidRDefault="00FA0779" w:rsidP="00FA0779">
      <w:pPr>
        <w:pStyle w:val="TextoNormal"/>
      </w:pPr>
      <w:r w:rsidRPr="00FA0779">
        <w:rPr>
          <w:rStyle w:val="NumeroAFNegritaCaracter"/>
        </w:rPr>
        <w:t>2</w:t>
      </w:r>
      <w:r>
        <w:t>. Los hechos que fundamentan la demanda de amparo, brevemente expuestos, consisten en que, promovido ante el Juzgado de Primera Instancia núm. 29 de Madrid procedimiento de notificación de efectos de Sentencia de divorcio, se declaró la incompetencia de los Tribunales españoles para conocer del asunto, toda vez que aunque la demandada y sus hijos residen en Madrid y el demandante, de nacionalidad estadounidense, en Belgrado, la Sentencia cuya modificación se pretende fue dictada por la Corte Superior del Distrito Judicial de Stamford, Norwalk, Condado de Fairfield estado de Connecticut (EE.UU.). El demandante alega que los Tribunales del Estado de Connecticut, como así lo han declarado, carecen de jurisdicción para conoce de la modificación, debido a que ni él ni su antigua esposa, ni los hijos tienen su residencia en dicho estado. La Audiencia Provincial de Madrid ha entendido que se trata de un incidente de ejecución de una Sentencia de un Tribunal extranjero que no corresponde a su jurisdicción.</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la demanda se alega vulneración del derecho fundamental a la tutela judicial efectiva, en su manifestación del derecho a una resolución sobre el fondo siendo así que se trata de un asunto en el que no es discutible la Competencia de los órganos judiciales españoles, según ampliamente justifica. </w:t>
      </w:r>
    </w:p>
    <w:p w:rsidR="00FA0779" w:rsidRDefault="00FA0779" w:rsidP="00FA0779">
      <w:pPr>
        <w:pStyle w:val="TextoNormal"/>
      </w:pPr>
      <w:r>
        <w:t>Mediante otrosí se solicita la suspensión de la ejecución de la condena, pues de la misma se podría derivar un perjuicio irreparable que haría perder al amparo su finalidad.</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Mediante providencia de 15 de enero de 1997, la Sección Segunda de este Tribunal acordó admitir a trámite la demanda de amparo y, a tenor de lo dispuesto en el art. 51 </w:t>
      </w:r>
      <w:r>
        <w:lastRenderedPageBreak/>
        <w:t>LOTC, requerir a los órganos judiciales que conocieron del asunto para que emplacen a cuantos fueron parte en el proceso judicial antecedente, excepto al recurrente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FA0779" w:rsidRDefault="00FA0779" w:rsidP="00FA0779">
      <w:pPr>
        <w:pStyle w:val="TextoNormal"/>
      </w:pPr>
    </w:p>
    <w:p w:rsidR="00FA0779" w:rsidRDefault="00FA0779" w:rsidP="00FA0779">
      <w:pPr>
        <w:pStyle w:val="TextoNormal"/>
      </w:pPr>
      <w:r w:rsidRPr="00FA0779">
        <w:rPr>
          <w:rStyle w:val="NumeroAFNegritaCaracter"/>
        </w:rPr>
        <w:t>6</w:t>
      </w:r>
      <w:r>
        <w:t>. Por escrito presentado en el Juzgado de Guardia de esta ciudad el día 24 de enero de 1997, el demandante de amparo formuló sus alegaciones, justificando la procedencia de la suspensión de la resolución recurrida en que le produce un perjuicio irreparable consistente en que no puede acudir ante ningún Juez para que resuelva acerca de sus peticiones y, en concreto, acerca de su derecho a visitar a sus hijos, a los que lleva años sin poder ver. Entiende que la suspensión del Auto recurrido le permitiría acudir a los Tribunales españoles para solucionar los problemas existentes en su relación con sus hijos.</w:t>
      </w:r>
    </w:p>
    <w:p w:rsidR="00FA0779" w:rsidRDefault="00FA0779" w:rsidP="00FA0779">
      <w:pPr>
        <w:pStyle w:val="TextoNormal"/>
      </w:pPr>
    </w:p>
    <w:p w:rsidR="00FA0779" w:rsidRDefault="00FA0779" w:rsidP="00FA0779">
      <w:pPr>
        <w:pStyle w:val="TextoNormal"/>
      </w:pPr>
      <w:r w:rsidRPr="00FA0779">
        <w:rPr>
          <w:rStyle w:val="NumeroAFNegritaCaracter"/>
        </w:rPr>
        <w:t>7</w:t>
      </w:r>
      <w:r>
        <w:t>. Por escrito presentado el 31 de enero de 1997, el Fiscal interesó que, de acuerdo con el art. 56 LOTC, se denegase la suspensión solicitada porque en la demanda no se especifica ni concreta en qué consisten los perjuicios que se derivarían de la no suspensión y, por otra parte, la suspensión de un acto negativo supone imponer al órgano judicial una actividad procesal (continuación del proceso) que considera improcedente y, en última instancia, adelantar la concesión del amparo que se pretende.</w:t>
      </w:r>
    </w:p>
    <w:p w:rsidR="00FA0779" w:rsidRDefault="00FA0779" w:rsidP="00FA0779">
      <w:pPr>
        <w:pStyle w:val="TextoNormal"/>
      </w:pPr>
    </w:p>
    <w:p w:rsidR="00FA0779" w:rsidRDefault="00FA0779" w:rsidP="00FA0779">
      <w:pPr>
        <w:pStyle w:val="TextoNormal"/>
      </w:pPr>
      <w:r w:rsidRPr="00FA0779">
        <w:rPr>
          <w:rStyle w:val="NumeroAFNegritaCaracter"/>
        </w:rPr>
        <w:t>8</w:t>
      </w:r>
      <w:r>
        <w:t xml:space="preserve">. Por providencia de 12 de mayo de 1997, se concedió un plazo de tres días a la representación procesal de doña Elena María Balsinde, que era la parte demandada en el proceso civil a quo y que se ha personado en este recurso, para que formulase alegaciones en la presente pieza. </w:t>
      </w:r>
    </w:p>
    <w:p w:rsidR="00FA0779" w:rsidRDefault="00FA0779" w:rsidP="00FA0779">
      <w:pPr>
        <w:pStyle w:val="TextoNormal"/>
      </w:pPr>
      <w:r>
        <w:t>Por escrito presentado en el Juzgado de Guardia el día 19 de mayo de 1997, evacuó el trámite, impugnando la solicitud de suspensión. Alega que, en caso de que se concediese el amparo, la consecuencia sería que los Tribunales españoles deberían tramitar la solicitud de modificación de las medidas en cuestión, lo cual siempre será posible, por lo que el amparo no habría perdido su finalidad. Lo que el demandante pide es algo bien distinto, que se anticipen los efectos del amparo como si ya hubiese sido concedido. A mayor abundamiento, afirma que el recurrente tiene promovida la misma solicitud de modificación de medidas ante un Tribunal de Florida, lo que pone de manifiesto la mala fe con que se conduce, con la evidente intención de, al formular la misma solicitud en varios estados, optar por la que resulte más conveniente a sus intereses.</w:t>
      </w:r>
    </w:p>
    <w:p w:rsidR="00FA0779" w:rsidRDefault="00FA0779" w:rsidP="00FA0779">
      <w:pPr>
        <w:pStyle w:val="TextoNormal"/>
      </w:pPr>
    </w:p>
    <w:p w:rsidR="00FA0779" w:rsidRDefault="00FA0779" w:rsidP="00FA0779">
      <w:pPr>
        <w:pStyle w:val="TextoNormal"/>
      </w:pPr>
      <w:r w:rsidRPr="00FA0779">
        <w:rPr>
          <w:rStyle w:val="NumeroAFNegritaCaracter"/>
        </w:rPr>
        <w:t>9</w:t>
      </w:r>
      <w:r>
        <w:t>. El 22 de mayo de 1997 el Fiscal presentó escrito en el que daba por reproducido el dictamen emitido el día 31 de enero de 1997.</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Se solicita por el demandante de amparo la suspensión de una resolución judicial que declara la incompetencia de los Tribunales españoles para conocer de su solicitud de modificación de efectos de Sentencia de divorcio dictada por un Tribunal de los Estados </w:t>
      </w:r>
      <w:r>
        <w:lastRenderedPageBreak/>
        <w:t>Unidos de América, en lo relativo al régimen de comunicaciones y estancias con sus hijos y a la pensión alimenticia señalada en favor de ellos.</w:t>
      </w:r>
    </w:p>
    <w:p w:rsidR="00FA0779" w:rsidRDefault="00FA0779" w:rsidP="00FA0779">
      <w:pPr>
        <w:pStyle w:val="TextoNormal"/>
      </w:pPr>
      <w:r>
        <w:t>El Ministerio Fiscal y la anterior esposa del demandante se oponen a la petición. Se alega que en la demanda no se especifica ni concreta en qué consisten los perjuicios que se derivarían de la no suspensión y ponen de manifiesto cómo lo que se pide a raíz de la suspensión de un acto negativo va, en realidad, más allá de la mera suspensión y supondría adelantar los efectos del amparo. Por otra parte, siempre será posible que, caso de que se estime la demanda, los Tribunales españoles resuelvan acerca de la modificación de medidas solicitada, por lo que el amparo no habría perdido su finalidad.</w:t>
      </w:r>
    </w:p>
    <w:p w:rsidR="00FA0779" w:rsidRDefault="00FA0779" w:rsidP="00FA0779">
      <w:pPr>
        <w:pStyle w:val="TextoNormal"/>
      </w:pPr>
    </w:p>
    <w:p w:rsidR="00FA0779" w:rsidRDefault="00FA0779" w:rsidP="00FA0779">
      <w:pPr>
        <w:pStyle w:val="TextoNormal"/>
      </w:pPr>
      <w:r w:rsidRPr="00FA0779">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FA0779" w:rsidRDefault="00FA0779" w:rsidP="00FA0779">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supresión no produzca las perturbaciones aludidas en el mismo» (ATC 35/1996).</w:t>
      </w:r>
    </w:p>
    <w:p w:rsidR="00FA0779" w:rsidRDefault="00FA0779" w:rsidP="00FA0779">
      <w:pPr>
        <w:pStyle w:val="TextoNormal"/>
      </w:pPr>
      <w:r>
        <w:t>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FA0779" w:rsidRDefault="00FA0779" w:rsidP="00FA0779">
      <w:pPr>
        <w:pStyle w:val="TextoNormal"/>
      </w:pPr>
    </w:p>
    <w:p w:rsidR="00FA0779" w:rsidRDefault="00FA0779" w:rsidP="00FA0779">
      <w:pPr>
        <w:pStyle w:val="TextoNormal"/>
      </w:pPr>
      <w:r w:rsidRPr="00FA0779">
        <w:rPr>
          <w:rStyle w:val="NumeroAFNegritaCaracter"/>
        </w:rPr>
        <w:t>3</w:t>
      </w:r>
      <w:r>
        <w:t>. En el presente caso, procede denegar la suspensión solicitada. No se trata ya sólo de la dificultad que plantea la suspensión de una resolución, como la impugnada, que se limita a declarar la falta de jurisdicción de los Tribunales españoles, sino que es evidente que la denegación de la suspensión no hace perder al amparo su finalidad, toda vez que no existe ningún impedimento para que, tras una hipotética estimación del mismo, los Tribunales civiles resuelvan acerca del fondo de la petición que se les formuló.</w:t>
      </w:r>
    </w:p>
    <w:p w:rsidR="00FA0779" w:rsidRDefault="00FA0779" w:rsidP="00FA0779">
      <w:pPr>
        <w:pStyle w:val="TextoNormal"/>
      </w:pPr>
      <w:r>
        <w:t>Por otra parte, si bien es cierto que el mantenimiento del actual status quo produce efectos desfavorables al demandante de amparo, no lo es menos que no es posible prejuzgar acerca de cuál sería la resolución de fondo que pudieran dictar los Tribunales españoles acerca de las cuestiones que se les plantearan. Finalmente, debe tenerse igualmente en cuenta que la actual situación está fundada en una resolución de un Tribunal de Justicia de los Estados Unidos, que, por sí misma es idónea para definir esa situación en tanto otro Tribunal competente no la modifique.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lastRenderedPageBreak/>
        <w:t>Por todo lo expuesto, la Sala acuerda denegar la suspensión solicitada.</w:t>
      </w:r>
    </w:p>
    <w:p w:rsidR="00FA0779" w:rsidRDefault="00FA0779" w:rsidP="00FA0779">
      <w:pPr>
        <w:pStyle w:val="TextoNormal"/>
      </w:pPr>
    </w:p>
    <w:p w:rsidR="00FA0779" w:rsidRDefault="00FA0779" w:rsidP="00FA0779">
      <w:pPr>
        <w:pStyle w:val="TextoNormal"/>
      </w:pPr>
      <w:r>
        <w:t>Madrid, a dieciséis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6" w:name="AUTO_1997_213"/>
      <w:r>
        <w:lastRenderedPageBreak/>
        <w:t>AUTO 213/1997, de 16 de junio de 1997</w:t>
      </w:r>
    </w:p>
    <w:bookmarkEnd w:id="146"/>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ECLI:ES:TC:1997:213A</w:t>
      </w:r>
    </w:p>
    <w:p w:rsidR="00FA0779" w:rsidRDefault="00FA0779" w:rsidP="00FA0779">
      <w:pPr>
        <w:pStyle w:val="SntesisDescriptiva"/>
      </w:pPr>
    </w:p>
    <w:p w:rsidR="00FA0779" w:rsidRDefault="00FA0779" w:rsidP="00FA0779">
      <w:pPr>
        <w:pStyle w:val="SntesisDescriptiva"/>
      </w:pPr>
      <w:r>
        <w:t>Excms. Srs. don Álvaro Rodríguez Bereijo,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3.101/1996.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31 de julio de 1996, la Procuradora de los Tribunales doña Mónica de la Paloma Fente Delgado, en nombre y representación de la entidad mercantil «Galería Comercial del Mueble, S.A.», interpuso recurso de amparo contra el Auto de la Sección Primera de la Sala Tercera del Tribunal Supremo de 3 de junio de 1996, por el que se inadmitió el recurso de casación para la unificación de doctrina interpuesto por la recurrente.</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De la demanda y documentos aportados con la misma se desprenden los siguientes hechos relevantes: </w:t>
      </w:r>
    </w:p>
    <w:p w:rsidR="00FA0779" w:rsidRDefault="00FA0779" w:rsidP="00FA0779">
      <w:pPr>
        <w:pStyle w:val="TextoNormal"/>
      </w:pPr>
      <w:r>
        <w:t xml:space="preserve">a) El 24 de abril de 1994 la Sala de lo Contencioso-Administrativo del Tribunal Superior de Justicia de Madrid dictó Sentencia desestimando el recurso contencioso-administrativo (núm. 114/91) interpuesto por la actual demandante de amparo contra sendas liquidaciones del impuesto de radicación giradas por el Ayuntamiento de Arganda del Rey correspondientes a los ejercicios de 1990 y 1991. Dicha Sentencia le fue notificada el 24 de junio de 1994. </w:t>
      </w:r>
    </w:p>
    <w:p w:rsidR="00FA0779" w:rsidRDefault="00FA0779" w:rsidP="00FA0779">
      <w:pPr>
        <w:pStyle w:val="TextoNormal"/>
      </w:pPr>
      <w:r>
        <w:t xml:space="preserve">b) El 5 de julio de 1994 la entidad mercantil presentó en el Registro General del Tribunal Supremo un escrito solicitando se le expidieran certificaciones literales de siete Sentencias de dicho Tribunal, con el fin de cumplir el requisito previsto por el art. 102 a), apartado 4, de la L.J.C.A. para la interposición de recurso de casación para la unificación de doctrina. En dicho escrito se individualizaba cada una de las Sentencias mediante la indicación de su fecha, nombre del Ponente y número de marginal en la colección Aranzadi. </w:t>
      </w:r>
    </w:p>
    <w:p w:rsidR="00FA0779" w:rsidRDefault="00FA0779" w:rsidP="00FA0779">
      <w:pPr>
        <w:pStyle w:val="TextoNormal"/>
      </w:pPr>
      <w:r>
        <w:t xml:space="preserve">En respuesta a dicha solicitud, recibió el 11 de julio de 1994 un escrito de la Secretaría de la Sala Tercera del Tribunal Supremo, fechado el 8 de julio de 1994, en el que se le advertía de la insuficiencia de tales datos para la localización de las Sentencias y la expedición de las certificaciones, rogándosele facilitara los necesarios para ello, «como: Número de recurso del Tribunal Supremo de cada una de las Sentencias, número de recurso del Tribunal Superior de Justicia de cada una de las Sentencias, nombre de los litigantes de los mismos, o, en su caso, copia literal de las referencias de Aranzadi». </w:t>
      </w:r>
    </w:p>
    <w:p w:rsidR="00FA0779" w:rsidRDefault="00FA0779" w:rsidP="00FA0779">
      <w:pPr>
        <w:pStyle w:val="TextoNormal"/>
      </w:pPr>
      <w:r>
        <w:lastRenderedPageBreak/>
        <w:t xml:space="preserve">Mediante escrito presentado el 12 de julio de 1994 se cumplimentó dicho requerimiento, con la aportación de copia literal de las referencias de Aranzadi. </w:t>
      </w:r>
    </w:p>
    <w:p w:rsidR="00FA0779" w:rsidRDefault="00FA0779" w:rsidP="00FA0779">
      <w:pPr>
        <w:pStyle w:val="TextoNormal"/>
      </w:pPr>
      <w:r>
        <w:t xml:space="preserve">Las certificaciones interesadas serían recibidas el 19 de septiembre de 1994. </w:t>
      </w:r>
    </w:p>
    <w:p w:rsidR="00FA0779" w:rsidRDefault="00FA0779" w:rsidP="00FA0779">
      <w:pPr>
        <w:pStyle w:val="TextoNormal"/>
      </w:pPr>
      <w:r>
        <w:t xml:space="preserve">c) Presentado escrito de preparación del recurso el 6 de julio de 1994, por Auto de 6 de septiembre de 1994 el Tribunal sentenciador declaró no haber lugar a tenerlo por preparado, por no concurrir ninguno de los supuestos en que es posible la casación, de acuerdo con los arts. 93 y 94 L.J.C.A. </w:t>
      </w:r>
    </w:p>
    <w:p w:rsidR="00FA0779" w:rsidRDefault="00FA0779" w:rsidP="00FA0779">
      <w:pPr>
        <w:pStyle w:val="TextoNormal"/>
      </w:pPr>
      <w:r>
        <w:t xml:space="preserve">Contra dicho Auto se interpuso recurso de queja, que fue estimado por otro de la Sala Tercera del Tribunal Supremo. </w:t>
      </w:r>
    </w:p>
    <w:p w:rsidR="00FA0779" w:rsidRDefault="00FA0779" w:rsidP="00FA0779">
      <w:pPr>
        <w:pStyle w:val="TextoNormal"/>
      </w:pPr>
      <w:r>
        <w:t xml:space="preserve">d) Admitida, en consecuencia, la preparación del recurso (por providencia de 23 de mayo de 1995), se formuló el escrito de interposición del mismo ante la Sala de lo Contencioso-Administrativo del Tribunal Supremo, al cual se acompañaron las certificaciones ya recibidas. </w:t>
      </w:r>
    </w:p>
    <w:p w:rsidR="00FA0779" w:rsidRDefault="00FA0779" w:rsidP="00FA0779">
      <w:pPr>
        <w:pStyle w:val="TextoNormal"/>
      </w:pPr>
      <w:r>
        <w:t>e) Mediante Auto de 3 de junio de 1996 (notificado a la hoy recurrente el 17 de julio de 1996) la Sección Primera de dicha Sala declaró la inadmisión del recurso (núm. 5.938/95) por no haberse aportado con el escrito de preparación del recurso copia simple del texto completo de las Sentencias, incumpliéndose así las exigencias establecidas en el art. 102 a) 4 de la L.J.C.A.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entidad demandante de amparo considera que la resolución impugnada ha vulnerado su derecho a la tutela judicial efectiva (art. 24.1 C.E.) al inadmitir el recurso de casación para la unificación de doctrina por ella interpuesto en virtud de una interpretación marcadamente rigorista del art. 102 a) de la L.J.C.A. y desproporcionada en relación con las circunstancias del caso. </w:t>
      </w:r>
    </w:p>
    <w:p w:rsidR="00FA0779" w:rsidRDefault="00FA0779" w:rsidP="00FA0779">
      <w:pPr>
        <w:pStyle w:val="TextoNormal"/>
      </w:pPr>
      <w:r>
        <w:t xml:space="preserve">A su juicio, carece de apoyo legal expreso anudar a la falta de aportación de copia simple del texto completo de la Sentencia o Sentencias alegadas con el escrito de preparación del recurso la consecuencia de la pérdida del derecho al recurso, máxime cuando había solicitado con carácter previo a la preparación del mismo la expedición de las correspondientes certificaciones. </w:t>
      </w:r>
    </w:p>
    <w:p w:rsidR="00FA0779" w:rsidRDefault="00FA0779" w:rsidP="00FA0779">
      <w:pPr>
        <w:pStyle w:val="TextoNormal"/>
      </w:pPr>
      <w:r>
        <w:t>Pide, por ello, que se declare la nulidad del Auto impugnado y que se ordene la admisión a trámite del recurso de casación.</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28 de octubre de 1996, la Sección Primera de este Tribunal acordó admitir a trámite la demanda de amparo, sin perjuicio de lo que resulte de los antecedentes; y, a tenor de lo dispuesto en el art. 51 LOTC, requerir atentamente al Tribunal Supremo y al Tribunal Superior de Justicia de Madrid la remisión de testimonio del recurso de casación núm. 5.938/95 y del recurso contencioso-administrativo núm. 114/91, respectivamente, interesándose al propio tiempo el emplazamiento de cuantos fueron parte en el procedimiento judicial, excepto la recurrente en amparo, para su posible comparecencia en el presente proceso constitucional.</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Mediante escrito fechado el 3 de abril de 1997, la representación procesal de la entidad demandante de amparo solicitó la suspensión de la ejecución de las liquidaciones tributarias que están en la base del presente recurso, a la vista de que el Ayuntamiento de Arganda del Rey ha anunciado su intención de hacerlas efectivas, por entender que el pago de las mismas haría perder al amparo su finalidad careciendo entonces de sentido la admisión o no a trámite del recurso de casación. </w:t>
      </w:r>
    </w:p>
    <w:p w:rsidR="00FA0779" w:rsidRDefault="00FA0779" w:rsidP="00FA0779">
      <w:pPr>
        <w:pStyle w:val="TextoNormal"/>
      </w:pPr>
      <w:r>
        <w:lastRenderedPageBreak/>
        <w:t xml:space="preserve">Alega, al respecto, que la ejecución de tales liquidaciones causaría a la recurrente graves perjuicios, y que el importe de dichas liquidaciones se encuentra garantizado mediante avales bancarios solidarios, considerados suficientes en su día por el Tribunal Superior de Justicia de Madrid para decretar la suspensión, y que se encuentran todavía vigentes a la fecha de formular la presente solicitud. </w:t>
      </w:r>
    </w:p>
    <w:p w:rsidR="00FA0779" w:rsidRDefault="00FA0779" w:rsidP="00FA0779">
      <w:pPr>
        <w:pStyle w:val="TextoNormal"/>
      </w:pPr>
      <w:r>
        <w:t>Existiendo tales avales, ningún perjuicio puede derivarse de la suspensión para el interés público, mientras que, por contra, la ejecución de las liquidaciones supondría un desequilibrio en contra de la recurrente, que, pese a haber sostenido y sostener los avales, tendría que hacer frente ahora a los pagos.</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Por providencia de 14 de abril de 1997, la Sección Segunda acordó formar la presente pieza separada de suspensión y, de conformidad con lo previsto en el art. 56 LOTC, conceder al Ministerio Fiscal y a la solicitante del amparo un plazo común de tres días para alegaciones sobre dicha suspensión. </w:t>
      </w:r>
    </w:p>
    <w:p w:rsidR="00FA0779" w:rsidRDefault="00FA0779" w:rsidP="00FA0779">
      <w:pPr>
        <w:pStyle w:val="TextoNormal"/>
      </w:pPr>
      <w:r>
        <w:t xml:space="preserve">7, Mediante escrito registrado el 18 de abril de 1997, la representación procesal de la entidad recurrente reiteró su solicitud de suspensión, repitiendo en esencia las razones ya expuestas en el escrito de solicitud, y anunciando la próxima presentación de certificaciones acreditativas de la realidad y vigencia de los avales y de los cargos que se pagan por el mantenimiento de los mismos. </w:t>
      </w:r>
    </w:p>
    <w:p w:rsidR="00FA0779" w:rsidRDefault="00FA0779" w:rsidP="00FA0779">
      <w:pPr>
        <w:pStyle w:val="TextoNormal"/>
      </w:pPr>
      <w:r>
        <w:t xml:space="preserve">8. Mediante escrito registrado el 21 de abril de 1997, el Ministerio Fiscal se opone a la suspensión solicitada, por entender (con cita del ATC 330/1996) que de acordarse la misma se estaría otorgando anticipadamente, aunque con carácter provisional, lo que es objeto del recurso. </w:t>
      </w:r>
    </w:p>
    <w:p w:rsidR="00FA0779" w:rsidRDefault="00FA0779" w:rsidP="00FA0779">
      <w:pPr>
        <w:pStyle w:val="TextoNormal"/>
      </w:pPr>
      <w:r>
        <w:t>9. Mediante escrito registrado el 11 de junio de 1997, la representación procesal de la entidad recurrente aportó las certificaciones anunciadas en su escrito de alegaciones.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FA0779" w:rsidRDefault="00FA0779" w:rsidP="00FA0779">
      <w:pPr>
        <w:pStyle w:val="TextoNormal"/>
      </w:pPr>
      <w:r>
        <w:t xml:space="preserve">Conforme a tal criterio interpretativo, este Tribunal viene distinguiendo entre las resoluciones judiciales que imponen penas privativas de libertad o afectan a otros bienes o derechos de imposible o difícil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w:t>
      </w:r>
      <w:r>
        <w:lastRenderedPageBreak/>
        <w:t>irreparables. Pero, en relación con esta excepción, es necesario recordar que este Tribunal viene exigiendo de manera constante la necesidad de acreditar los perjuicios que para el recurrente podrían derivarse de la ejecución de la resolución impugnada o, al menos, ofrecer un principio razonable de prueba al respecto (AATC 253/1995 y 118/1996).</w:t>
      </w:r>
    </w:p>
    <w:p w:rsidR="00FA0779" w:rsidRDefault="00FA0779" w:rsidP="00FA0779">
      <w:pPr>
        <w:pStyle w:val="TextoNormal"/>
      </w:pPr>
    </w:p>
    <w:p w:rsidR="00FA0779" w:rsidRDefault="00FA0779" w:rsidP="00FA0779">
      <w:pPr>
        <w:pStyle w:val="TextoNormal"/>
      </w:pPr>
      <w:r w:rsidRPr="00FA0779">
        <w:rPr>
          <w:rStyle w:val="NumeroAFNegritaCaracter"/>
        </w:rPr>
        <w:t>2</w:t>
      </w:r>
      <w:r>
        <w:t>. En el caso presente se solicita la suspensión de la ejecución de las liquidaciones tributarías impugnadas en el proceso contencioso-administrativo que ha dado lugar al presente recurso de amparo, cuyo objeto se reduce a determinar la existencia o no de una lesión del derecho a la tutela judicial efectiva (art. 24.1 C.E.)  por la inadmisión del recurso de casación para la unificación de doctrina presentado tras la desestimación en la instancia del recurso contencioso-administrativo.</w:t>
      </w:r>
    </w:p>
    <w:p w:rsidR="00FA0779" w:rsidRDefault="00FA0779" w:rsidP="00FA0779">
      <w:pPr>
        <w:pStyle w:val="TextoNormal"/>
      </w:pPr>
      <w:r>
        <w:t>Pues bien, a la vista de las circunstancias del caso, es claro que no procede acceder a dicha suspensión. Por un lado, las resoluciones administrativas cuya suspensión se solicita tienen unos efectos puramente económicos, por lo que no peligra, en principio, la efectividad de un posible pronunciamiento estimatorio en el presente recurso. Bastaría con la devolución de las cantidades satisfechas si, una vez otorgado el amparo y admitido el recurso de casación, triunfaran en éste las pretensiones de la recurrente.</w:t>
      </w:r>
    </w:p>
    <w:p w:rsidR="00FA0779" w:rsidRDefault="00FA0779" w:rsidP="00FA0779">
      <w:pPr>
        <w:pStyle w:val="TextoNormal"/>
      </w:pPr>
      <w:r>
        <w:t>Y, por otro lado, la entidad recurrente no ha acreditado que el pago del importe de dichas liquidaciones pueda ocasionarle algún perjuicio irreparable, limitándose a alegar y justificar que todavía están vigentes los avales bancarios prestados en el proceso antecedente, lo cual es cosa distinta, y no es suficiente, de acuerdo con la doctrina antes expuesta, para otorgar la suspensión.</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denegar la suspensión solicitada.</w:t>
      </w:r>
    </w:p>
    <w:p w:rsidR="00FA0779" w:rsidRDefault="00FA0779" w:rsidP="00FA0779">
      <w:pPr>
        <w:pStyle w:val="TextoNormal"/>
      </w:pPr>
    </w:p>
    <w:p w:rsidR="00FA0779" w:rsidRDefault="00FA0779" w:rsidP="00FA0779">
      <w:pPr>
        <w:pStyle w:val="TextoNormal"/>
      </w:pPr>
      <w:r>
        <w:t>Madrid, a dieciséis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7" w:name="AUTO_1997_214"/>
      <w:r>
        <w:lastRenderedPageBreak/>
        <w:t>AUTO 214/1997, de 23 de junio de 1997</w:t>
      </w:r>
    </w:p>
    <w:bookmarkEnd w:id="147"/>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ECLI:ES:TC:1997:214A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3.928/1994.</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Procuradora de los Tribunales doña Sofía Pereda Gil, en representación de don José María Castillo Sanmartí, y por escrito presentado el 1 de diciembre de 1994, interpuso recurso de amparo contra las Sentencias dictadas por la Sala de lo Penal de la Audiencia Nacional y la Sala Segunda del Tribunal Supremo en 26 de Junio de 1993 y 31 de octubre de 1994, respectivamente, viniendo a ser condenado por la segunda de ellas, como cómplice de un delito contra la salud pública en su modalidad de tráfico de drogas, a las penas de diez años y un día de prisión mayor y multa de 105.000.000 de pesetas. En la demanda de amparo se nos dice que las referidas resoluciones judiciales han vulnerado los derechos del recurrente a la tutela judicial efectiva, a utilizar los medios de prueba pertinentes para la defensa y a un proceso con todas las garantías (art. 24 C.E.) y se nos pide que, con reconocimiento de los derechos fundamentales que se dicen vulnerados, se anulen aquellas resoluciones. En el lugar correspondiente de la demanda se interesa la suspensión de la ejecución de las Sentencias recurridas, toda vez que el amparo solicitado perdería su finalidad si se llevase a cabo la ejecución.</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29 de mayo de 1995, acordó formar la correspondiente pieza separada y conceder en ella un plazo común de tres días al Ministerio Fiscal y al demandante para que dentro del mismo pudieran alegar cuanto estimaran pertinente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3</w:t>
      </w:r>
      <w:r>
        <w:t>. El demandante de amparo evacuó el traslado el 2 de junio siguiente, exponiendo que padece el Síndrome de Inmunodeficiencia Humana, lo que viene a significar que sus expectativas de vida son coincidentes con el tiempo estimado de tramitación del recurso, por lo que si no se acuerda la suspensión, cuando se dicte Sentencia habrá fallecido o se encontrará tan deteriorado físicamente que la eventualmente estimación del recurso resultará inútil; termina afirmando que no sólo razones jurídicas sino humanitarias hacen imprescindible la suspensión para evitar que el amparo pierda su finalidad.</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El Fiscal destacó la extrema gravedad de los hechos por los que el recurrente fue condenado y la enorme trascendencia social de la conducta penada y alega, en esencia, que la suspensión de los efectos de las Sentencias recurridas, si bien colmaría el interés de aquél, daría lugar a una quiebra importante en la confianza de los ciudadanos en el sistema judicial y en sus decisiones que, si bien con carácter provisional, serían interrumpidas en su cumplimiento, haciendo decaer el interés prevalente insito en la ejecución. A lo anterior añade, para oponerse a la suspensión, que de no accederse a ella no se causaría un perjuicio definitivo a la finalidad de la demanda de amparo, toda vez que, dada la duración de la pena impuesta, es virtualmente seguro el pronunciamiento de Sentencia por el Tribunal Constitucional con anterioridad a su cumplimiento.</w:t>
      </w:r>
    </w:p>
    <w:p w:rsidR="00FA0779" w:rsidRDefault="00FA0779" w:rsidP="00FA0779">
      <w:pPr>
        <w:pStyle w:val="TextoNormal"/>
      </w:pPr>
    </w:p>
    <w:p w:rsidR="00FA0779" w:rsidRDefault="00FA0779" w:rsidP="00FA0779">
      <w:pPr>
        <w:pStyle w:val="TextoNormal"/>
      </w:pPr>
      <w:r w:rsidRPr="00FA0779">
        <w:rPr>
          <w:rStyle w:val="NumeroAFNegritaCaracter"/>
        </w:rPr>
        <w:t>5</w:t>
      </w:r>
      <w:r>
        <w:t>. La Sección Cuarta, en providencia de 3 de julio de 1995, decidió solicitar de la Sala de lo Penal de la Audiencia Nacional que recabase de dos Médicos Forenses informe clínico comprensivo del diagnóstico y el pronóstico del Síndrome de Inmunodeficiencia Adquirida padecido por el solicitante de amparo. El informe fue emitido el 3 de diciembre de 1996 y remitido a este Tribunal el siguiente día 18. A la vista de su contenido, la Sección decidió en otra providencia de 13 de enero de 1997 dirigir atenta comunicación a la Dirección General de Instituciones Penitenciarias para que, en el plazo de un mes, fuese emitido por dos Médicos Forenses informe clínico comprensivo de los mismos extremos que el recabado en 1995 a la Audiencia Nacional. El informe ha sido emitido el 27 de mayo por dos Médicos del Cuerpo de Facultativos de Sanidad Penitenciaria y recibido en este Tribunal el 9 de junio. En él, como en el emitido en su día por los Médicos Forenses, se dice que el solicitante de amparo es paciente de V.I..H.+, sin que pueda hacerse un pronóstico.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w:t>
      </w:r>
      <w:r>
        <w:lastRenderedPageBreak/>
        <w:t>tencial perjudicado quien ha de justificarlo. Por otra parte, el análisis de la situación ha de hacerse sin prejuzgar la cuestión principal, aun cuando a veces pueda resultar inevitable y hasta conveniente una mirada al soslayo.</w:t>
      </w:r>
    </w:p>
    <w:p w:rsidR="00FA0779" w:rsidRDefault="00FA0779" w:rsidP="00FA0779">
      <w:pPr>
        <w:pStyle w:val="TextoNormal"/>
      </w:pPr>
    </w:p>
    <w:p w:rsidR="00FA0779" w:rsidRDefault="00FA0779" w:rsidP="00FA0779">
      <w:pPr>
        <w:pStyle w:val="TextoNormal"/>
      </w:pPr>
      <w:r w:rsidRPr="00FA0779">
        <w:rPr>
          <w:rStyle w:val="NumeroAFNegritaCaracter"/>
        </w:rPr>
        <w:t>2</w:t>
      </w:r>
      <w:r>
        <w:t>. El análisis de los intereses en conflicto, dentro del caso concreto que nos ocupa, nos permite afirmar ya que resulta improcedente suspender la ejecución de la pena de multa, puesto que el solicitante ni tan siquiera alega que su ejecución pueda hacer inútil una eventual Sentencia estimatoria del recurso.</w:t>
      </w:r>
    </w:p>
    <w:p w:rsidR="00FA0779" w:rsidRDefault="00FA0779" w:rsidP="00FA0779">
      <w:pPr>
        <w:pStyle w:val="TextoNormal"/>
      </w:pPr>
      <w:r>
        <w:t>Dicho análisis desvela ante todo que existe un interés general latente en la ejecución, intrínseco a la ejecutoriedad de toda Sentencia definitiva y firme, pues en un Estado de Derecho las Sentencias claman por ser cumplidas, como exigencia implícita a la eficacia de la tutela judicial -arts. 24.1 y 118 C.E.- (ATC 120/1993), pero tan claro como lo anterior es que la libertad, como valor, inspira la entera concepción constitucional desde su pórtico, donde se invoca como el primero y principal de los pilares del sistema (art. 1 C.E.), desplegándose después en un abanico de manifestaciones fenoménicas, libertades concretas configuradas como derechos fundamentales, con una más intensa protección, entre las cuales se encuentra la libertad personal (art. 17.1 C.E.), soporte de las demás. Por ello, en la ponderación de ambos valores constitucionales, a efectos de adoptar la medida cautelar de suspensión, este Tribunal ha venido decantándose, con carácter general, por el segundo en atención a que la privación de la libertad personal es irreversible y no puede ser restaurada en su integridad y sustancia, sin que tina eventual indemnización de daños y perjuicios pueda tener otra función que la compensatoria, muy lejos de la restitutio in integrum, de donde se sigue que, por lo general, la ejecución de penas privativas de libertad puede hacer perder al amparo su finalidad (AATC 98/1983, 179/1984, 574/1995, 116/1990 y 120/1993).</w:t>
      </w:r>
    </w:p>
    <w:p w:rsidR="00FA0779" w:rsidRDefault="00FA0779" w:rsidP="00FA0779">
      <w:pPr>
        <w:pStyle w:val="TextoNormal"/>
      </w:pPr>
      <w:r>
        <w:t>Ahora bien, ello no es necesariamente así en todos los supuestos porque ambos valores -interés general en la ejecución de las Sentencias y libertad personal- pueden ver incrementado o disminuido su peso en la balanza por la concurrencia de circunstancias específicas que hagan derrotar el fiel de la misma hacia el lado donde se sitúa el respectivo interés. Pues bien, en este caso la índole de los hechos por los que el demandante ha sido condenado (tráfico de drogas), que se refleja e la duración de la pena privativa de libertad impuesta (diez años y un día) y e tiempo de condena por cumplir, que excede con mucho el normal de tramitación de un recurso de amparo ante esta Sala, aconsejan en el presente caso no accede a la suspensión solicitada, pues el interés general reclama con especial intensidad la ejecución sin que ésta vaya a hacer perder al amparo su finalidad de manera absoluta, siendo parcial y limitado el perjuicio que la misma puede irrogar al recurrente</w:t>
      </w:r>
    </w:p>
    <w:p w:rsidR="00FA0779" w:rsidRDefault="00FA0779" w:rsidP="00FA0779">
      <w:pPr>
        <w:pStyle w:val="TextoNormal"/>
      </w:pPr>
      <w:r>
        <w:t>La circunstancia de padecer el solicitante el Síndrome de Inmunodeficiencia Adquirid ha de quedar al margen de la ponderación que este Tribunal debe realizar par., decidir sobre la suspensión de la ejecutividad de las resoluciones recurridas porque con independencia de que de los informes médicos emitidos no se deduce que de la ejecución de las penas haya de derivarse para el demandante una agravación de su mal, corresponde al Tribunal encargado de la ejecución adoptar, a la vista de la realidad de la enfermedad, su alcance y gravedad, las medidas precisas par salvaguardar la salud y la integridad física del interno.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Sala acuerda denegar la suspensión solicitada.</w:t>
      </w:r>
    </w:p>
    <w:p w:rsidR="00FA0779" w:rsidRDefault="00FA0779" w:rsidP="00FA0779">
      <w:pPr>
        <w:pStyle w:val="TextoNormal"/>
      </w:pPr>
    </w:p>
    <w:p w:rsidR="00FA0779" w:rsidRDefault="00FA0779" w:rsidP="00FA0779">
      <w:pPr>
        <w:pStyle w:val="TextoNormal"/>
      </w:pPr>
      <w:r>
        <w:t>Madrid, a veintitrés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8" w:name="AUTO_1997_215"/>
      <w:r>
        <w:lastRenderedPageBreak/>
        <w:t>AUTO 215/1997, de 23 de junio de 1997</w:t>
      </w:r>
    </w:p>
    <w:bookmarkEnd w:id="148"/>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ECLI:ES:TC:1997:215A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1.872/1995, promovido en proceso militar.</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49" w:name="AUTO_1997_216"/>
      <w:r>
        <w:lastRenderedPageBreak/>
        <w:t>AUTO 216/1997, de 23 de junio de 1997</w:t>
      </w:r>
    </w:p>
    <w:bookmarkEnd w:id="149"/>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ECLI:ES:TC:1997:216A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3.791/1995.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Procurador de los Tribunales don Jacinto Gómez Simón, en nombre de «Vidiella y Rosa, Auditores, Censores Jurados de Cuentas Asociados, Sociedad Regular Colectiva» y mediante escrito registrado en este Tribunal el 11 de noviembre de 1995, interpuso recurso de amparo contra la Sentencia dictada el 3 de octubre de 1995 por la Sección Segunda de la Sala de Contencioso-Administrativo del Tribunal Superior de Justicia de Cataluña, desestimatoria del recurso entablado frente a resoluciones sancionadoras en materia laboral, por infracción al régimen de contratos en prácticas. En la demanda de amparo se denuncia la vulneración del derecho a la tutela judicial efectiva por no valorar el Tribunal ordinario la resolución estimatoria del recurso de alzada interpuesto frente a un acta de liquidación derivada del acta de infracción objeto del recurso contencioso-administrativo y se interesa que, otorgando el amparo, sea dictada Sentencia anulando la recurrida y estimando el recurso contencioso-administrativo o, subsidiariamente, ordenando retrotraer las actuaciones al momento inmediatamente anterior al pronunciamiento de aquélla, para que sea dictada otra nueva en la que se tenga en cuenta y se valore la resolución estimatoria del recurso de alzada.</w:t>
      </w:r>
    </w:p>
    <w:p w:rsidR="00FA0779" w:rsidRDefault="00FA0779" w:rsidP="00FA0779">
      <w:pPr>
        <w:pStyle w:val="TextoNormal"/>
      </w:pPr>
    </w:p>
    <w:p w:rsidR="00FA0779" w:rsidRDefault="00FA0779" w:rsidP="00FA0779">
      <w:pPr>
        <w:pStyle w:val="TextoNormal"/>
      </w:pPr>
      <w:r w:rsidRPr="00FA0779">
        <w:rPr>
          <w:rStyle w:val="NumeroAFNegritaCaracter"/>
        </w:rPr>
        <w:t>2</w:t>
      </w:r>
      <w:r>
        <w:t>. En escrito que presentó el 9 de mayo de 1997, la entidad solicitante de amparo ha interesado la suspensión de la ejecución del acto administrativo objeto del recurso de amparo, invocando la apariencia de buen derecho de su pretensión (le amparo y ofreciendo la prestación de caución.</w:t>
      </w:r>
    </w:p>
    <w:p w:rsidR="00FA0779" w:rsidRDefault="00FA0779" w:rsidP="00FA0779">
      <w:pPr>
        <w:pStyle w:val="TextoNormal"/>
      </w:pPr>
    </w:p>
    <w:p w:rsidR="00FA0779" w:rsidRDefault="00FA0779" w:rsidP="00FA0779">
      <w:pPr>
        <w:pStyle w:val="TextoNormal"/>
      </w:pPr>
      <w:r w:rsidRPr="00FA0779">
        <w:rPr>
          <w:rStyle w:val="NumeroAFNegritaCaracter"/>
        </w:rPr>
        <w:t>3</w:t>
      </w:r>
      <w:r>
        <w:t>. La Sección Cuarta, en providencia de 19 de mayo, acordó formar la correspondiente pieza separada y conceder en ella un plazo común de tres días al Ministerio Fiscal, al Abogado del Estado y a la sociedad demandante para que dentro del mismo pudieran alegar cuanto estimaran pertinente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La sociedad actora ha reiterado su solicitud en escrito que presentó el 30 de mayo y el Abogado del Estado se ha opuesto a la misma en otro registrado el día anterior, razonando que el art. 56.1 LOTC ordena ceñirse al periculum in mora, que no puede hablarse </w:t>
      </w:r>
      <w:r>
        <w:lastRenderedPageBreak/>
        <w:t>de apariencia de buen derecho cuando la Sentencia firme que ultimó la vía judicial es desfavorable para la parte que demanda amparo y que el buen derecho alegado no es otra cosa que la tesis en que se basa la pretensión de amparo. Contra lo que se dice en la solicitud de suspensión, no es cierto que sea un acto administrativo el objeto del recurso de amparo, el acto de los poderes públicos por razón del cual se demanda amparo en este caso es una Sentencia firme a la que se reprocha incongruencia generadora de indefensión. Finalmente, concluye el Abogado del Estado remitiéndose a la doctrina de este Tribunal sobre la excepcionalidad de la medida cautelar de suspensión cuando puede afectar a la eficacia ejecutiva de Sentencias firmes y sobre la ordinaria denegación de la suspensión cuando lo que está en juego es el pago de una cantidad líquida de dinero.</w:t>
      </w:r>
    </w:p>
    <w:p w:rsidR="00FA0779" w:rsidRDefault="00FA0779" w:rsidP="00FA0779">
      <w:pPr>
        <w:pStyle w:val="TextoNormal"/>
      </w:pPr>
    </w:p>
    <w:p w:rsidR="00FA0779" w:rsidRDefault="00FA0779" w:rsidP="00FA0779">
      <w:pPr>
        <w:pStyle w:val="TextoNormal"/>
      </w:pPr>
      <w:r w:rsidRPr="00FA0779">
        <w:rPr>
          <w:rStyle w:val="NumeroAFNegritaCaracter"/>
        </w:rPr>
        <w:t>5</w:t>
      </w:r>
      <w:r>
        <w:t>. El Fiscal se ha opuesto también a la. adopción de la medida cautelar instada y lo ha hecho en escrito en el que, presentado el 5 de junio, razona que de la solicitud de suspensión no se deduce que de la ejecución haya de causarse perjuicios irreparables a la actora, quien se limita a traer a este Tribunal el simple argumento de que la estimación del recurso administrativo de alzada determina una apariencia de buen derecho de su pretensión contencioso-administrativa, pero éste no es motivo, de acuerdo con el art. 56 LOTC, para acceder a la suspensión. Desde otra perspectiva, la trascendencia meramente económica de la ejecución aconsejan denegar la suspensión instada.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2</w:t>
      </w:r>
      <w:r>
        <w:t>.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 la sociedad demandante de amparo, desde la perspectiva opuesta, se ciñe a que, por el Tribunal ordinario se resuelva el recurso contencioso-administrativo sin incidir en incongruencia por omisión y, por ello, tomando en consideración la resolución administrativa estimatoria del recurso de alzada interpuesto contra liquidación derivada del acta de infracción discutida en el contencioso-administrativo. Nada más y nada menos.  Siendo ello así, no puede sostenerse, como aquélla sostiene, que de aquella toma de consideración deba, ineluctablemente, derivarse la estimación del recurso contencioso-administrativo. Por otra parte, la apariencia de buen derecho que se arguye no está presente y, por ello, no puede servir de fundamento a la medida cautelar.</w:t>
      </w:r>
    </w:p>
    <w:p w:rsidR="00FA0779" w:rsidRDefault="00FA0779" w:rsidP="00FA0779">
      <w:pPr>
        <w:pStyle w:val="TextoNormal"/>
      </w:pPr>
      <w:r>
        <w:t>Sentado lo anterior, debe decirse que el interés de la cuestión no transciende del puramente económico, que por sí mismo y sin justificación alguna no es suficiente para adoptar la medida cautelar que se nos pide. Las sanciones de multa como las aquí contempladas no son sino prestaciones de dar, obligaciones pecuniarias en suma, cuantificadas y recuperables. Sólo en los casos en que se alegue y acredite, al menos indiciariamente, que su pago ha de causar en el obligado unos perjuicios tales susceptibles de hacer inútil el eventual otorgamiento del amparo, puede adoptarse la medida cautelar de suspensión, pero éste no es el caso, en el que la actora ni tan siquiera formula alegación alguna al respecto.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Sala acuerda denegar la suspensión de la ejecución de la Sentencia recurrida.</w:t>
      </w:r>
    </w:p>
    <w:p w:rsidR="00FA0779" w:rsidRDefault="00FA0779" w:rsidP="00FA0779">
      <w:pPr>
        <w:pStyle w:val="TextoNormal"/>
      </w:pPr>
    </w:p>
    <w:p w:rsidR="00FA0779" w:rsidRDefault="00FA0779" w:rsidP="00FA0779">
      <w:pPr>
        <w:pStyle w:val="TextoNormal"/>
      </w:pPr>
      <w:r>
        <w:t>Madrid, a veintitrés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0" w:name="AUTO_1997_217"/>
      <w:r>
        <w:lastRenderedPageBreak/>
        <w:t>AUTO 217/1997, de 23 de junio de 1997</w:t>
      </w:r>
    </w:p>
    <w:bookmarkEnd w:id="150"/>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ECLI:ES:TC:1997:217A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haber lugar al desistimiento del actor en el recurso de amparo 138/1996.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1" w:name="AUTO_1997_218"/>
      <w:r>
        <w:lastRenderedPageBreak/>
        <w:t>AUTO 218/1997, de 23 de junio de 1997</w:t>
      </w:r>
    </w:p>
    <w:bookmarkEnd w:id="151"/>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ECLI:ES:TC:1997:218A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Desestimando recurso de súplica contra providencia de 20 de enero de 1997, dictada en el recurso de amparo 1.427/1996.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2" w:name="AUTO_1997_219"/>
      <w:r>
        <w:lastRenderedPageBreak/>
        <w:t>AUTO 219/1997, de 23 de junio de 1997</w:t>
      </w:r>
    </w:p>
    <w:bookmarkEnd w:id="152"/>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ECLI:ES:TC:1997:219A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haber lugar al desistimiento del actor en el recurso de amparo 2.087/1996.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3" w:name="AUTO_1997_220"/>
      <w:r>
        <w:lastRenderedPageBreak/>
        <w:t>AUTO 220/1997, de 23 de junio de 1997</w:t>
      </w:r>
    </w:p>
    <w:bookmarkEnd w:id="153"/>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ECLI:ES:TC:1997:220A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haber lugar al desistimiento del actor en el recurso de amparo 2.480/1996.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4" w:name="AUTO_1997_221"/>
      <w:r>
        <w:lastRenderedPageBreak/>
        <w:t>AUTO 221/1997, de 23 de junio de 1997</w:t>
      </w:r>
    </w:p>
    <w:bookmarkEnd w:id="154"/>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ECLI:ES:TC:1997:221A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2.766/1996.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presentado el 6 de julio de 1996 en el Juzgado de Guardia e Madrid, !a Procuradora de los Tribunales, dora María Dolores de Haro Martínez, en nombre y representación de don José Domene López, y bajo la dirección del Letrado don Fernando Chercoles Martínez-Arteaga, interpuso demanda de amparo contra la Sentencia de 3 de junio de 1996 dictada por un Magistrado unipersonal e la Sección Segunda de la Audiencia Provincial de Jaén, recaída en rollo de apelación útil. 40/96, contra la dictada el 17 de enero de 1996 por el Juzgado de Instrucción e Baeza en juicio de faltas núm. 112/95, por imprudencia con resultado de muerte.</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más relevantes que se desprenden de la demanda son, en síntesis, s siguientes: </w:t>
      </w:r>
    </w:p>
    <w:p w:rsidR="00FA0779" w:rsidRDefault="00FA0779" w:rsidP="00FA0779">
      <w:pPr>
        <w:pStyle w:val="TextoNormal"/>
      </w:pPr>
      <w:r>
        <w:t xml:space="preserve">a) El día 14 de febrero de 1995 tuvo lugar un accidente de tráfico, en el que vehículo conducido por don Juan Miguel Muñoz Navarro colisionó contra otro turismo y atropelló a don Antonio Domene Encinas (hijo del recurrente de amparo) y otra persona, quienes resultaron muertos. </w:t>
      </w:r>
    </w:p>
    <w:p w:rsidR="00FA0779" w:rsidRDefault="00FA0779" w:rsidP="00FA0779">
      <w:pPr>
        <w:pStyle w:val="TextoNormal"/>
      </w:pPr>
      <w:r>
        <w:t xml:space="preserve">b) La Sentencia de 16 de enero de 1996 del Juzgado de Instrucción de Baeza, relativa a esos hechos, entre otros pronunciamientos, condenó penalmente al Sr. Muñoz Navarro; y civilmente a la Cía. de Seguros Nacional Hispánica (hoy Banco Vitalicio de España la Previsión y Banco Vitalicio de Cataluña), a que indemnizara a don José Domene López y doña Francisca Encina Paredes (padres de la víctima Antonio Domene Encinas) en la cantidad de 16.000.000 de pesetas. </w:t>
      </w:r>
    </w:p>
    <w:p w:rsidR="00FA0779" w:rsidRDefault="00FA0779" w:rsidP="00FA0779">
      <w:pPr>
        <w:pStyle w:val="TextoNormal"/>
      </w:pPr>
      <w:r>
        <w:t>c) Contra dicha Sentencia recurrieron en apelación el Banco Vitalicio de España, el Sr. Muñoz Navarro y el Sr. Domene López. La Sentencia del Magistrado de la Audiencia Provincial de Jaén, fechada el 3 de junio de 1996, estimó en parte el recurso del primero y desestimó los demás, redujo la anterior cantidad y condenó a la entidad aseguradora a indemnizar en la cantidad de 9.369.791 pesetas a los padres de la víctima don Antonio Domene Encinas. Este fallo se fundamentó en considerar que la Ley 30/1995, de 8 de noviembre, de Ordenación y Supervisión de los Seguros Privados, era aplicable al caso retroactivamente.</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xml:space="preserve">. La demanda de amparo solicita la declaración de nulidad de la Sentencia de apelación e impugna sus aspectos indemnizatorios, por entender que no cabe la aplicación retroactiva de la Ley 30/1995 que, en el presente caso, conduce a una indemnización menor que la que permitía la legislación anterior. Para ello alega tres motivos: </w:t>
      </w:r>
    </w:p>
    <w:p w:rsidR="00FA0779" w:rsidRDefault="00FA0779" w:rsidP="00FA0779">
      <w:pPr>
        <w:pStyle w:val="TextoNormal"/>
      </w:pPr>
      <w:r>
        <w:t xml:space="preserve">Según el primero, la Sentencia de apelación habría infringido el principio de legalidad, reconocido en el art. 9.3 de la C.E., por aplicar la Ley 30/1995 con efectos retroactivos, cuando esta disposición no prevé expresamente su retroactividad, por lo que respecto a ella rige la regla general prevista en el art. 2.3 C.C., conforme al cual «Las leyes no tendrán efecto retroactivo si no dispusieren lo contrario». </w:t>
      </w:r>
    </w:p>
    <w:p w:rsidR="00FA0779" w:rsidRDefault="00FA0779" w:rsidP="00FA0779">
      <w:pPr>
        <w:pStyle w:val="TextoNormal"/>
      </w:pPr>
      <w:r>
        <w:t xml:space="preserve">El segundo motivo alega que la mencionada resolución vulnera el principio de igualdad ante la Ley (art. 14 C.E.), por cuanto el silencio de la mencionada disposición respecto a las reglas de Derecho transitorio determina que resoluciones de diversos órganos judiciales hayan aplicado o no la Ley 30/1995 a accidentes ocurridos antes de la vigencia de la misma, en función de si aceptan o no su carácter retroactivo, produciéndose así una absurda situación jurídica. Se citan resoluciones de las Audiencias Provinciales de Pontevedra, Madrid y Toledo que consideran irretroactiva la mencionada disposición, mientras que la Sentencia impugnada de la Audiencia Provincial de Jaén opta por la retroactividad de la misma. </w:t>
      </w:r>
    </w:p>
    <w:p w:rsidR="00FA0779" w:rsidRDefault="00FA0779" w:rsidP="00FA0779">
      <w:pPr>
        <w:pStyle w:val="TextoNormal"/>
      </w:pPr>
      <w:r>
        <w:t xml:space="preserve">Por otra parte, el criterio de la retroactividad adoptado por la Sentencia de apelación no habría sido aplicado si el Juzgado de Instrucción hubiera cumplido los plazos legales, puesto que en tal caso, se habría juzgado tanto en primera como en segunda instancia, de conformidad con la legislación vigente antes de la entrada en vigor de la nueva Ley. Ello constituye otro motivo de desigualdad en la aplicación de la Ley. </w:t>
      </w:r>
    </w:p>
    <w:p w:rsidR="00FA0779" w:rsidRDefault="00FA0779" w:rsidP="00FA0779">
      <w:pPr>
        <w:pStyle w:val="TextoNormal"/>
      </w:pPr>
      <w:r>
        <w:t>El último motivo atribuye a la Sentencia de apelación haber vulnerado el derecho a la tutela judicial efectiva por incurrir en incongruencia (art. 24.1 C.E.), ya que sólo hace referencia a la cantidad que corresponde por el seguro obligatorio pero no contiene un pronunciamiento respecto de la cantidad que se deriva del seguro voluntario.</w:t>
      </w:r>
    </w:p>
    <w:p w:rsidR="00FA0779" w:rsidRDefault="00FA0779" w:rsidP="00FA0779">
      <w:pPr>
        <w:pStyle w:val="TextoNormal"/>
      </w:pPr>
    </w:p>
    <w:p w:rsidR="00FA0779" w:rsidRDefault="00FA0779" w:rsidP="00FA0779">
      <w:pPr>
        <w:pStyle w:val="TextoNormal"/>
      </w:pPr>
      <w:r w:rsidRPr="00FA0779">
        <w:rPr>
          <w:rStyle w:val="NumeroAFNegritaCaracter"/>
        </w:rPr>
        <w:t>4</w:t>
      </w:r>
      <w:r>
        <w:t>. Mediante providencia de 10 de marzo de 1997, la Sección Tercera de este Tribunal acordó, de conformidad con el art. 50-3 de la LOTC, conceder al demandante le amparo y al Ministerio Fiscal el plazo común de diez días para que formularan, con las aportaciones documentales que procediesen, las alegaciones que estimaran pertinentes en relación con la carencia manifiesta de contenido constitucional de a demanda, en virtud del art. 50.1 c) de la misma Ley.</w:t>
      </w:r>
    </w:p>
    <w:p w:rsidR="00FA0779" w:rsidRDefault="00FA0779" w:rsidP="00FA0779">
      <w:pPr>
        <w:pStyle w:val="TextoNormal"/>
      </w:pPr>
    </w:p>
    <w:p w:rsidR="00FA0779" w:rsidRDefault="00FA0779" w:rsidP="00FA0779">
      <w:pPr>
        <w:pStyle w:val="TextoNormal"/>
      </w:pPr>
      <w:r w:rsidRPr="00FA0779">
        <w:rPr>
          <w:rStyle w:val="NumeroAFNegritaCaracter"/>
        </w:rPr>
        <w:t>5</w:t>
      </w:r>
      <w:r>
        <w:t>. La representación del recurrente cumplió el trámite mediante la presentación le su escrito de alegaciones registrado el 24 de marzo de 1997, en el que se reiteraban as ya expuestas en su inicial escrito de demanda.</w:t>
      </w:r>
    </w:p>
    <w:p w:rsidR="00FA0779" w:rsidRDefault="00FA0779" w:rsidP="00FA0779">
      <w:pPr>
        <w:pStyle w:val="TextoNormal"/>
      </w:pPr>
    </w:p>
    <w:p w:rsidR="00FA0779" w:rsidRDefault="00FA0779" w:rsidP="00FA0779">
      <w:pPr>
        <w:pStyle w:val="TextoNormal"/>
      </w:pPr>
      <w:r w:rsidRPr="00FA0779">
        <w:rPr>
          <w:rStyle w:val="NumeroAFNegritaCaracter"/>
        </w:rPr>
        <w:t>6</w:t>
      </w:r>
      <w:r>
        <w:t>. Por su parte, el Ministerio Fiscal ante el Tribunal Constitucional presentó sus alegaciones con fecha 10 (le abril de 1997, en. el que interesaba la inadmisión a trámite de la demanda. El primer motivo de vulneración del principio de legalidad garantizado en el art. 9.3 de la C.E. debe ser inadmitido por quedar el mismo precepto fuera de la cobertura constitucional de amparo, en virtud de lo dispuesto por el art. 53-2 C.E. y por el art. 41.1 LOTC. A mayor abundamiento, se expresa que según reiterada doctrina de este Tribunal (SSTC 178/1988, 211/1988, 90/1990, 18/1991, 359/1993 y 46/1994, y ATC 200/1996), la interpretación y selección de a legalidad ordinaria corresponde exclusivamente a la juris</w:t>
      </w:r>
      <w:r>
        <w:lastRenderedPageBreak/>
        <w:t xml:space="preserve">dicción ordinaria en su función de juzgar y hacer ejecutar lo juzgado, conforme determina el art. 117.3 C.E. Sólo podría producirse el control por parte de este Tribunal sí se ha tratado e una selección arbitraría o manifiestamente irrazonable (STC 23/1987), ha sido fruto de un error patente o ha lesionado derechos y libertades fundamentales (SSTC 50/1984, 23/1987 y 353/1993). En el presente recurso se trata de la interpretación de la. norma aplicable en supuestos de Derecho transitorio, lo que según la doctrina constitucional (SSTC 55/1992, 63/1992, 161/1992 y 93/1993, ATC 275/1995) es una cuestión que compete exclusivamente a los órganos judiciales. </w:t>
      </w:r>
    </w:p>
    <w:p w:rsidR="00FA0779" w:rsidRDefault="00FA0779" w:rsidP="00FA0779">
      <w:pPr>
        <w:pStyle w:val="TextoNormal"/>
      </w:pPr>
      <w:r>
        <w:t xml:space="preserve">También debe ser inadmitido según el Fiscal el segundo (le los motivos alegados, consistente en la vulneración del principio de igualdad en la aplicación de la ley. Incumple la doctrina de este Tribunal (SSTC 159/1989, 82/1990, 200/1990, 183/1991, 141/1994, 285/1994 y 104/1996), por la que se exige no sólo la aportación de un término de comparación hábil para acreditar la igualdad de supuestos y la verificación de un cambio de criterio efectuado de forma inmotivada e irrazonable, sitio demás que los supuestos hayan. sido resueltos por el mismo Tribunal, entendiendo por tal la misma Sección. Ninguno de ambos requisitos han sido cumplidos por a demanda, que además cita otros órganos judiciales distintos del que dictó la Sentencia impugnada. </w:t>
      </w:r>
    </w:p>
    <w:p w:rsidR="00FA0779" w:rsidRDefault="00FA0779" w:rsidP="00FA0779">
      <w:pPr>
        <w:pStyle w:val="TextoNormal"/>
      </w:pPr>
      <w:r>
        <w:t>Finalmente, el Fiscal rechaza la admisión del tercero de los motivos alegados, relativo a la lesión de la tutela judicial efectiva en su manifestación de prohibición e la incongruencia omisiva, por cuanto en los fundamentos jurídicos 4.º y 5.º de a Sentencia impugnada, si bien no se alude expresamente al seguro voluntario concertado, sí se da una respuesta global a las alegaciones de fondo que vertebran el razonamiento de las partes, aunque se omita esta respuesta respecto de alguna alegación secundaria. lo que es suficiente según la doctrina de este Tribunal (SSTC 91/1995 y 46/1996), para entender cumplida la obligación de motivación como contenido del derecho a la tutela judicial efectiva.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 queja el recurrente de amparo de que la Sentencia de apelación ha red la cuantía indemnizatoria que le corresponde como consecuencia de un accidente de tráfico en el que falleció su hijo, mediante la aplicación con efectos retroactivos de la Ley 30/1995, de 8 de noviembre, de Ordenación y Supervisión de los Se Privados.</w:t>
      </w:r>
    </w:p>
    <w:p w:rsidR="00FA0779" w:rsidRDefault="00FA0779" w:rsidP="00FA0779">
      <w:pPr>
        <w:pStyle w:val="TextoNormal"/>
      </w:pPr>
      <w:r>
        <w:t>El primer motivo aducido, consistente en la vulneración del principio de legal garantizado en el art. 9.3 de la C.E. (y que -más correctamente- debería ser tildada de lesión del principio de irretroactividad de disposiciones restrictivas de derechos individuales, reconocida en el mismo precepto), no es susceptible de ser reparados a través del recurso de amparo, por cuanto tal principio no tiene la naturaleza derecho fundamental (STC 10/1985), en virtud de lo dispuesto por el art. 53.2 y por el art. 41.1 de la LOTC. En consecuencia, este motivo no puede prosperar de conformidad con el art. 50.1 b) de la LOTC.</w:t>
      </w:r>
    </w:p>
    <w:p w:rsidR="00FA0779" w:rsidRDefault="00FA0779" w:rsidP="00FA0779">
      <w:pPr>
        <w:pStyle w:val="TextoNormal"/>
      </w:pPr>
      <w:r>
        <w:t xml:space="preserve">A mayor abundamiento, y como hemos recordado en la reciente STC 5811 las cuestiones de selección de la norma aplicable al caso, salvo que se traduzcan en la lesión de otro derecho fundamental distinto, «no trascienden el plano de la legalidad ordinaria ni de la competencia de los Jueces y Tribunales (art.  117.3 C.E.)  y que no pueden ser revisadas en vía de amparo, que no constituye una nueva instancia ni una casación civil», a no ser que la resolución judicial resulte arbitraria o manifiestamente infundada, por estar basada en un error patente y relevante para la decisión del caso (SSTC 90/1990, 55/1993, </w:t>
      </w:r>
      <w:r>
        <w:lastRenderedPageBreak/>
        <w:t>180/1993, 28/1994, 107/1994, 203/1994 y 301/1994), hipótesis ésta que no se presenta en el supuesto que nos ocupa.</w:t>
      </w:r>
    </w:p>
    <w:p w:rsidR="00FA0779" w:rsidRDefault="00FA0779" w:rsidP="00FA0779">
      <w:pPr>
        <w:pStyle w:val="TextoNormal"/>
      </w:pPr>
    </w:p>
    <w:p w:rsidR="00FA0779" w:rsidRDefault="00FA0779" w:rsidP="00FA0779">
      <w:pPr>
        <w:pStyle w:val="TextoNormal"/>
      </w:pPr>
      <w:r w:rsidRPr="00FA0779">
        <w:rPr>
          <w:rStyle w:val="NumeroAFNegritaCaracter"/>
        </w:rPr>
        <w:t>2</w:t>
      </w:r>
      <w:r>
        <w:t>. No es posible admitir la vulneración que, según el recurrente, ha experimentado el principio de igualdad ante la Ley del art. 14 de la C.E.  sobre la base de la Sentencia de apelación ha seguido un criterio distinto al adoptado por otros órganos judiciales. El recurrente no ha tenido en cuenta los requisitos que, según reiterada doctrina, precisa tal lesión: Exigencia de acreditación de un tertium comparationis que sea anterior a la resolución que se impugna (SSTC 116/1987, 100/1988, 100/1 y 34/1995), identidad de órgano judicial -entendiendo por tal la identidad de (SSTC 134/1991, 183/1991, 266/1994, 285/1994 y 34/1995)-, identidad de supuestos resueltos de forma contradictoria, y ausencia de toda motivación que justifique términos generalizables el cambio de criterio, a fin de excluir la arbitrariedad e inadvertencia (SSTC 207/1992, 160/1993, 266/1994 y 285/1994). La demanda a que otras resoluciones de Audiencias Provinciales, de las que sólo cita la fecha no las aporta, distintas a aquélla que dictó la Sentencia ahora impugnada, han se un criterio distinto en relación con la aplicación retroactiva de la Ley 30/1995 exigencia de que la eventual desigualdad provenga de la misma Sala, tiene por o garantizar la independencia de cada órgano judicial en la interpretación y aplica de la Ley, en virtud de su potestad jurisdiccional (art. 117.3 C.E.). En consecuencia la desigualdad invocada no se ajusta a las previsiones establecidas por este Tribunal para que pueda ser enjuiciada por el mismo y carece, por tanto, de dimensión constitucional.</w:t>
      </w:r>
    </w:p>
    <w:p w:rsidR="00FA0779" w:rsidRDefault="00FA0779" w:rsidP="00FA0779">
      <w:pPr>
        <w:pStyle w:val="TextoNormal"/>
      </w:pPr>
      <w:r>
        <w:t>Entiende además el recurrente que el principio de igualdad ha sido vulnerado asimismo por la circunstancia de que el Juzgado no respetó los plazos legales, puesto que sí los hubiera cumplido. se habría juzgado tanto en primera como en segunda instancia de conformidad con la legislación vigente anterior a la entrada en vigor de la Ley 30/1995, legislación anterior que permitía un mayor arbitrio en la fijación de las cuantías indemnizatorias. Pero tampoco esta queja puede prosperar, pues no hay desigualdad en la aplicación de la Ley cuando el órgano judicial debe cambiar de criterio porque ha sido dictada otra Ley que establece las nuevas normas. El órgano judicial no aplica entonces un trato discriminatorio, puesto que en algún momento temporal tiene que existir un corte o línea divisoria entre la aplicación de una y otra Ley. Por otra parte. no cabe entender que en el presente caso ese corte se haya establecido arbitrariamente o que haya sido retrasado en virtud de dilaciones indebidas, puesto que tales dilaciones ni siquiera han sido alegadas por el recurrente.</w:t>
      </w:r>
    </w:p>
    <w:p w:rsidR="00FA0779" w:rsidRDefault="00FA0779" w:rsidP="00FA0779">
      <w:pPr>
        <w:pStyle w:val="TextoNormal"/>
      </w:pPr>
    </w:p>
    <w:p w:rsidR="00FA0779" w:rsidRDefault="00FA0779" w:rsidP="00FA0779">
      <w:pPr>
        <w:pStyle w:val="TextoNormal"/>
      </w:pPr>
      <w:r w:rsidRPr="00FA0779">
        <w:rPr>
          <w:rStyle w:val="NumeroAFNegritaCaracter"/>
        </w:rPr>
        <w:t>3</w:t>
      </w:r>
      <w:r>
        <w:t>. El motivo relativo a la lesión del derecho a la tutela judicial efectiva en su vertiente de prohibición de la incongruencia omisiva carece de contenido constitucional. Ciertamente la Sentencia de apelación silencia la concreta cuestión de la indemnización que corresponde con cargo al seguro voluntario, pero sí aborda de forma motivada y razonable a lo largo de dos extensos fundamentos jurídicos la pretensión genérica de modificación de la cuantía indemnizatoria, que fue planteada por todas las partes, con lo que se respeta la doctrina de este Tribunal que exige una respuesta a las pretensiones, pero no una contestación explícita y pormenorizada a todas y cada una de las alegaciones formuladas (SSTC 58/1996 y 128/1996). Y ello al margen de que el demandante de amparo no invocó en el recurso de apelación esta cuestión, por lo que no está legitimado para aducir ahora el vicio de incongruencia, de conformidad con el art. 44.1 e) de la LOTC.</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anteriormente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veintitrés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5" w:name="AUTO_1997_222"/>
      <w:r>
        <w:lastRenderedPageBreak/>
        <w:t>AUTO 222/1997, de 23 de junio de 1997</w:t>
      </w:r>
    </w:p>
    <w:bookmarkEnd w:id="155"/>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ECLI:ES:TC:1997:222A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3.061/1996. Voto particular.</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día 29 de julio de 1996, don José Ignacio de Noriega Arquer Procurador de los Tribunales y de doña María Dolores Cabezas López, interpuso recurso de amparo contra Sentencia de la Sala de lo Contencioso Administrativo del Tribunal Superior de Justicia de Andalucía, de 1 de julio de 1996, en recurso contra Resolución de la Universidad de Granada sobre concurso de plaza de Profesor de Farmacia.</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hechos: </w:t>
      </w:r>
    </w:p>
    <w:p w:rsidR="00FA0779" w:rsidRDefault="00FA0779" w:rsidP="00FA0779">
      <w:pPr>
        <w:pStyle w:val="TextoNormal"/>
      </w:pPr>
      <w:r>
        <w:t xml:space="preserve">a) Con fecha 22 de octubre de 1992, el «Boletín Oficial del Estado» publicó una Resolución de la Universidad de Granada, de 5 de octubre anterior, por la que se convocaron a concurso diversas plazas de los Cuerpos Docentes Universitarios. Entre esas plazas se encontraba una, correspondiente al Cuerpo de Profesores Titulares de Universidad, y cuyas características eran las siguientes: </w:t>
      </w:r>
    </w:p>
    <w:p w:rsidR="00FA0779" w:rsidRDefault="00FA0779" w:rsidP="00FA0779">
      <w:pPr>
        <w:pStyle w:val="TextoNormal"/>
      </w:pPr>
      <w:r>
        <w:t xml:space="preserve">«Area de conocimiento. "Farmacia y Tecnología Farmacéutica. Departamento: Farmacia y Tecnología Farmacéutica. Actividad docente. Historia de la Farmacia y Legislación Farmacéutica. Clase de convocatoria: Concurso.» </w:t>
      </w:r>
    </w:p>
    <w:p w:rsidR="00FA0779" w:rsidRDefault="00FA0779" w:rsidP="00FA0779">
      <w:pPr>
        <w:pStyle w:val="TextoNormal"/>
      </w:pPr>
      <w:r>
        <w:t xml:space="preserve">b) Por Resolución de 9 de febrero de 1993 de la Universidad de Granada, se procedió al nombramiento de los miembros titulares y suplentes que habrían de juzgar el concurso de referencia, de conformidad con lo dispuesto en el art. 6.8 del Real Decreto 1.888/1984, de 26 de septiembre, parcialmente modificado por el Real Decreto 1.427/1986, de 13 de junio. </w:t>
      </w:r>
    </w:p>
    <w:p w:rsidR="00FA0779" w:rsidRDefault="00FA0779" w:rsidP="00FA0779">
      <w:pPr>
        <w:pStyle w:val="TextoNormal"/>
      </w:pPr>
      <w:r>
        <w:t xml:space="preserve">e) Asimismo, de conformidad con lo establecido en el art. 8.2 b) del Real Decreto de 26 de septiembre de 1984, parcialmente modificado por otro de 13 de junio de 1986, en el acto de constitución, celebrado el día 28 de junio de 1993, la Comisión hizo públicos los criterios que habrían de utilizarse para la valoración de las pruebas selectivas. Dichos criterios fueron los siguientes: </w:t>
      </w:r>
    </w:p>
    <w:p w:rsidR="00FA0779" w:rsidRDefault="00FA0779" w:rsidP="00FA0779">
      <w:pPr>
        <w:pStyle w:val="TextoNormal"/>
      </w:pPr>
      <w:r>
        <w:t xml:space="preserve">«1.º Formación académica y actividad docente e investigadora, especialmente para la misión prevista por la Universidad para el desempeño de la plaza objeto de concurso, reseñada en la convocatoria («Boletín Oficial del Estado» de 22 de octubre de 1992). </w:t>
      </w:r>
    </w:p>
    <w:p w:rsidR="00FA0779" w:rsidRDefault="00FA0779" w:rsidP="00FA0779">
      <w:pPr>
        <w:pStyle w:val="TextoNormal"/>
      </w:pPr>
      <w:r>
        <w:lastRenderedPageBreak/>
        <w:t xml:space="preserve">2.º Actividad investigadora de acuerdo con el número, profundidad y repercusión de las publicaciones. premios de investigación, conferencias, etcétera Congruencia de la labor realizada con los diversos contenidos del área. </w:t>
      </w:r>
    </w:p>
    <w:p w:rsidR="00FA0779" w:rsidRDefault="00FA0779" w:rsidP="00FA0779">
      <w:pPr>
        <w:pStyle w:val="TextoNormal"/>
      </w:pPr>
      <w:r>
        <w:t xml:space="preserve">3.º Al primer ejercicio se le asignara un valor doble que al segundo ejercicio.» </w:t>
      </w:r>
    </w:p>
    <w:p w:rsidR="00FA0779" w:rsidRDefault="00FA0779" w:rsidP="00FA0779">
      <w:pPr>
        <w:pStyle w:val="TextoNormal"/>
      </w:pPr>
      <w:r>
        <w:t xml:space="preserve">d) En el mismo día 28 de junio de 1993, se efectuó el acto de presentación de los concursantes y tras la renuncia de los candidatos a los plazos señalados en el Real Decreto 1.888/1984, de 26 de diciembre, parcialmente modificado por Real Decreto 1.427/1986, se procedió al inicio de la primera prueba. Asimismo, se puso en conocimiento de los concursantes la posibilidad de examinar la documentación presentada por cada uno de ellos hasta el inicio de las pruebas. </w:t>
      </w:r>
    </w:p>
    <w:p w:rsidR="00FA0779" w:rsidRDefault="00FA0779" w:rsidP="00FA0779">
      <w:pPr>
        <w:pStyle w:val="TextoNormal"/>
      </w:pPr>
      <w:r>
        <w:t xml:space="preserve">e) Celebrada la primera prueba de las que componen el concurso, la Comisión hizo públicas las calificaciones obtenidas por los candidatos, siendo el resultado de la primera prueba el siguiente: </w:t>
      </w:r>
    </w:p>
    <w:p w:rsidR="00FA0779" w:rsidRDefault="00FA0779" w:rsidP="00FA0779">
      <w:pPr>
        <w:pStyle w:val="TextoNormal"/>
      </w:pPr>
      <w:r>
        <w:t xml:space="preserve">María Dolores Cabezas López: 4 votos. </w:t>
      </w:r>
    </w:p>
    <w:p w:rsidR="00FA0779" w:rsidRDefault="00FA0779" w:rsidP="00FA0779">
      <w:pPr>
        <w:pStyle w:val="TextoNormal"/>
      </w:pPr>
      <w:r>
        <w:t xml:space="preserve">María Antonia Fernández Negri: 3 votos. </w:t>
      </w:r>
    </w:p>
    <w:p w:rsidR="00FA0779" w:rsidRDefault="00FA0779" w:rsidP="00FA0779">
      <w:pPr>
        <w:pStyle w:val="TextoNormal"/>
      </w:pPr>
      <w:r>
        <w:t xml:space="preserve">A este resultado llega la Comisión juzgadora por las siguientes razones: </w:t>
      </w:r>
    </w:p>
    <w:p w:rsidR="00FA0779" w:rsidRDefault="00FA0779" w:rsidP="00FA0779">
      <w:pPr>
        <w:pStyle w:val="TextoNormal"/>
      </w:pPr>
      <w:r>
        <w:t xml:space="preserve">«Concursante: María Dolores Cabezas López. La Comisión valora positivamente la actividad investigadora desarrollada desde su licenciatura en el año 1988, comprendida en 23 artículos de investigación y su contribución a los borradores de temas relativos al desarrollo de la Ley del Medicamento y transposición de la Ley comunitaria. Por otro lado la Comisión ofrecía la ausencia de actividad docente formal. </w:t>
      </w:r>
    </w:p>
    <w:p w:rsidR="00FA0779" w:rsidRDefault="00FA0779" w:rsidP="00FA0779">
      <w:pPr>
        <w:pStyle w:val="TextoNormal"/>
      </w:pPr>
      <w:r>
        <w:t xml:space="preserve">Durante el debate las respuestas de la concursante a las preguntas realizadas por los miembros de la Comisión sobre los programas presentados no fueron suficientemente satisfactorias. </w:t>
      </w:r>
    </w:p>
    <w:p w:rsidR="00FA0779" w:rsidRDefault="00FA0779" w:rsidP="00FA0779">
      <w:pPr>
        <w:pStyle w:val="TextoNormal"/>
      </w:pPr>
      <w:r>
        <w:t xml:space="preserve">Concursante: María Antonia Fernández Negri. La Comisión observa una inadecuada relación entre los años dedicados a la actividad científica, iniciada en el año 1981 con la realización de la tesina de licenciatura, y los resultados objetivables, número y entidad de artículos y comunicaciones realizados, durante este período. Por otro lado, la Comisión valora su dedicación docente como Profesora ayudante, asociada y Profesora titular interina. </w:t>
      </w:r>
    </w:p>
    <w:p w:rsidR="00FA0779" w:rsidRDefault="00FA0779" w:rsidP="00FA0779">
      <w:pPr>
        <w:pStyle w:val="TextoNormal"/>
      </w:pPr>
      <w:r>
        <w:t xml:space="preserve">Durante el debate, las respuestas de la concursante a preguntas realizadas por los miembros de la Comisión sobre los temas presentados no fueron suficientemente satisfactorias.» </w:t>
      </w:r>
    </w:p>
    <w:p w:rsidR="00FA0779" w:rsidRDefault="00FA0779" w:rsidP="00FA0779">
      <w:pPr>
        <w:pStyle w:val="TextoNormal"/>
      </w:pPr>
      <w:r>
        <w:t xml:space="preserve">La Comisión juzgadora valoró y tuvo en cuenta tanto la actividad docente de la señora Fernández Negri, como la ausencia de actividad docente de la recurrente. Asimismo, se refleja en el acta citada la valoración de la actividad investigadora de ambas candidatas, constando la labor investigadora de la recurrente frente a la de la Sra. Fernández Negri. </w:t>
      </w:r>
    </w:p>
    <w:p w:rsidR="00FA0779" w:rsidRDefault="00FA0779" w:rsidP="00FA0779">
      <w:pPr>
        <w:pStyle w:val="TextoNormal"/>
      </w:pPr>
      <w:r>
        <w:t xml:space="preserve">f) Según exige el art. 8.2 a) del Real Decreto 1.888/1984, parcialmente modificado por Real Decreto 1.427/1986 («... se tendrá en cuenta en los concursos a plazas de Catedráticos de Universidad o de Escuela Universitaria y de Profesores titulares de Universidad, que al primer ejercicio deberá asignársele, como mínimo un valor doble y, como máximo, un valor triple que al segundo ejercicio, y que en aquél se evaluarán como mérito prioritario las actividades de investigación, de los candidatos»), se otorgó mayor puntuación a la recurrente en este primer ejercicio. </w:t>
      </w:r>
    </w:p>
    <w:p w:rsidR="00FA0779" w:rsidRDefault="00FA0779" w:rsidP="00FA0779">
      <w:pPr>
        <w:pStyle w:val="TextoNormal"/>
      </w:pPr>
      <w:r>
        <w:t xml:space="preserve">g) Finalizado el segundo ejercicio del concurso la Comisión acordó elevar propuesta a favor de la recurrente. </w:t>
      </w:r>
    </w:p>
    <w:p w:rsidR="00FA0779" w:rsidRDefault="00FA0779" w:rsidP="00FA0779">
      <w:pPr>
        <w:pStyle w:val="TextoNormal"/>
      </w:pPr>
      <w:r>
        <w:t>h) Contra la citada propuesta de nombramiento, la Sra. Fernández Negri dedujo la preceptiva reclamación ante la Comisión prevista en el art. 43.1 de la Ley de Reforma Uni</w:t>
      </w:r>
      <w:r>
        <w:lastRenderedPageBreak/>
        <w:t xml:space="preserve">versitaria que fue desestimada por Resolución de la Comisión de Reclamaciones en reunión celebrada el día 15 de septiembre de 1993, con el voto particular del Profesor López Calera, del siguiente tenor literal: </w:t>
      </w:r>
    </w:p>
    <w:p w:rsidR="00FA0779" w:rsidRDefault="00FA0779" w:rsidP="00FA0779">
      <w:pPr>
        <w:pStyle w:val="TextoNormal"/>
      </w:pPr>
      <w:r>
        <w:t xml:space="preserve">«Frente a esta postura mayoritaria de la Comisión de Reclamaciones, el Profesor López Calera pide que conste en acta su voto particular contrario a la decisión de confirmar lo actuado por la Comisión al entender que la persona finalmente propuesta para el desempeño de la plaza no tiene actividad docente, por lo que a su entender hay una incongruencia entre los informes de la primera prueba e incluso de los criterios de valoración publicados por la Comisión y el resultado final del concurso en el que se vota mayoritariamente a quien no tiene experiencia docente previa, por lo que a su entender debería anularse la propuesta de la Comisión que juzgó las pruebas no sólo por la incongruencia antes referida sino incluso teniendo en cuenta argumentos, si no de orden técnico-jurídico si de justicia material en el sentido de considerar como injusto que quien no es docente sea propuesto para el ingreso en un cuerpo de profesores de universidad.» </w:t>
      </w:r>
    </w:p>
    <w:p w:rsidR="00FA0779" w:rsidRDefault="00FA0779" w:rsidP="00FA0779">
      <w:pPr>
        <w:pStyle w:val="TextoNormal"/>
      </w:pPr>
      <w:r>
        <w:t xml:space="preserve">Dicho voto particular fue debatido y votado por la Comisión de Reclamaciones con el siguiente resultado: </w:t>
      </w:r>
    </w:p>
    <w:p w:rsidR="00FA0779" w:rsidRDefault="00FA0779" w:rsidP="00FA0779">
      <w:pPr>
        <w:pStyle w:val="TextoNormal"/>
      </w:pPr>
      <w:r>
        <w:t xml:space="preserve">«El debate sobre el voto particular del Profesor López Calera concluye con la reafirmación del resto de la Comisión en la decisión anterior subrayándose que aparte de las opiniones con respecto a lo actuado por la Comisión que juzgo las pruebas, lo cierto es que no existen elementos indubitados como para anular lo actuado por la misma, por lo que se procede a acordar por mayoría la confirmación de la propuesta de doña María Dolores Cabezas López como Profesora titular de Farmacia y Tecnología Farmacéutica y la desestimación íntegra de la reclamación presentada por doña María Antonia Fernández Negri.» </w:t>
      </w:r>
    </w:p>
    <w:p w:rsidR="00FA0779" w:rsidRDefault="00FA0779" w:rsidP="00FA0779">
      <w:pPr>
        <w:pStyle w:val="TextoNormal"/>
      </w:pPr>
      <w:r>
        <w:t xml:space="preserve">i) Agotada, pues, la vía administrativa, la señora Fernández Negri interpuso recurso contencioso-administrativo ante la Sala de lo Contencioso-Administrativo (Sección Primera) del Tribunal Superior de Justicia de Andalucía, con sede en Granada. La parte ahora recurrente en amparo se personó en el citado recurso en calidad de codemandada. </w:t>
      </w:r>
    </w:p>
    <w:p w:rsidR="00FA0779" w:rsidRDefault="00FA0779" w:rsidP="00FA0779">
      <w:pPr>
        <w:pStyle w:val="TextoNormal"/>
      </w:pPr>
      <w:r>
        <w:t>j) La Sentencia ahora impugnada recoge como válida la opinión formulada en el voto particular emitido por el Profesor López Calero y considera que «la actividad docente» es un requisito de acceso y no un criterio valorativo más juntamente con los restantes establecidos por la Comisión juzgadora.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Según la parte recurrente en amparo justifica la interposición del presente recurso, por una parte, la virtual lesión del derecho fundamental consagrado en el art. 23.2 de nuestra Constitución, es decir, el derecho a acceder en condiciones de igualdad a las funciones y cargos públicos con los requisitos que señalen las leyes, en relación con el art. 103.3 del mismo texto constitucional, y, por otra, la manifiesta vulneración del derecho a obtener una tutela judicial efectiva reconocida en el art. 24.1 de la Constitución, que ha generado en la recurrente una grave situación de indefensión. </w:t>
      </w:r>
    </w:p>
    <w:p w:rsidR="00FA0779" w:rsidRDefault="00FA0779" w:rsidP="00FA0779">
      <w:pPr>
        <w:pStyle w:val="TextoNormal"/>
      </w:pPr>
      <w:r>
        <w:t>Interesa la suspensión de la ejecución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por sendas providencias de 24 de enero de 1997, acordó admitir a trámite la demanda de amparo y formar pieza para la tramitación de incidente de suspensión y conforme determina el art. 56 LOTC, conceder un plazo común de tres días a la parte recurrente y al Ministerio Fiscal para que alegasen lo que estimaran conveniente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5</w:t>
      </w:r>
      <w:r>
        <w:t>. La recurrente, por escrito registrado en los Juzgados de Guardia de Madrid el 30 de enero de 1997, solicita que se acuerde la suspensión al entender que la ejecución de la Sentencia impugnada le causaría un perjuicio que haría perder al amparo su finalidad pues se declararía nula la Resolución de la Comisión de Reclamaciones de Concursos de Cuerpos Docentes de la Universidad de Granaday desierta la plaza objeto del concurso para su posterior provisión. De esta forma se vería privada de la plaza que viene desempeñando desde hace ya tres años en la Universidad y afectada en su reconocimiento profesional y prestigio. Se vería truncada su función docente en relación a los alumnos de licenciatura que la han elegido. Por otra parte de la suspensión no se derivaría perturbación grave de los intereses generales 0 de los derechos fundamentales o libertades públicas de un tercero.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por escrito que tuvo entrada en este Tribunal el 5 de febrero de 1997, se opone a la suspensión de la ejecución de la resolución impugnada. </w:t>
      </w:r>
    </w:p>
    <w:p w:rsidR="00FA0779" w:rsidRDefault="00FA0779" w:rsidP="00FA0779">
      <w:pPr>
        <w:pStyle w:val="TextoNormal"/>
      </w:pPr>
      <w:r>
        <w:t>Manifiesta que el criterio general tratándose de resoluciones judiciales es la no suspensión, habida cuenta del interés general que se desprende de su ejecución, sin que existan otros motivos para quebrar ese principio general en el presente caso.</w:t>
      </w:r>
    </w:p>
    <w:p w:rsidR="00FA0779" w:rsidRDefault="00FA0779" w:rsidP="00FA0779">
      <w:pPr>
        <w:pStyle w:val="TextoNormal"/>
      </w:pPr>
    </w:p>
    <w:p w:rsidR="00FA0779" w:rsidRDefault="00FA0779" w:rsidP="00FA0779">
      <w:pPr>
        <w:pStyle w:val="TextoNormal"/>
      </w:pPr>
      <w:r w:rsidRPr="00FA0779">
        <w:rPr>
          <w:rStyle w:val="NumeroAFNegritaCaracter"/>
        </w:rPr>
        <w:t>7</w:t>
      </w:r>
      <w:r>
        <w:t>. Por providencia de 6 de marzo de 1997, la Sección acordó una vez visto el contenido de un nuevo escrito presentado por la recurrente, suspender la tramitación M recurso de amparo, hasta tanto resolviera el Tribunal Supremo sobre la admisión o inadmisíón del recurso de casación que había sido interpuesto por la Universidad de Granada. Se recibe el 17 de abril de 1997 escrito del recurrente adjuntando Auto del Tribunal Supremo, de 17 de marzo de 1997, en que se inadmite el recurso de casación interpuesto por dicha Universidad declarando la firmeza de la Sentencia dictada el 1 de julio de 1996 por la Sala de lo Contencioso-Administrativo del Tribunal Superior de Justicia de Andalucía, cumpliéndose así lo dispuesto en la providencia de 6 de marzo de 1997.</w:t>
      </w:r>
    </w:p>
    <w:p w:rsidR="00FA0779" w:rsidRDefault="00FA0779" w:rsidP="00FA0779">
      <w:pPr>
        <w:pStyle w:val="TextoNormal"/>
      </w:pPr>
    </w:p>
    <w:p w:rsidR="00FA0779" w:rsidRDefault="00FA0779" w:rsidP="00FA0779">
      <w:pPr>
        <w:pStyle w:val="TextoNormal"/>
      </w:pPr>
      <w:r w:rsidRPr="00FA0779">
        <w:rPr>
          <w:rStyle w:val="NumeroAFNegritaCaracter"/>
        </w:rPr>
        <w:t>8</w:t>
      </w:r>
      <w:r>
        <w:t>. Por providencia de 29 de abril de 1997, la Sección acordó visto el contenido del escrito presentado por el Procurador don José Ignacio Noriega Arquer, con copia del Auto dictado por el Tribunal Supremo de 17 de marzo anterior, levantar la suspensión de la tramitación del presente recurso de amparo y de la pieza separada para la tramitación del incidente sobre suspensión.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FA0779" w:rsidRDefault="00FA0779" w:rsidP="00FA0779">
      <w:pPr>
        <w:pStyle w:val="TextoNormal"/>
      </w:pPr>
      <w:r>
        <w:t xml:space="preserve">De acuerdo con la doctrina mantenida por este Tribunal (AATC 17/1980, 57/1980, 257/1986, 249/1989, 294/1989 y 141/1990), la suspensión se configura como una medida provisional de carácter excepcional y de aplicación restrictiva, dado el interés general en la </w:t>
      </w:r>
      <w:r>
        <w:lastRenderedPageBreak/>
        <w:t>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FA0779" w:rsidRDefault="00FA0779" w:rsidP="00FA0779">
      <w:pPr>
        <w:pStyle w:val="TextoNormal"/>
      </w:pPr>
    </w:p>
    <w:p w:rsidR="00FA0779" w:rsidRDefault="00FA0779" w:rsidP="00FA0779">
      <w:pPr>
        <w:pStyle w:val="TextoNormal"/>
      </w:pPr>
      <w:r w:rsidRPr="00FA0779">
        <w:rPr>
          <w:rStyle w:val="NumeroAFNegritaCaracter"/>
        </w:rPr>
        <w:t>2</w:t>
      </w:r>
      <w:r>
        <w:t>.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145119.89, fundamento jurídico 2.º).</w:t>
      </w:r>
    </w:p>
    <w:p w:rsidR="00FA0779" w:rsidRDefault="00FA0779" w:rsidP="00FA0779">
      <w:pPr>
        <w:pStyle w:val="TextoNormal"/>
      </w:pPr>
    </w:p>
    <w:p w:rsidR="00FA0779" w:rsidRDefault="00FA0779" w:rsidP="00FA0779">
      <w:pPr>
        <w:pStyle w:val="TextoNormal"/>
      </w:pPr>
      <w:r w:rsidRPr="00FA0779">
        <w:rPr>
          <w:rStyle w:val="NumeroAFNegritaCaracter"/>
        </w:rPr>
        <w:t>3</w:t>
      </w:r>
      <w:r>
        <w:t>. En el caso considerado, la ejecución en sus propios términos de la Sentencia recurrida comportaría la nulidad de la Resolución de la Comisión de Reclamaciones de Concursos de Cuerpos Docentes de la Universidad de Granada quedando desierta la plaza objeto del concurso para su posterior provisión. En esta tesitura, y habida cuenta que la conclusión del procedimiento selectivo se ha traducido en la adquisición de la condición funcionarial de la ahora recurrente, es de apreciar que en favor del otorgamiento de la suspensión solicitada concurren no sólo los intereses de ésta, sino que, no produce perturbaciones graves de los intereses generales, el mantenimiento de la situación existente en tanto se resuelva con carácter definitivo la controversia suscitada.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acceder a la solicitud de suspensión de la ejecución de la Sentencia de la Sala de lo Contencioso-Administrativo del Tribunal Superior de Justicia de Andalucía, de 1 de julio de 1996.</w:t>
      </w:r>
    </w:p>
    <w:p w:rsidR="00FA0779" w:rsidRDefault="00FA0779" w:rsidP="00FA0779">
      <w:pPr>
        <w:pStyle w:val="TextoNormal"/>
      </w:pPr>
    </w:p>
    <w:p w:rsidR="00FA0779" w:rsidRDefault="00FA0779" w:rsidP="00FA0779">
      <w:pPr>
        <w:pStyle w:val="TextoNormal"/>
      </w:pPr>
      <w:r>
        <w:t>Madrid, a veintitrés de junio de mil novecientos noventa y siete.</w:t>
      </w:r>
    </w:p>
    <w:p w:rsidR="00FA0779" w:rsidRDefault="00FA0779" w:rsidP="00FA0779">
      <w:pPr>
        <w:pStyle w:val="ParrafoNormal"/>
      </w:pPr>
    </w:p>
    <w:p w:rsidR="00FA0779" w:rsidRDefault="00FA0779" w:rsidP="00FA0779">
      <w:pPr>
        <w:pStyle w:val="TextoNormalNegritaCentrado"/>
        <w:keepNext/>
      </w:pPr>
      <w:r>
        <w:t>Voto particular que formula el Magistrado don Carles Viver Pi-Sunyer respecto del Auto dictado en el recurso de amparo núm. 3.061/96</w:t>
      </w:r>
    </w:p>
    <w:p w:rsidR="00FA0779" w:rsidRDefault="00FA0779" w:rsidP="00FA0779">
      <w:pPr>
        <w:pStyle w:val="TextoNormalNegritaCentrado"/>
        <w:keepNext/>
      </w:pPr>
    </w:p>
    <w:p w:rsidR="00FA0779" w:rsidRDefault="00FA0779" w:rsidP="00FA0779">
      <w:pPr>
        <w:pStyle w:val="TextoNormal"/>
      </w:pPr>
      <w:r>
        <w:t xml:space="preserve">No comparto la decisión adoptada y, menos aún, la concepción del incidente de suspensión en el recurso de amparo que la sustenta, Del tenor literal del art.  56 LOTC y, muy especialmente, de la naturaleza del proceso constitucional de amparo se deduce, creo, un criterio de interpretación estricto según el cual sólo puede acordarse la suspensión cuando </w:t>
      </w:r>
      <w:r>
        <w:lastRenderedPageBreak/>
        <w:t>el amparo pudiera perder su finalidad y, aun en estos casos, debe denegarse cuando de dicha suspensión pudiera seguirse perturbación grave de los intereses generales o de los derechos fundamentales o libertades públicas de un tercero.</w:t>
      </w:r>
    </w:p>
    <w:p w:rsidR="00FA0779" w:rsidRDefault="00FA0779" w:rsidP="00FA0779">
      <w:pPr>
        <w:pStyle w:val="TextoNormal"/>
      </w:pPr>
      <w:r>
        <w:t>Lo primero que debe indagarse es, pues, si el amparo, de otorgarse, perdería su finalidad en caso de no suspender la ejecución del acto frente al que se interpone el recurso. En el presente supuesto la respuesta, a mi juicio, debe ser negativa: La ejecución de la Sentencia del Tribunal Superior de Justicia de Andalucía, en el hipotético caso de que se tradujera en la pérdida de la condición funcionarial de la recurrente, no produciría la pérdida de la finalidad de la posible estimación del amparo ya que los prejuicios que pudiera sufrir la recurrente serían fácilmente reparables mediante, por ejemplo, una indemnización económica. En rigor, el razonamiento del Auto debería haber acabado con esta constatación; sin embargo, si como propone la Sala se quisiera entrar a ponderar el interés general, no cabe duda que éste radica en la ejecución de la Sentencia firme del Tribunal Superior de Justicia de Andalucía. Limitarse a argumentar, como se hace en el Auto, que en la suspensión solicitada concurre el interés de la recurrente y no se opone el interés general, me parece, en cuanto a lo primero, una obviedad que nada prueba y, en cuanto a lo segundo, una apreciación que, como acabo de decir, no puedo compartir: No creo que pueda hablarse de la existencia de un interés general en el mantenimiento de la condición funcionarial de la recurrente y, en cualquier caso, de existir este interés debe ceder ante el superior en la ejecución de las resoluciones judiciales.</w:t>
      </w:r>
    </w:p>
    <w:p w:rsidR="00FA0779" w:rsidRDefault="00FA0779" w:rsidP="00FA0779">
      <w:pPr>
        <w:pStyle w:val="TextoNormal"/>
      </w:pPr>
      <w:r>
        <w:t>La configuración y la delimitación de los distintos procesos constitucionales puede desvirtuarse en cualquier fase o incidente del proceso, incluido, por supuesto, el trámite de adopción de medidas cautelares. Evitar que se produzcan esas graves consecuencias es tarea fundamental que el Tribunal Constitucional debe llevar a cabo sin desmayo y con todo rigor.</w:t>
      </w:r>
    </w:p>
    <w:p w:rsidR="00FA0779" w:rsidRDefault="00FA0779" w:rsidP="00FA0779">
      <w:pPr>
        <w:pStyle w:val="TextoNormal"/>
      </w:pPr>
      <w:r>
        <w:t>Madrid, a dos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6" w:name="AUTO_1997_223"/>
      <w:r>
        <w:lastRenderedPageBreak/>
        <w:t>AUTO 223/1997, de 23 de junio de 1997</w:t>
      </w:r>
    </w:p>
    <w:bookmarkEnd w:id="156"/>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ECLI:ES:TC:1997:223A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condicionada de la ejecución del acto que origina el recurso de amparo 3.440/1996.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23 de septiembre de 1996, la entidad «Papresa, S. L.», representada por el Procurador de los Tribunales don Eduardo Morales Price, interpone recurso de amparo contra Autos del Juzgado de lo Social núm. 2 de Bilbao, de 27 de octubre de 1994, y de la Sala de lo Social del T.S.J. del País Vasco, de 21 de junio de 1996, sobre inadmisión de recurso de suplicación.</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recurso se fundamenta, en síntesis, en los siguientes hechos: </w:t>
      </w:r>
    </w:p>
    <w:p w:rsidR="00FA0779" w:rsidRDefault="00FA0779" w:rsidP="00FA0779">
      <w:pPr>
        <w:pStyle w:val="TextoNormal"/>
      </w:pPr>
      <w:r>
        <w:t xml:space="preserve">a) En su día un trabajador presentó demanda por extinción de trabajo por voluntad suya contra un conjunto de empresas, entre las que se encontraba la entidad ahora solicitante de amparo. La demanda fue estimada por sentencia del Juzgado de lo Social núm. 2 de Bilbao, declarando la extinción del contrato de trabajo y condenando solidariamente a los demandados a que abonaran al actor la cantidad de 18.126.108 pesetas. </w:t>
      </w:r>
    </w:p>
    <w:p w:rsidR="00FA0779" w:rsidRDefault="00FA0779" w:rsidP="00FA0779">
      <w:pPr>
        <w:pStyle w:val="TextoNormal"/>
      </w:pPr>
      <w:r>
        <w:t xml:space="preserve">b) La entidad ahora demandante de amparo interpuso recurso de suplicación. Arguyendo la grave crisis financiera por la que atravesaba la empresa y la imposibilidad de obtener avales bancarios por falta de solvencia suficiente, se adjuntó una escritura de hipoteca mobiliaria unilateral a favor del trabajador por importe de 19.000.000 de pesetas. </w:t>
      </w:r>
    </w:p>
    <w:p w:rsidR="00FA0779" w:rsidRDefault="00FA0779" w:rsidP="00FA0779">
      <w:pPr>
        <w:pStyle w:val="TextoNormal"/>
      </w:pPr>
      <w:r>
        <w:t xml:space="preserve">Pero el Juzgado de lo Social declaró la inadmisión del recurso de suplicación. El Juzgado advierte que el art. 227 (actual 228) L.P.L. sólo permite sustituir la consignación en metálico por el aseguramiento mediante aval bancario, en el que debe hacerse constar la responsabilidad solidaria del avalista. </w:t>
      </w:r>
    </w:p>
    <w:p w:rsidR="00FA0779" w:rsidRDefault="00FA0779" w:rsidP="00FA0779">
      <w:pPr>
        <w:pStyle w:val="TextoNormal"/>
      </w:pPr>
      <w:r>
        <w:t xml:space="preserve">c) Interpuesto recurso de queja contra la resolución de inadmisión, el recurso fue desestimado por Auto de la Sala de lo Social del T.S.J. del País Vasco. </w:t>
      </w:r>
    </w:p>
    <w:p w:rsidR="00FA0779" w:rsidRDefault="00FA0779" w:rsidP="00FA0779">
      <w:pPr>
        <w:pStyle w:val="TextoNormal"/>
      </w:pPr>
      <w:r>
        <w:t>Como antes lo había hecho el Juzgado de lo Social, también ahora el T.S.J. entiende que la consignación en metálico y el aval bancario son los únicos mecanismos permitidos por el art. 228 L.P.L., sin que se admitan otros, al ser aquellos primeros los únicos que permiten una ejecución pronta de lo juzgado definitivamente, mientras que los segundos, aun previstos por el Código Civil, pueden conducir, en el supuesto de ejecución forzosa, a trámites que dilatan e incluso pueden frustrar parcialmente los intereses del trabajador que han sido reconocidos y que requieren una satisfacción rápida.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afirma que los Autos impugnados vulneran los arts. 14 y 24.1 C.E. </w:t>
      </w:r>
    </w:p>
    <w:p w:rsidR="00FA0779" w:rsidRDefault="00FA0779" w:rsidP="00FA0779">
      <w:pPr>
        <w:pStyle w:val="TextoNormal"/>
      </w:pPr>
      <w:r>
        <w:t xml:space="preserve">a) La vulneración del art. 24.1 C.E. se apoya, básicamente, en la STC 30/1994. </w:t>
      </w:r>
    </w:p>
    <w:p w:rsidR="00FA0779" w:rsidRDefault="00FA0779" w:rsidP="00FA0779">
      <w:pPr>
        <w:pStyle w:val="TextoNormal"/>
      </w:pPr>
      <w:r>
        <w:t xml:space="preserve">b) Por su parte, la lesión del principio de igualdad en aplicación de la ley (art. 14 C.E.) se funda en anterior Auto dictado por la Sala de lo Social del T.S.J., en el que sí se aceptó como garantía la hipoteca unílateral. </w:t>
      </w:r>
    </w:p>
    <w:p w:rsidR="00FA0779" w:rsidRDefault="00FA0779" w:rsidP="00FA0779">
      <w:pPr>
        <w:pStyle w:val="TextoNormal"/>
      </w:pPr>
      <w:r>
        <w:t xml:space="preserve">c) Se solicita, de estimarse la lesión del art. 24.1 C.E., la anulación de los dos Autos impugnados y que se ordene la admisión y tramitación del recurso de suplicación. Y, de estimarse la lesión del art. 14 C.E., la anulación del Auto dictado por el T.S.L, y que se ordene igualmente la admisión y tramitación del recurso de suplicación. </w:t>
      </w:r>
    </w:p>
    <w:p w:rsidR="00FA0779" w:rsidRDefault="00FA0779" w:rsidP="00FA0779">
      <w:pPr>
        <w:pStyle w:val="TextoNormal"/>
      </w:pPr>
      <w:r>
        <w:t>d) Se solicita, asimismo, la suspensión de la ejecución de la Sentencia que se pretende recurrir en suplicación, pues de otra forma el recurso de amparo perdería su finalidad al ser prácticamente imposible obtener la devolución de las cantidades que habría recibido el trabajador.</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20 de marzo de 1997, la Sección Tercera de este Tribunal acuerda admitir a trámite la demanda de amparo. Mediante otra providencia de la misma fecha, La Sección acuerda formar las oportunas piezas de suspensión y, de conformidad con el art. 56 LOTC, conceder un plazo de tres días a la parte recurrente y al Ministerio Fiscal para que aleguen lo que estimen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26 de marzo de 1996 se registra el escrito de alegaciones de la representación de la entidad recurrente. En el escrito se narra que la Sentencia del Juzgado de lo Social núm. 2 de Bilbao, contra la que se interpuso el recurso de suplicación inadmitido, condenaba en su fallo a varias de las empresas codemandadas. Dicha Sentencia fue recurrida únicamente por la entidad ahora solicitante de amparo, la cual, ante la imposibilidad en aquel momento de depositar en metálico el importe de la condena, y de obtener un aval bancario, otorgó una hipoteca unilateral sobre bienes de su propiedad libres de cargas a favor del actor, por el importe de la condena más intereses y costas. Antes de la desestimación del recurso de queja presentado contra la inadmisión del recurso de suplicación, el Juzgado de lo Social núm. 2 de Bilbao dictó Auto por el que despachaba ejecución contra bienes de las condenadas, trabando finalmente la suma de 21.751.328 pesetas, depositada en una cuenta de la empresa recurrente de amparo en una entidad financiera, cantidad que desde entonces está ingresada en la cuenta de depósitos del Juzgado. Desde la fecha del anuncio del recurso de suplicación y del otorgamiento de hipoteca unilateral, hasta la fecha del embargo de la cuenta transcurrió más de un año, período en el que mejoró la situación económica de la empresa solicitante de amparo. </w:t>
      </w:r>
    </w:p>
    <w:p w:rsidR="00FA0779" w:rsidRDefault="00FA0779" w:rsidP="00FA0779">
      <w:pPr>
        <w:pStyle w:val="TextoNormal"/>
      </w:pPr>
      <w:r>
        <w:t xml:space="preserve">La suspensión solicitada tiene como finalidad evitar que se haga entrega al trabajador del dinero depositado en el Juzgado y retenido a la entidad solicitante de amparo o que se ejecute la hipoteca constituida por ésta en favor de aquél. De cobrar por cualquiera de estas dos vías el trabajador la indemnización, y en caso de que se estimara el recurso de suplicación, sería imposible para la entidad solicitante de amparo recuperar el importe de aquella indemnización, con lo que el amparo perdería su finalidad. Por lo demás, la suspensión no perturba intereses generales, ni los derechos fundamentales o libertades públicas de un tercero, sobre todo si se tiene en cuenta que la paralización de la ejecución puede ser acordada únicamente en lo que afecta a «Papresa, S. A.», pudiendo continuarse con </w:t>
      </w:r>
      <w:r>
        <w:lastRenderedPageBreak/>
        <w:t>respecto al resto de las condenadas que no han interpuesto recurso alguno contra la Sentencia.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presenta su escrito de alegaciones el 10 de abril de 1997. Con cita de resoluciones de este Tribunal, el escrito recuerda que el principio general es el de la que las Sentencias se ejecuten, por lo que su suspensión se supedita a que quien la solicite acredite que la ejecución haría perder al amparo su finalidad o le causaría un perjuicio irreparable. Tratándose de resoluciones con efectos meramente económicos, la doctrina general del Tribunal es la de que su ejecución no causa ningún perjuicio irreparable, puesto que su reparación ulterior, en caso de ser estimado el recurso de amparo, no tiene por qué ser dificultosa. De ahí que en estos casos el criterio generalmente seguido por el Tribunal sea contrario a la suspensión, lo que en ocasiones se complementa con el encargo al órgano judicial ejecutor de que fije las cuantías que estime pertinentes para asegurar la devolución de las cantidades satisfechas. Esta regla general encuentra excepciones en los casos en que el objeto del amparo podría quedar vacío de contenido, frustrándose su finalidad esencial, si se ejecutase la resolución recurrida, como sucedería en el supuesto de que se tratara de la transmisión de un bien irrecuperable. </w:t>
      </w:r>
    </w:p>
    <w:p w:rsidR="00FA0779" w:rsidRDefault="00FA0779" w:rsidP="00FA0779">
      <w:pPr>
        <w:pStyle w:val="TextoNormal"/>
      </w:pPr>
      <w:r>
        <w:t>Analizando las resoluciones recurridas desde las premisas expuestas, el Ministerio Fiscal advierte, en primer lugar, que ambas resoluciones son de inadmisión de un recurso, es decir, resoluciones de alcance exclusivamente procesal y de carácter negativo, que no se encuentran entre los supuestos en los que debe acordarse la suspensión, pues esta no produciría la paralización de los efectos propios de los actos impugnados, sino que crearía una situación nueva. En segundo lugar, si lo que se solicita es la suspensión de la ejecución de la Sentencia del Juzgado de lo Social núm. 2 de Bilbao, se plantea la dificultad que supone suspender una resolución firme que no es la recurrida en amparo, lo que parece pugnar con la previsión del art. 56.1 LOTC En tercer lugar, si lo anteriormente expuesto pudiera obviarse a la vista de relación existente entre las resoluciones denegatorias del recurso y la ejecución de la sentencia de instancia, hay que negar que la eficacia del presente recurso de amparo esté subordinada a la suspensión de dicha ejecución, pues, de estimarse la vulneración constitucional denunciada, únicamente habría que declarar la pertinencia de la fianza ofrecida por el demandante para interponer el recurso de suplicación, pero no implicar ni la admisibilidad del recurso por otras cuestiones ni, en todo caso, la posterior estimación de las pretensiones de fondo del recurrente. En consecuencia, al</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La doctrina de este Tribunal acerca del art. 56.1 LOTC configura suspensión, ciertamente, como una medida de aplicación restrictiva, dado el interés general en la efectividad de las decisiones de los poderes públicos y, en particular en la</w:t>
      </w:r>
    </w:p>
    <w:p w:rsidR="00FA0779" w:rsidRDefault="00FA0779" w:rsidP="00FA0779">
      <w:pPr>
        <w:pStyle w:val="TextoNormal"/>
      </w:pPr>
      <w:r>
        <w:t>ejecución de las resoluciones judiciales (AATC 17/1980, 57/1980, 257/1986, 249/1989, 141/1990, 212/1994, 35/1996 y 76/1996, entre otros). Este carácter restrictivo de la suspensión se proyecta singularmente sobre las resoluciones judicial con efectos</w:t>
      </w:r>
    </w:p>
    <w:p w:rsidR="00FA0779" w:rsidRDefault="00FA0779" w:rsidP="00FA0779">
      <w:pPr>
        <w:pStyle w:val="TextoNormal"/>
      </w:pPr>
      <w:r>
        <w:t>meramente patrimoniales o económicos, (por todos, AATC 573/1985, 574/1985 y 275/1990). En estos supuestos los perjuicios no son, en principio, irreparables y caso de que se consideren de difícil reparación por su cuantía u otras circunstancias, el órgano</w:t>
      </w:r>
    </w:p>
    <w:p w:rsidR="00FA0779" w:rsidRDefault="00FA0779" w:rsidP="00FA0779">
      <w:pPr>
        <w:pStyle w:val="TextoNormal"/>
      </w:pPr>
      <w:r>
        <w:t>judicial encargado de la ejecución puede adoptar las medidas precautorias que estime procedentes para garantizar, en su caso, los derechos la parte ejecutada.</w:t>
      </w:r>
    </w:p>
    <w:p w:rsidR="00FA0779" w:rsidRDefault="00FA0779" w:rsidP="00FA0779">
      <w:pPr>
        <w:pStyle w:val="TextoNormal"/>
      </w:pPr>
      <w:r>
        <w:lastRenderedPageBreak/>
        <w:t>Esto es lo que procede acordar en el presente caso, en el que, el problema suscitado en amparo es el de naturaleza procesal sobre la procedencia de admisión o inadmisión del recurso de suplicación. La estimación del amparo no hace perder a éste su finalidad y de ahí la improcedencia de la suspensión interesada, sin perjuicio de que por el Juzgado de lo Social encargado de la ejecución, si lo estima procedente, acuerde adoptar las medidas precautorias que permitan garantizar, en su caso, los derechos de la parte ejecutada.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no acceder a la suspensión interesada, sin perjuicio de las medidas precautorias que, si lo estima procedente, pueda adoptar el órgano encargado de la ejecución, en garantía de los posibles derechos de la parte ejecutada.</w:t>
      </w:r>
    </w:p>
    <w:p w:rsidR="00FA0779" w:rsidRDefault="00FA0779" w:rsidP="00FA0779">
      <w:pPr>
        <w:pStyle w:val="TextoNormal"/>
      </w:pPr>
    </w:p>
    <w:p w:rsidR="00FA0779" w:rsidRDefault="00FA0779" w:rsidP="00FA0779">
      <w:pPr>
        <w:pStyle w:val="TextoNormal"/>
      </w:pPr>
      <w:r>
        <w:t>Madrid, a veintitrés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7" w:name="AUTO_1997_224"/>
      <w:r>
        <w:lastRenderedPageBreak/>
        <w:t>AUTO 224/1997, de 23 de junio de 1997</w:t>
      </w:r>
    </w:p>
    <w:bookmarkEnd w:id="157"/>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ECLI:ES:TC:1997:224A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3.594/1996.</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8" w:name="AUTO_1997_225"/>
      <w:r>
        <w:lastRenderedPageBreak/>
        <w:t>AUTO 225/1997, de 23 de junio de 1997</w:t>
      </w:r>
    </w:p>
    <w:bookmarkEnd w:id="158"/>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ECLI:ES:TC:1997:225A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3.636/1996.</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59" w:name="AUTO_1997_226"/>
      <w:r>
        <w:lastRenderedPageBreak/>
        <w:t>AUTO 226/1997, de 23 de junio de 1997</w:t>
      </w:r>
    </w:p>
    <w:bookmarkEnd w:id="159"/>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ECLI:ES:TC:1997:226A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3.861/1996.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Procuradora de los Tribunales doña Rosina Montes Agustí, en nombre de la compañía «United Dutch España, S. A.», y mediante escrito presentado el 25 de octubre de 1996, interpuso recurso de amparo contra el Auto dictado el 27 de septiembre de 1996 por la Sección Segunda de la Audiencia Provincial de Lleida, denegatorio en apelación de nulidad de actuaciones en juicio ejecutivo. En la demanda de amparo se nos dice que la referida resolución judicial infringe el art. 24.1 C.E. en cuanto no repara la vulneración que de su derecho fundamental a obtener la tutela judicial efectiva se produjo en el juicio ejecutivo, en el que fue condenada inaudita parte y solicita que, otorgando el amparo que interesa, sea dictada Sentencia declarando la nulidad del Auto impugnado, así como de lo actuado en el juicio ejecutivo desde que fue dictado el Auto despachando la ejecución. </w:t>
      </w:r>
    </w:p>
    <w:p w:rsidR="00FA0779" w:rsidRDefault="00FA0779" w:rsidP="00FA0779">
      <w:pPr>
        <w:pStyle w:val="TextoNormal"/>
      </w:pPr>
      <w:r>
        <w:t>También interesa que, entre tanto, sea decretada la suspensión de los efectos del Auto que combate, argumentando al efecto que la ejecución habría de producirle perjuicios irreparables, pues ello implicaría la continuación del procedimiento ejecutivo iniciado con las consiguientes actuaciones de subasta y enajenación de los bienes trabados, cuya adquisición por un tercer adquirente de buena fe haría imposible la posterior reparación. Desde otra perspectiva, la suspensión no perturbaría los intereses generales, pues la naturaleza del litigio es de índole exclusivamente privada, lo que excluye que el interés público esté comprometido, ni afectaría desfavorablemente a los derechos fundamentales de terceros, ni siquiera a los de la parte ejecutante cuyo presunto derecho queda aplazado con todas las garantías.</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12 de mayo de 1997, acordó admitir a trámite el recurso y en otra simultánea formar la correspondiente pieza separada y conceder en ella un plazo común de tres días al Ministerio Fiscal y a la sociedad demandante para que dentro del mismo pudieran alegar cuanto estimaran pertinente en relación con la medida cautelar solicitada.</w:t>
      </w:r>
    </w:p>
    <w:p w:rsidR="00FA0779" w:rsidRDefault="00FA0779" w:rsidP="00FA0779">
      <w:pPr>
        <w:pStyle w:val="TextoNormal"/>
      </w:pPr>
    </w:p>
    <w:p w:rsidR="00FA0779" w:rsidRDefault="00FA0779" w:rsidP="00FA0779">
      <w:pPr>
        <w:pStyle w:val="TextoNormal"/>
      </w:pPr>
      <w:r w:rsidRPr="00FA0779">
        <w:rPr>
          <w:rStyle w:val="NumeroAFNegritaCaracter"/>
        </w:rPr>
        <w:t>3</w:t>
      </w:r>
      <w:r>
        <w:t>. El Ministerio Fiscal evacuó el traslado el 26 de mayo, en escrito en el que se opuso a la adopción de la medida cautelar instada habida cuenta su trascendencia meramente eco</w:t>
      </w:r>
      <w:r>
        <w:lastRenderedPageBreak/>
        <w:t>nómica y que el otorgamiento del amparo no conlleva, forzosamente, el impago de la suma a la que la entidad actora ha sido condenada, sino tan sólo su audiencia en el proceso. La entidad actora no ha formulado alegación alguna en este trámite.</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A0779" w:rsidRDefault="00FA0779" w:rsidP="00FA077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de soslayo.</w:t>
      </w:r>
    </w:p>
    <w:p w:rsidR="00FA0779" w:rsidRDefault="00FA0779" w:rsidP="00FA0779">
      <w:pPr>
        <w:pStyle w:val="TextoNormal"/>
      </w:pPr>
    </w:p>
    <w:p w:rsidR="00FA0779" w:rsidRDefault="00FA0779" w:rsidP="00FA0779">
      <w:pPr>
        <w:pStyle w:val="TextoNormal"/>
      </w:pPr>
      <w:r w:rsidRPr="00FA0779">
        <w:rPr>
          <w:rStyle w:val="NumeroAFNegritaCaracter"/>
        </w:rPr>
        <w:t>2</w:t>
      </w:r>
      <w:r>
        <w:t>.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 la sociedad demandante del amparo, desde la perspectiva opuesta, tiene un contenido exclusivamente económico y para fundamentarla se limita a alegar que la ejecución habría de causarle perjuicios irreparables, máxime si se llega a hacer trance y remate de los bienes embargados.</w:t>
      </w:r>
    </w:p>
    <w:p w:rsidR="00FA0779" w:rsidRDefault="00FA0779" w:rsidP="00FA0779">
      <w:pPr>
        <w:pStyle w:val="TextoNormal"/>
      </w:pPr>
      <w:r>
        <w:t xml:space="preserve">En la ponderación que este Tribunal ha de realizar para decidir sobre la medida cautelar instada debe quedar fuera la posibilidad de que se haga trance y remate de los bienes trabados, porque los daños y perjuicios a tomar en consideración al efecto sólo son los reales y actuales, ya que sólo ellos pueden hacer, por su carácter y entidad, perder al amparo su finalidad. Así, pues, el interés en la suspensión de la sociedad actora debe quedar reducido a la cantidad cierta a cuyo pago fue condenada en la Sentencia de remate y en cuya garantía le fueron embargados bienes suficientes. De otro lado, el efecto que provocaría el otorgamiento del amparo sería la retroacción de las actuaciones y la tramitación del juicio ejecutivo previa citación de remate personal de la entidad recurrente; en otras palabras, no </w:t>
      </w:r>
      <w:r>
        <w:lastRenderedPageBreak/>
        <w:t>garantiza que no vaya a ser condenada al pago de la cantidad que se le reclama en virtud de un título ejecutivo, con lo que, de dicho otorgamiento, no se deriva necesariamente la absolución de aquélla y por ello la inexistencia de la obligación de pago que se le ha impuesto en la Sentencia.</w:t>
      </w:r>
    </w:p>
    <w:p w:rsidR="00FA0779" w:rsidRDefault="00FA0779" w:rsidP="00FA0779">
      <w:pPr>
        <w:pStyle w:val="TextoNormal"/>
      </w:pPr>
      <w:r>
        <w:t>Así las cosas, ha de concluirse, en atención a la naturaleza y entidad de la condena y a los efectos de una eventual Sentencia estimatoria del recurso de amparo, que la ejecución del Auto impugnado y, consecuentemente, la eventual ejecución de la Sentencia de remate no produce efectos irreversibles que pudieran hacer perder a este recurso su finalidad. Si a ello se añade, además, que la demandante no aporta elemento o principio de prueba alguno que acredite que el desembolso que se le impone -por muy importante que sea- le haya de ocasionar un grave quebranto económico susceptible de hacer peligrar su estabilidad financiera, nuestra conclusión no puede ser otra que el mantenimiento de la ejecutividad de la resolución recurrida en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Sala acuerda denegar la suspensión solicitada,</w:t>
      </w:r>
    </w:p>
    <w:p w:rsidR="00FA0779" w:rsidRDefault="00FA0779" w:rsidP="00FA0779">
      <w:pPr>
        <w:pStyle w:val="TextoNormal"/>
      </w:pPr>
    </w:p>
    <w:p w:rsidR="00FA0779" w:rsidRDefault="00FA0779" w:rsidP="00FA0779">
      <w:pPr>
        <w:pStyle w:val="TextoNormal"/>
      </w:pPr>
      <w:r>
        <w:t>Madrid, a veintitrés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0" w:name="AUTO_1997_227"/>
      <w:r>
        <w:lastRenderedPageBreak/>
        <w:t>AUTO 227/1997, de 23 de junio de 1997</w:t>
      </w:r>
    </w:p>
    <w:bookmarkEnd w:id="160"/>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ECLI:ES:TC:1997:227A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4.190/1996, promovido en pleito civil.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1" w:name="AUTO_1997_228"/>
      <w:r>
        <w:lastRenderedPageBreak/>
        <w:t>AUTO 228/1997, de 23 de junio de 1997</w:t>
      </w:r>
    </w:p>
    <w:bookmarkEnd w:id="161"/>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ECLI:ES:TC:1997:228A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Acuerda el desistimiento en el recurso de amparo 497/1997, promovido en pleito civil.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2" w:name="AUTO_1997_229"/>
      <w:r>
        <w:lastRenderedPageBreak/>
        <w:t>AUTO 229/1997, de 23 de junio de 1997</w:t>
      </w:r>
    </w:p>
    <w:bookmarkEnd w:id="162"/>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ECLI:ES:TC:1997:229A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Acuerda el desistimiento en el recurso de amparo 959/1997, promovido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3" w:name="AUTO_1997_230"/>
      <w:r>
        <w:lastRenderedPageBreak/>
        <w:t>AUTO 230/1997, de 24 de junio de 1997</w:t>
      </w:r>
    </w:p>
    <w:bookmarkEnd w:id="163"/>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ECLI:ES:TC:1997:230A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José Vicente Gimeno Sendra, don Rafael de Mendizábal Allende, don Julio D. González Campos, don Pedro Cruz Villalón, don Carles Viver Pi-Sunyer, don Enrique Ruiz Vadillo, don Tomás Salvador Vives Antón y don Pablo García Manzano.</w:t>
      </w:r>
    </w:p>
    <w:p w:rsidR="00FA0779" w:rsidRDefault="00FA0779" w:rsidP="00FA0779">
      <w:pPr>
        <w:pStyle w:val="SntesisDescriptiva"/>
      </w:pPr>
    </w:p>
    <w:p w:rsidR="00FA0779" w:rsidRDefault="00FA0779" w:rsidP="00FA0779">
      <w:pPr>
        <w:pStyle w:val="SntesisDescriptiva"/>
      </w:pPr>
      <w:r>
        <w:t>Denegando la acumulación de la cuestión de inconstitucionalidad 946/1997 a la registrada con el núm. 2.140/1993.</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4" w:name="AUTO_1997_231"/>
      <w:r>
        <w:lastRenderedPageBreak/>
        <w:t>AUTO 231/1997, de 24 de junio de 1997</w:t>
      </w:r>
    </w:p>
    <w:bookmarkEnd w:id="164"/>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ECLI:ES:TC:1997:231A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José Vicente Gimeno Sendra, don Rafael de Mendizábal Allende, don Julio D. González Campos, don Pedro Cruz Villalón, don Carles Viver Pi-Sunyer, don Enrique Ruiz Vadillo, don Tomás Salvador Vives Antón y don Pablo García Manzano.</w:t>
      </w:r>
    </w:p>
    <w:p w:rsidR="00FA0779" w:rsidRDefault="00FA0779" w:rsidP="00FA0779">
      <w:pPr>
        <w:pStyle w:val="SntesisDescriptiva"/>
      </w:pPr>
    </w:p>
    <w:p w:rsidR="00FA0779" w:rsidRDefault="00FA0779" w:rsidP="00FA0779">
      <w:pPr>
        <w:pStyle w:val="SntesisDescriptiva"/>
      </w:pPr>
      <w:r>
        <w:t>Manteniendo la suspensión, previamente acordada, de la Ley 4/1996 de Ordenación de la Función Pública del Principado de Asturias en el recurso de inconstitucionalidad 1.296/1997.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Abogado del Estado, en nombre del Presidente del Gobierno, mediante escrito presentado el 26 de marzo de 1997, interpuso recurso de inconstitucionalidad contra el artículo único de la Ley 4/1996, de 13 de diciembre, de Ordenación de la Función Pública del Principado de Asturias. </w:t>
      </w:r>
    </w:p>
    <w:p w:rsidR="00FA0779" w:rsidRDefault="00FA0779" w:rsidP="00FA0779">
      <w:pPr>
        <w:pStyle w:val="TextoNormal"/>
      </w:pPr>
      <w:r>
        <w:t>Se hizo expresa invocación del art. 161.2 C.E., a efectos de la suspensión de la vigencia y aplicación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Segunda, mediante providencia de 8 de abril de 1997, acordó admitir a trámite el recurso dando traslado de la demanda y documentos presentados, conforme establece el art. 34 de la Ley Orgánica del Tribunal Constitucional, al Congreso y al Senado, así como a la Junta General y al Consejo de Gobierno del Principado de Asturias, para que, en el plazo de quince días, pudieran personarse en el proceso y formular las alegaciones que estimaren convenientes. Al haber sido invocado por el Presidente del Gobierno el art. 161.2 de la C.E., y conforme establece el art. 30 de la LOTC, se acordó asimismo la suspensión de la vigencia y aplicación el precepto impugnado, para las partes desde la fecha de interposición del recurso para los terceros desde el día en que apareciera la publicación en el «Boletín Oficial del Estado», de la incoación del recurso y la suspensión, cuya publicación también se dispuso en el «Boletín Oficial del Principado de Asturias».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Letrado de la Junta General del Principado de Asturias, en la representación procesal de esta Comunidad que por Ley tiene atribuida, mediante su escrito de alegaciones presentado el 22 de abril de 1997, se persona y suplica al Tribunal e dicte en su día Sentencia por la que desestime el recurso interpuesto. </w:t>
      </w:r>
    </w:p>
    <w:p w:rsidR="00FA0779" w:rsidRDefault="00FA0779" w:rsidP="00FA0779">
      <w:pPr>
        <w:pStyle w:val="TextoNormal"/>
      </w:pPr>
      <w:r>
        <w:t xml:space="preserve">En otrosí, la Junta General pide que, al amparo de lo dispuesto en el art. 161.2 e la Constitución, el Tribunal acuerde el levantamiento de la suspensión de la aplicación de la Ley impugnada ante los graves perjuicios que para la eficacia de la función pública y la recta ordenación de la Administración de la Comunidad Autónoma podrían irrogarse de la </w:t>
      </w:r>
      <w:r>
        <w:lastRenderedPageBreak/>
        <w:t>ausencia de un marco legal para hacer posible la acomodación que pretende la disposición recurrida.</w:t>
      </w:r>
    </w:p>
    <w:p w:rsidR="00FA0779" w:rsidRDefault="00FA0779" w:rsidP="00FA0779">
      <w:pPr>
        <w:pStyle w:val="TextoNormal"/>
      </w:pPr>
    </w:p>
    <w:p w:rsidR="00FA0779" w:rsidRDefault="00FA0779" w:rsidP="00FA0779">
      <w:pPr>
        <w:pStyle w:val="TextoNormal"/>
      </w:pPr>
      <w:r w:rsidRPr="00FA0779">
        <w:rPr>
          <w:rStyle w:val="NumeroAFNegritaCaracter"/>
        </w:rPr>
        <w:t>4</w:t>
      </w:r>
      <w:r>
        <w:t>. El Gobierno de Asturias no ha comparecido en el presente recurso dentro del plazo conferido en la providencia de 8 de abril.</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20 de mayo de 1997, la Sección Segunda del Pleno del Tribunal acordó oír al Abogado del Estado para que, en el plazo de cinco días, pudiera exponer lo que estimase oportuno acerca del levantamiento de la suspensión del precepto impugnado en este recurso.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Abogado del Estado, en escrito de 26 de mayo siguiente, por el que cumplimenta el trámite abierto, manifiesta que el objeto del presente recurso consiste en la impugnación de un procedimiento de funcionarización del personal laboral no sujeto a los requisitos establecidos en la Constitución y en la legislación básica del Estado; consecuencia de ello es que si tales procesos se llegan a realizar se crearán situaciones jurídicas que posteriormente podrán resultar afectadas por una posible declaración de inconstitucionalidad. Por lo tanto, con el mantenimiento de la suspensión se trata de evitar que nazcan derechos o intereses que posteriormente sea muy difícil o imposible reparar en caso de que se llegue a declarar inconstitucional la norma que habilitó dicho nacimiento. </w:t>
      </w:r>
    </w:p>
    <w:p w:rsidR="00FA0779" w:rsidRDefault="00FA0779" w:rsidP="00FA0779">
      <w:pPr>
        <w:pStyle w:val="TextoNormal"/>
      </w:pPr>
      <w:r>
        <w:t xml:space="preserve">Añade que los efectos que podría producir una declaración de inconstitucionalidad después de iniciados o concluidos los procedimientos de funcionarización se podrían extender a: </w:t>
      </w:r>
    </w:p>
    <w:p w:rsidR="00FA0779" w:rsidRDefault="00FA0779" w:rsidP="00FA0779">
      <w:pPr>
        <w:pStyle w:val="TextoNormal"/>
      </w:pPr>
      <w:r>
        <w:t xml:space="preserve">Los intereses del personal laboral fijo que pudiera participar en los cursos y supuestamente adquirir la condición de funcionario al amparo de una norma que pudiera ser declarada inconstitucional, pudiendo verse afectados decisivamente en sus expectativas de adquisición de la condición de funcionario. </w:t>
      </w:r>
    </w:p>
    <w:p w:rsidR="00FA0779" w:rsidRDefault="00FA0779" w:rsidP="00FA0779">
      <w:pPr>
        <w:pStyle w:val="TextoNormal"/>
      </w:pPr>
      <w:r>
        <w:t xml:space="preserve">La propia Administración de la Comunidad Autónoma, que podría incurrir en responsabilidad que diera lugar a indemnizaciones destinadas al personal laboral que hubiese participado en dichos cursos. </w:t>
      </w:r>
    </w:p>
    <w:p w:rsidR="00FA0779" w:rsidRDefault="00FA0779" w:rsidP="00FA0779">
      <w:pPr>
        <w:pStyle w:val="TextoNormal"/>
      </w:pPr>
      <w:r>
        <w:t xml:space="preserve">Un trato discriminatorio con respecto al personal laboral fijo que ha adquirido o adquirirá la condición de funcionario, mediante los sistemas legalmente previstos: Oposición, concurso y concurso-oposición en los que se respeten los principios constitucionales de igualdad, mérito y capacidad. </w:t>
      </w:r>
    </w:p>
    <w:p w:rsidR="00FA0779" w:rsidRDefault="00FA0779" w:rsidP="00FA0779">
      <w:pPr>
        <w:pStyle w:val="TextoNormal"/>
      </w:pPr>
      <w:r>
        <w:t>Supuestos de inseguridad jurídica, al permitirse actuaciones que claramente infringen la normativa básica en materia de función pública.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Dentro del plazo de cinco meses establecido en el art. 161.2 de la Constitución procede ratificar o levantar la suspensión de la vigencia del artículo único de la Ley 4/1996, de 13 de diciembre, de Ordenación de la Función Pública del Principado de Asturias, suspensión acordada por la Sección Segunda de este Tribunal mediante providencia de 8 de abril de 1997.</w:t>
      </w:r>
    </w:p>
    <w:p w:rsidR="00FA0779" w:rsidRDefault="00FA0779" w:rsidP="00FA0779">
      <w:pPr>
        <w:pStyle w:val="TextoNormal"/>
      </w:pPr>
      <w:r>
        <w:t xml:space="preserve">Es doctrina de este Tribunal que la resolución de este incidente debe verificarse mediante la adecuada ponderación de los perjuicios que pudiera ocasionar al interés general </w:t>
      </w:r>
      <w:r>
        <w:lastRenderedPageBreak/>
        <w:t>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en cuanto excepción a la regla general, que debe ser el mantenimiento de la vigencia y eficacia que toda norma posee-requiere que el Gobierno, a quien se debe la iniciativa, aporte y razone con detalle los argumentos que la justifiquen (AATC 329/1992, 103/1993 y 46/1994).</w:t>
      </w:r>
    </w:p>
    <w:p w:rsidR="00FA0779" w:rsidRDefault="00FA0779" w:rsidP="00FA0779">
      <w:pPr>
        <w:pStyle w:val="TextoNormal"/>
      </w:pPr>
    </w:p>
    <w:p w:rsidR="00FA0779" w:rsidRDefault="00FA0779" w:rsidP="00FA0779">
      <w:pPr>
        <w:pStyle w:val="TextoNormal"/>
      </w:pPr>
      <w:r w:rsidRPr="00FA0779">
        <w:rPr>
          <w:rStyle w:val="NumeroAFNegritaCaracter"/>
        </w:rPr>
        <w:t>2</w:t>
      </w:r>
      <w:r>
        <w:t>. El artículo único de la Ley 4/1996, de 13 de diciembre, de Ordenación de la Función Pública del Principado de Asturias, incorpora a la Ley 3/1985, de 26 de diciembre, de Ordenación de la Función Pública de la Administración del Principado de Asturias, cuatro nuevas Disposiciones adicionales. En la octava se dispone: «Uno. El personal laboral fijo que a la entrada en vigor de la presente Ley desempeñe puestos de trabajo de las relaciones de puestos de trabajo del personal funcionario de la Administración del Principado de Asturias, o que en el futuro pudiera ser incluido en las mismas, podrá participar, con carácter excepcional, en dos convocatorias para pruebas selectivas de acceso a los cuerpos o escalas a que estuvieran adscritos los puestos que ocupen, siempre que posean la titulación adecuada y reúnan los restantes requisitos exigidos, debiendo valorarse a estos efectos el tiempo de servicios efectivos prestados en su condición de personal laboral y las pruebas selectivas superadas para acceder a la misma». Los restantes apartados de esta Disposición adicional octava, así como las otras tres Disposiciones adicionales incorporadas a la Ley 3/1985, regulan los pormenores de las convocatorias de pruebas selectivas.</w:t>
      </w:r>
    </w:p>
    <w:p w:rsidR="00FA0779" w:rsidRDefault="00FA0779" w:rsidP="00FA0779">
      <w:pPr>
        <w:pStyle w:val="TextoNormal"/>
      </w:pPr>
      <w:r>
        <w:t>La Junta General del Principado de Asturias ha solicitado el levantamiento de la suspensión ante los graves perjuicios que para la eficacia de la función pública y la recta ordenación de la Administración de la Comunidad Autónoma podrían irrogarse de la ausencia de un marco legal para hacer posible la acomodación que pretende la disposición recurrida. Por su parte, el Abogado del Estado sostiene que si llegan a realizarse los procesos selectivos se crearán situaciones jurídicas que posteriormente podrán resultar afectadas por una posible declaración de inconstitucionalidad. Por lo tanto, con el mantenimiento de la suspensión se trata de evitar que nazcan derechos o intereses que posteriormente sea muy difícil o imposible reparar en caso de que se llegue a declarar inconstitucional la norma que habilitó dicho nacimiento. Por lo demás, y en su opinión, los efectos que podría producir una declaración de inconstitucionalidad después de iniciados o concluidos los procedimientos de funcionarización se podrían extender a los intereses del personal laboral fijo que pudiera participar en los cursos y supuestamente adquirir la condición de funcionario; a la propia Administración de la Comunidad Autónoma, que podría incurrir en responsabilidad que diera lugar a indemnizaciones destinadas al personal laboral que hubiese participado en dichos cursos; al personal laboral fijo que ha adquirido o adquirirá la condición de funcionario, mediante los sistemas legalmente previstos.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la ponderación de los intereses en juego no puede desconocerse que la vigencia y efectividad de las disposiciones recurridas supondría la realización de dos convocatorias excepcionales para pruebas selectivas de acceso a cuerpos o escalas de la Administración del Principado de Asturias, reservadas al personal laboral fijo de esa Administración. Obviamente, las personas que superaran esas pruebas quedarían desprovistas de sus plazas en el supuesto de que prosperara el recurso de inconsitucionalidad. Por el contrario, con el </w:t>
      </w:r>
      <w:r>
        <w:lastRenderedPageBreak/>
        <w:t>mantenimiento de la suspensión no se vería afectada su situación actual. Así las cosas, es evidente que esta segunda posibilidad resulta mucho menos perjudicial que la primera, pues con ella no se introduce confusionismo en la estructura misma de la Administración autonómica (ATC 221/1995) ni se corre el riesgo de irrogar perjuicio a quienes superen un proceso selectivo que podría ser finalmente anulado.</w:t>
      </w:r>
    </w:p>
    <w:p w:rsidR="00FA0779" w:rsidRDefault="00FA0779" w:rsidP="00FA0779">
      <w:pPr>
        <w:pStyle w:val="TextoNormal"/>
      </w:pPr>
      <w:r>
        <w:t>En consecuencia, aparece como más conveniente para los intereses generales, ponderados todos los elementos en presencia, mantener la suspensión acordada en su día hasta tanto se resuelva de manera definitiva el problema planteado.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del Tribunal acuerda mantener la suspensión de la vigencia del artículo único de la Ley 4/1996, de 13 de diciembre, de Ordenación de la Función Pública del Principado de Asturias.</w:t>
      </w:r>
    </w:p>
    <w:p w:rsidR="00FA0779" w:rsidRDefault="00FA0779" w:rsidP="00FA0779">
      <w:pPr>
        <w:pStyle w:val="TextoNormal"/>
      </w:pPr>
    </w:p>
    <w:p w:rsidR="00FA0779" w:rsidRDefault="00FA0779" w:rsidP="00FA0779">
      <w:pPr>
        <w:pStyle w:val="TextoNormal"/>
      </w:pPr>
      <w:r>
        <w:t>Publíquese en el «Boletín Oficial del Estado» y en el «Boletín Oficial del Principado de Asturias».</w:t>
      </w:r>
    </w:p>
    <w:p w:rsidR="00FA0779" w:rsidRDefault="00FA0779" w:rsidP="00FA0779">
      <w:pPr>
        <w:pStyle w:val="TextoNormal"/>
      </w:pPr>
      <w:r>
        <w:t>Madrid, a veinticuatro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5" w:name="AUTO_1997_232"/>
      <w:r>
        <w:lastRenderedPageBreak/>
        <w:t>AUTO 232/1997, de 24 de junio de 1997</w:t>
      </w:r>
    </w:p>
    <w:bookmarkEnd w:id="165"/>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ECLI:ES:TC:1997:232A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José Vicente Gimeno Sendra, don Rafael de Mendizábal Allende, don Julio D. González Campos, don Pedro Cruz Villalón, don Carles Viver Pi-Sunyer, don Enrique Ruiz Vadillo, don Tomás Salvador Vives Antón y don Pablo García Manzano.</w:t>
      </w:r>
    </w:p>
    <w:p w:rsidR="00FA0779" w:rsidRDefault="00FA0779" w:rsidP="00FA0779">
      <w:pPr>
        <w:pStyle w:val="SntesisDescriptiva"/>
      </w:pPr>
    </w:p>
    <w:p w:rsidR="00FA0779" w:rsidRDefault="00FA0779" w:rsidP="00FA0779">
      <w:pPr>
        <w:pStyle w:val="SntesisDescriptiva"/>
      </w:pPr>
      <w:r>
        <w:t>Denegando la acumulación del recurso de inconstitucionalidad 1.299/1997 al registrado con el núm. 549/1994.</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6" w:name="AUTO_1997_233"/>
      <w:r>
        <w:lastRenderedPageBreak/>
        <w:t>AUTO 233/1997, de 24 de junio de 1997</w:t>
      </w:r>
    </w:p>
    <w:bookmarkEnd w:id="166"/>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ECLI:ES:TC:1997:233A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José Vicente Gimeno Sendra, don Rafael de Mendizábal Allende, don Julio D. González Campos, don Pedro Cruz Villalón, don Carles Viver Pi-Sunyer, don Enrique Ruiz Vadillo, don Tomás Salvador Vives Antón y don Pablo García Manzano.</w:t>
      </w:r>
    </w:p>
    <w:p w:rsidR="00FA0779" w:rsidRDefault="00FA0779" w:rsidP="00FA0779">
      <w:pPr>
        <w:pStyle w:val="SntesisDescriptiva"/>
      </w:pPr>
    </w:p>
    <w:p w:rsidR="00FA0779" w:rsidRDefault="00FA0779" w:rsidP="00FA0779">
      <w:pPr>
        <w:pStyle w:val="SntesisDescriptiva"/>
      </w:pPr>
      <w:r>
        <w:t>Manteniendo la suspensión, previamente acordada, del art. 32 de la Ley 10/1996, de 31 de diciembre, de Presupuestos Generales del Principado de Asturias para 1997 en el recurso de inconstitucionalidad 1.301/1997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Abogado del Estado, en nombre del Presidente del Gobierno, mediante escrito presentado el 26 de marzo de 1997, interpuso recurso de inconstitucionalidad contra el art. 32 de la Ley 10/1996, de 31 de diciembre, de Presupuestos Generales del Principado de Asturias para 1997 y por razón de omitirse en dicha Ley la inclusión de las cuantías de los conceptos retributivos de los funcionarios de esa Comunidad Autónoma. Se hizo expresa invocación del art. 161.2 de la Constitución, a efectos de la suspensión de la vigencia y aplicación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mediante providencia de 8 de abril de 1997, acordó admitir a trámite el recurso, dando traslado de la demanda y documentos presentados, conforme establece el art. 34 de la Ley Orgánica del Tribunal Constitucional (LOTC), al Congreso y al Senado, así como a la Junta General y al Consejo de Gobierno del Principado de Asturias, para que, en el plazo de quince días, pudieran personarse en el proceso y formular las alegaciones que estimaren convenientes. Al haber sido invocado por el Presidente del Gobierno el art. 161.2 de la Constitución, y conforme establece el art. 30 de la LOTC, se acordó asimismo la suspensión de la vigencia y aplicación del precepto impugnado, para las partes desde la fecha de interposición del recurso y para los terceros desde el día en que apareciera la publicación en el «Boletín Oficial del Estado», de la incoación del recurso y la suspensión, cuya publicación también se dispuso en el «Boletín Oficial del Principado de Asturias».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Letrado de la Junta General del Principado de Asturias, en la representación procesal de esta Comunidad que por Ley tiene atribuida, mediante su escrito de alegaciones presentado el 22 de abril de 1997, se persona y suplica al Tribunal se dicte en su día Sentencia por la que desestime el recurso interpuesto. </w:t>
      </w:r>
    </w:p>
    <w:p w:rsidR="00FA0779" w:rsidRDefault="00FA0779" w:rsidP="00FA0779">
      <w:pPr>
        <w:pStyle w:val="TextoNormal"/>
      </w:pPr>
      <w:r>
        <w:t xml:space="preserve">En otrosí, la Junta General manifiesta que, dado el carácter del recurso en lo que hace a la supuesta infracción del art. 17.4 de la Ley 12/1996, de 30 de diciembre, de Presupuestos </w:t>
      </w:r>
      <w:r>
        <w:lastRenderedPageBreak/>
        <w:t xml:space="preserve">Generales del Estado para 1997, tal y como se ha argumentado en las alegaciones y habida cuenta de que las cuantías de las retribuciones que ordena el art. 24.2 de la Ley 30/1984, de 2 de agosto, de Medidas Urgentes para la Reforma de la Función Pública, ya ha tenido lugar en el Principado de Asturias mediante Decreto 4/1997, de 30 de enero («Boletín Oficial del Principado de Asturias» núm. 35, de 12 de febrero de 1997), el mantenimiento de la suspensión de la Ley 10/1996, de 31 de diciembre, de Presupuestos Generales del Principado de Asturias para 1997, resultaría desproporcionada y menoscabaría, sin justificación suficiente, la presunción de legitimidad de que goza la Ley en nuestro ordenamiento jurídico (STC 66/1985, fundamento jurídico 3.º). </w:t>
      </w:r>
    </w:p>
    <w:p w:rsidR="00FA0779" w:rsidRDefault="00FA0779" w:rsidP="00FA0779">
      <w:pPr>
        <w:pStyle w:val="TextoNormal"/>
      </w:pPr>
      <w:r>
        <w:t>El Letrado de la Administración de la Comunidad Autónoma del Principado de Asturias, en la representación procesal que de la misma ostenta, mediante escrito de alegaciones presentado el 25 de abril de 1997, se persona y suplica al Tribunal que dicte en su día Sentencia por la que se desestime el recurso interpuesto por el Abogado del Estado.</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20 de mayo de 1997, la Sección Cuarta del Pleno del Tribunal acordó oír al Abogado del Estado y al Consejo de Gobierno de Asturias para que, en el plazo de cinco días, pudieran exponer lo que estimasen oportuno acerca del levantamiento o mantenimiento de la suspensión del precepto impugnado en este recurso.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Abogado del Estado, en escrito de 26 de mayo siguiente, cumplimenta la audiencia conferida, formulando las siguientes alegaciones: </w:t>
      </w:r>
    </w:p>
    <w:p w:rsidR="00FA0779" w:rsidRDefault="00FA0779" w:rsidP="00FA0779">
      <w:pPr>
        <w:pStyle w:val="TextoNormal"/>
      </w:pPr>
      <w:r>
        <w:t xml:space="preserve">Ninguna de las razones expuestas en el escrito de la Junta General del Principado de Asturias justifica y motiva el levantamiento de la suspensión, pues el presente recurso de inconstitucionalidad se dirige no sólo contra la falta de inclusión en su Ley de Presupuestos de las cuantías de las retribuciones básicas, sino también contra el precepto que determina el ámbito de la oferta de empleo público para 1997. Ello significa que al levantar la suspensión podrían iniciarse los correspondientes procedimientos selectivos de incorporación de nuevo personal a la Función Pública de la Comunidad Autónoma Asturiana, con lo que se crearían situaciones jurídicas de hecho y de Derecho que posteriormente quedarían directamente afectadas por el pronunciamiento del Tribunal sobre la constitucionalidad de los preceptos recurridos. Tanto en el caso de que esos procesos selectivos hubieran llegado a su conclusión, con la correspondiente incorporación de funcionarios, como para el caso de que estuviesen abiertos en el momento de dictar Sentencia, si se declarase la inconstitucionalidad habría que actuar sobre intereses y derechos imposibles de reponer a la situación anterior. Todo ello no sólo desde la perspectiva de la relación jurídica Administración-funcionario, sino también desde el aspecto económico-retributivo. </w:t>
      </w:r>
    </w:p>
    <w:p w:rsidR="00FA0779" w:rsidRDefault="00FA0779" w:rsidP="00FA0779">
      <w:pPr>
        <w:pStyle w:val="TextoNormal"/>
      </w:pPr>
      <w:r>
        <w:t>Considera, en consecuencia, que es procedente el mantenimiento de la suspensión hasta que se dicte Sentencia declarando la inconstitucionalidad o constitucionalidad de los preceptos recurridos, único modo de evitar la producción de daños de imposible o muy difícil reparación.</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Letrado del Gobierno de Asturias formula, dentro del plazo concedido, las siguientes alegaciones: </w:t>
      </w:r>
    </w:p>
    <w:p w:rsidR="00FA0779" w:rsidRDefault="00FA0779" w:rsidP="00FA0779">
      <w:pPr>
        <w:pStyle w:val="TextoNormal"/>
      </w:pPr>
      <w:r>
        <w:t xml:space="preserve">El respeto de la legislación estatal por parte de la Comunidad Autónoma del Principado de Asturias ha sido total. Máximo exponente de ello, aparte de la remisión contenida en el precepto legal impugnado, lo constituye el Decreto 4/1997, de 30 de enero (acompañado con el escrito de alegaciones), donde se reflejan, en los mismos términos que la legislación </w:t>
      </w:r>
      <w:r>
        <w:lastRenderedPageBreak/>
        <w:t xml:space="preserve">estatal, las retribuciones del personal funcionario de la Administración del Principado de Asturias. </w:t>
      </w:r>
    </w:p>
    <w:p w:rsidR="00FA0779" w:rsidRDefault="00FA0779" w:rsidP="00FA0779">
      <w:pPr>
        <w:pStyle w:val="TextoNormal"/>
      </w:pPr>
      <w:r>
        <w:t xml:space="preserve">Señala que, estimando que la petición de alzamiento de la suspensión del precepto legal impugnado en esta sede no exige en ningún caso un previo pronunciamiento sobre el fondo del asunto, no queda sino adherirse a la petición del Letrado de la Junta General del Principado, y por las razones que en el otrosí de su escrito se exponen. </w:t>
      </w:r>
    </w:p>
    <w:p w:rsidR="00FA0779" w:rsidRDefault="00FA0779" w:rsidP="00FA0779">
      <w:pPr>
        <w:pStyle w:val="TextoNormal"/>
      </w:pPr>
      <w:r>
        <w:t>Solicita, por lo expuesto, el alzamiento de la suspensión del precepto legal impugnado.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Dentro del plazo de cinco meses establecido en el art. 161.2 de la Constitución procede ratificar o levantar la suspensión de la vigencia de los preceptos impugnados de Ley 10/1996, de 31 de diciembre, de Presupuestos Generales del Principado de Asturias para 1997, suspensión acordada por la Sección Cuarta de este Tribunal mediante providencia de 8 de abril de 1997.</w:t>
      </w:r>
    </w:p>
    <w:p w:rsidR="00FA0779" w:rsidRDefault="00FA0779" w:rsidP="00FA0779">
      <w:pPr>
        <w:pStyle w:val="TextoNormal"/>
      </w:pPr>
      <w:r>
        <w:t>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en cuanto excepción a la regla general, que debe ser el mantenimiento de la vigencia y eficacia que toda norma posee-requiere que el Gobierno, a quien se debe la iniciativa, aporte y razone con detalle os argumentos que la justifiquen (AATC 329/1992, 103/1993 y 46/1994).</w:t>
      </w:r>
    </w:p>
    <w:p w:rsidR="00FA0779" w:rsidRDefault="00FA0779" w:rsidP="00FA0779">
      <w:pPr>
        <w:pStyle w:val="TextoNormal"/>
      </w:pPr>
    </w:p>
    <w:p w:rsidR="00FA0779" w:rsidRDefault="00FA0779" w:rsidP="00FA0779">
      <w:pPr>
        <w:pStyle w:val="TextoNormal"/>
      </w:pPr>
      <w:r w:rsidRPr="00FA0779">
        <w:rPr>
          <w:rStyle w:val="NumeroAFNegritaCaracter"/>
        </w:rPr>
        <w:t>2</w:t>
      </w:r>
      <w:r>
        <w:t>. El art. 32 de la Ley 10/1996, de 31 de diciembre, de Presupuestos Generales del Principado de Asturias para 1997, dispone que «durante el año 1997 se convocará una oferta pública de empleo que comprenda todas las plazas vacantes que existan en la Administración pública autonómica en 1 de enero de 1997, así como las que se produzcan a lo largo de 1997 siempre que cuenten con dotación presupuestaria». La Ley, de otro lado, no contiene, según se alega en el escrito de interposición del presente recurso de inconstitucionalidad, ningún precepto que incluya las cuantías de las retribuciones básicas, de los complementos de destino asignados a cada puesto de trabajo y de los complementos específicos y de productividad.</w:t>
      </w:r>
    </w:p>
    <w:p w:rsidR="00FA0779" w:rsidRDefault="00FA0779" w:rsidP="00FA0779">
      <w:pPr>
        <w:pStyle w:val="TextoNormal"/>
      </w:pPr>
      <w:r>
        <w:t xml:space="preserve">La Junta General del Principado de Asturias sostiene que, dado el carácter del recurso en lo que hace a la supuesta infracción del art. 17.4 de la Ley 12/1996, de 30 de diciembre, de Presupuestos Generales del Estado para 1997, y habida cuenta de que las cuantías de las retribuciones que ordena el art. 24.2 de la Ley 30/1984, de 2 de agosto, de Medidas Urgentes para la Reforma de la Función Pública, ya ha tenido lugar en el Principado de Asturias mediante Decreto 4/1997, de 30 de enero, el mantenimiento de la suspensión resultaría desproporcionada y menoscabaría, sin justificación suficiente, la presunción de legitimidad de que goza la Ley. Por su parte, el Letrado del Gobierno de Asturias ha alegado que el respeto de la legislación estatal por parte de la Comunidad Autónoma ha sido total. Prueba de ello sería, aparte de la remisión contenida en el precepto legal impugnado, el Decreto 4/1997, de 30 de enero, en el que se reflejan, en los mismos términos que la </w:t>
      </w:r>
      <w:r>
        <w:lastRenderedPageBreak/>
        <w:t>legislación estatal, las retribuciones del personal funcionario de la Administración del Principado de Asturias.</w:t>
      </w:r>
    </w:p>
    <w:p w:rsidR="00FA0779" w:rsidRDefault="00FA0779" w:rsidP="00FA0779">
      <w:pPr>
        <w:pStyle w:val="TextoNormal"/>
      </w:pPr>
      <w:r>
        <w:t>El Abogado del Estado, por el contrario, sostiene que ninguna de las razones expuestas por la Junta General justifica y motiva el levantamiento de la suspensión, pues el presente recurso de inconstitucionalidad se dirige no sólo contra la falta de inclusión en su Ley de Presupuestos de las cuantías de las retribuciones básicas, sino también contra el precepto que determina el ámbito de la oferta de empleo público para 1997. Ello significa que al levantar la suspensión podrían iniciarse los correspondientes procedimientos selectivos de incorporación de nuevo personal a la Función Pública de la Comunidad Autónoma Asturiana, con lo que se crearían situaciones jurídicas de hecho y de Derecho que posteriormente quedarían directamente afectadas por el pronunciamiento del Tribunal sobre la constitucionalidad de los preceptos recurridos.</w:t>
      </w:r>
    </w:p>
    <w:p w:rsidR="00FA0779" w:rsidRDefault="00FA0779" w:rsidP="00FA0779">
      <w:pPr>
        <w:pStyle w:val="TextoNormal"/>
      </w:pPr>
    </w:p>
    <w:p w:rsidR="00FA0779" w:rsidRDefault="00FA0779" w:rsidP="00FA0779">
      <w:pPr>
        <w:pStyle w:val="TextoNormal"/>
      </w:pPr>
      <w:r w:rsidRPr="00FA0779">
        <w:rPr>
          <w:rStyle w:val="NumeroAFNegritaCaracter"/>
        </w:rPr>
        <w:t>3</w:t>
      </w:r>
      <w:r>
        <w:t>. En la ponderación de los intereses en juego no puede desconocerse, en efecto, que la vigencia y efectividad de la disposición recurrida haría posible, como advierte el Abogado del Estado, la iniciación de procesos selectivos para la incorporación de nuevo personal a la función pública autonómica, obviamente, las personas que superaran esas pruebas quedarían privadas de sus plazas en el supuesto de que prosperara el presente recurso de inconstitucionalidad. Por el contrario, con el mantenimiento de la suspensión quedaría eliminada de raíz esa posibilidad, y con ella el riesgo de que se introduzca un indeseable confusionismo en la estructura misma de la Administración del Principado (ATC 221/1995), al tiempo que se evita el peligro de irrogar algún perjuicio a quienes superaran unos procesos selectivos que podrían ser finalmente anulados.</w:t>
      </w:r>
    </w:p>
    <w:p w:rsidR="00FA0779" w:rsidRDefault="00FA0779" w:rsidP="00FA0779">
      <w:pPr>
        <w:pStyle w:val="TextoNormal"/>
      </w:pPr>
      <w:r>
        <w:t>En consecuencia, aparece como más conveniente para los intereses generales, ponderados todos los elementos en presencia, mantener la suspensión acordada en su día hasta tanto se resuelva de manera definitiva el problema planteado.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del Tribunal acuerda mantener la suspensión del art.  32 e la Ley 10/1996, de 31 de diciembre, de Presupuestos Generales del Principado e Asturias para 1997.</w:t>
      </w:r>
    </w:p>
    <w:p w:rsidR="00FA0779" w:rsidRDefault="00FA0779" w:rsidP="00FA0779">
      <w:pPr>
        <w:pStyle w:val="TextoNormal"/>
      </w:pPr>
    </w:p>
    <w:p w:rsidR="00FA0779" w:rsidRDefault="00FA0779" w:rsidP="00FA0779">
      <w:pPr>
        <w:pStyle w:val="TextoNormal"/>
      </w:pPr>
      <w:r>
        <w:t>Publíquese en el «Boletín Oficial del Estado» y en el «Boletín Oficial del Principado e Asturias».</w:t>
      </w:r>
    </w:p>
    <w:p w:rsidR="00FA0779" w:rsidRDefault="00FA0779" w:rsidP="00FA0779">
      <w:pPr>
        <w:pStyle w:val="TextoNormal"/>
      </w:pPr>
      <w:r>
        <w:t>Madrid, a veinticuatro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7" w:name="AUTO_1997_234"/>
      <w:r>
        <w:lastRenderedPageBreak/>
        <w:t>AUTO 234/1997, de 24 de junio de 1997</w:t>
      </w:r>
    </w:p>
    <w:bookmarkEnd w:id="167"/>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ECLI:ES:TC:1997:234A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José Vicente Gimeno Sendra, don Rafael de Mendizábal Allende, don Julio D. González Campos, don Pedro Cruz Villalón, don Carles Viver Pi-Sunyer, don Enrique Ruiz Vadillo,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acumulación del recurso de inconstitucionalidad 1.316/1997 al registrado con el núm. 1.313/1997.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8" w:name="AUTO_1997_235"/>
      <w:r>
        <w:lastRenderedPageBreak/>
        <w:t>AUTO 235/1997, de 24 de junio de 1997</w:t>
      </w:r>
    </w:p>
    <w:bookmarkEnd w:id="168"/>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ECLI:ES:TC:1997:235A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José Vicente Gimeno Sendra, don Rafael de Mendizábal Allende, don Julio D. González Campos, don Pedro Cruz Villalón, don Carles Viver Pi-Sunyer, don Enrique Ruiz Vadillo,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1.622/1997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18 de abril de 1997 se registró en este Tribunal oficio del Secretario del Juzgado de Paz de Xirivella (Valencia), al que se adjunta testimonio de lo actuado en procedimiento de juicio verbal de faltas núm. 14/96 y Auto de 18 de marzo de 1997 por el que se acuerda plantear cuestión de inconstitucionalidad en relación con el art. 14 de la Ley de Enjuiciamiento Criminal y el art. 52 de la Ley Orgánica del Poder Judicial.</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Del Auto de 18 de marzo de 1997 y documentación adjunta se deduce que los antecedentes de la cuestión planteada son los siguientes: </w:t>
      </w:r>
    </w:p>
    <w:p w:rsidR="00FA0779" w:rsidRDefault="00FA0779" w:rsidP="00FA0779">
      <w:pPr>
        <w:pStyle w:val="TextoNormal"/>
      </w:pPr>
      <w:r>
        <w:t xml:space="preserve">A) El Juzgado de Instrucción núm. 1 de Mislata (Valencia) incoó procedimiento de juicio de faltas núm. 200/96JL por hechos denunciados el 18 de octubre de 1996 por dos Agentes del Cuerpo Nacional de Policía por si fueran constitutivos de una falta de consideración y respeto a los Agentes de la Autoridad, tipificada en el art. 634 de la Ley Orgánica 10/1995, del Código Penal. Por Auto de 24 de octubre de 1996, el Juzgado de Instrucción acordó la remisión de las diligencias al Juzgado de Paz de Xirivella. </w:t>
      </w:r>
    </w:p>
    <w:p w:rsidR="00FA0779" w:rsidRDefault="00FA0779" w:rsidP="00FA0779">
      <w:pPr>
        <w:pStyle w:val="TextoNormal"/>
      </w:pPr>
      <w:r>
        <w:t xml:space="preserve">B) Recibidas las diligencias en el Juzgado de Paz (en el que fueron registradas con el núm. 14/1996), su titular acordó, por providencia de 22 de noviembre de 1996, remitir los autos al Ministerio Fiscal para que informara sobre la competencia del Juzgado para conocer de los hechos denunciados. El Ministerio Público, por escrito de 3 de diciembre de 1996, evacuó el informe interesado, sosteniendo que el Juzgado de Paz era competente para conocer del procedimiento. El Ministerio Público remitió dicho informe al Juzgado de Instrucción núm. 1 de Mislata. Por providencia de 10 de enero de 1997, el Juzgado de Instrucción ratifica el informe del Ministerio Fiscal y acuerda nueva remisión de los autos al Juzgado de Paz. </w:t>
      </w:r>
    </w:p>
    <w:p w:rsidR="00FA0779" w:rsidRDefault="00FA0779" w:rsidP="00FA0779">
      <w:pPr>
        <w:pStyle w:val="TextoNormal"/>
      </w:pPr>
      <w:r>
        <w:t>C) El Juzgado de Paz, por providencia de 16 de enero de 1997, citó a las partes para la celebración del juicio, haciendo notar la falta de predeterminación legal para el conocimiento de la causa, así como la imposibilidad de plantear conflicto de competencia. Celebrada la vista, el Juzgado de Paz acordó, para mejor proveer, dar audiencia a las partes por plazo de diez días para que «manifiesten si el fallo de la Sentencia que se dicte por este Juzgado de Paz en los presentes autos puede ser contraria a la Constitución y especialmen</w:t>
      </w:r>
      <w:r>
        <w:lastRenderedPageBreak/>
        <w:t xml:space="preserve">te con lo dispuesto en el art. 24.1 por no estar predeterminada la competencia penal de este Juez de Paz, conforme establece el art. 24.2 de la Constitución Española». El Ministerio Fiscal alegó, literalmente, «que no cabe plantear ninguna cuestión de inconstitucionalidad, siendo dicho Juzgado el competente para dictar Sentencia». Las demás partes no presentaron alegaciones. </w:t>
      </w:r>
    </w:p>
    <w:p w:rsidR="00FA0779" w:rsidRDefault="00FA0779" w:rsidP="00FA0779">
      <w:pPr>
        <w:pStyle w:val="TextoNormal"/>
      </w:pPr>
      <w:r>
        <w:t>D) Por Auto de 18 de marzo de 1997 se acuerda plantear cuestión de inconstitucionalidad en relación con el art. 14 de la Ley de Enjuiciamiento Criminal y el art. 52 de la Ley Orgánica del Poder Judicial.</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órgano judicial comienza señalando que el art. 14 L.E.Crim. «tenía como función principal la de determinar la competencia de los Jueces de Paz para el conocimiento y fallo de los juicios de faltas comprendidas en los Títulos I y II del Libro III del Código Penal de 1971, con excepción de los arts. 572 y 576, y por las faltas de los arts. 585, 590, 594 y 596 del mismo Código. Asimismo resulta palmario que, tras la aplicación de la Disposición derogatoria, in fine, del Código Penal de 1995, Ley penal vigente el día en que se cometieron los hechos que dieron lugar a las presentes actuaciones, la competencia penal de los Jueces de Paz desaparece en nuestro ordenamiento jurídico por expresa voluntad del legislador, al situar éste en otros artículos diferentes del Código Penal de 1995 todos los tipos penales que pudieran parecerse a los ya referidos del Libro 111 del Código Penal de 1971, careciendo en consecuencia este Juez de Paz de predeterminación legal para conocer, enjuiciar y fallar en el presente procedimiento de juicio verbal de faltas, por adolecer de inconstitucionalidad cualquier Sentencia que en el mismo dictare, a tenor de lo dispuesto en los arts. 24.2 y 117.4 de nuestra Carta Magna» (fundamento jurídico 1.1). </w:t>
      </w:r>
    </w:p>
    <w:p w:rsidR="00FA0779" w:rsidRDefault="00FA0779" w:rsidP="00FA0779">
      <w:pPr>
        <w:pStyle w:val="TextoNormal"/>
      </w:pPr>
      <w:r>
        <w:t xml:space="preserve">Continúa argumentando el Juzgado de Paz que, «considerando que la vulneración de los preceptos constitucionales citados no puede evitarse de forma autónoma por este Juzgador, por causa de la acción ejercida por lo preceptuado en el art. 52 de la vigente Ley Orgánica del Poder Judicial, que nos impide el planteamiento de una cuestión de competencia, resulta evidente que la citada norma permite la adopción de resoluciones sin ulterior recurso en las que el Juez de Instrucción decida arbitrariamente cuál es el órgano competente para el conocimiento, fallo y ejecución de las faltas del Código Penal de 1995, contraviniendo la garantía que establece el art. 9.3 de la Constitución, esto es, la interdicción de la arbitrariedad de los poderes públicos» (fundamento jurídico 2.1). </w:t>
      </w:r>
    </w:p>
    <w:p w:rsidR="00FA0779" w:rsidRDefault="00FA0779" w:rsidP="00FA0779">
      <w:pPr>
        <w:pStyle w:val="TextoNormal"/>
      </w:pPr>
      <w:r>
        <w:t xml:space="preserve">En opinión del Juzgado de Paz, el art. 52 L.O.P.J., «lejos de evitar el caos jurídico ocasionado por la actual diversidad de criterios que sobre el tema de la competencia de los Juzgados de Paz mantienen los Jueces de Instrucción, permite que las personas desconozcan si su Juez natural es el propio Juez de Instrucción, que a la postre es el único que actualmente puede decidir en cada caso, o si lo es el Juez de Paz, lego en Derecho y que ostenta de forma honorífica tal condición, hecho este que, además de afectar a la calidad jurídica de las resoluciones judiciales que puedan dictarse en ambos casos, tiene evidentemente gran transcendencia en el sistema de recursos, ya que contra las Sentencias que dictase el Juez de Paz sería competente para conocer el recurso de apelación el propio Juez de Instrucción que a la postre ha decidido sobre la competencia del Juez de Paz, y contra las que dicta el Juez de Instrucción sería, sin embargo, competente el Magistrado de la Audiencia Provincial, lo que sin duda contraviene de nuevo el mandato del art. 14 de nuestra Constitución» (loc. cit.). </w:t>
      </w:r>
    </w:p>
    <w:p w:rsidR="00FA0779" w:rsidRDefault="00FA0779" w:rsidP="00FA0779">
      <w:pPr>
        <w:pStyle w:val="TextoNormal"/>
      </w:pPr>
      <w:r>
        <w:t xml:space="preserve">En consecuencia, se plantea cuestión de inconstitucionalidad en relación con: </w:t>
      </w:r>
    </w:p>
    <w:p w:rsidR="00FA0779" w:rsidRDefault="00FA0779" w:rsidP="00FA0779">
      <w:pPr>
        <w:pStyle w:val="TextoNormal"/>
      </w:pPr>
      <w:r>
        <w:t xml:space="preserve">A) Art. 14 de la Ley de Enjuiciamiento Criminal, «en cuanto está siendo utilizado para determinar la competencia penal de los Jueces de Paz con respecto a las faltas del Código </w:t>
      </w:r>
      <w:r>
        <w:lastRenderedPageBreak/>
        <w:t xml:space="preserve">Penal de 1995 mediante una interpretación analógica e incluso teleológica de los preceptos contenidos en el Código Penal de 1971, al entender este Juez de Paz que carece de predeterminación legal para el conocimiento, fallo y ejecución de las faltas cometidas con posterioridad a la entrada en vigor del... Código.... pudiendo vulnerar si dictase Sentencia... los arts. 14, 24.2 y 117.3 de la Constitución Española». </w:t>
      </w:r>
    </w:p>
    <w:p w:rsidR="00FA0779" w:rsidRDefault="00FA0779" w:rsidP="00FA0779">
      <w:pPr>
        <w:pStyle w:val="TextoNormal"/>
      </w:pPr>
      <w:r>
        <w:t>B) Art. 52 L.O.P.J., «porque, dada la inexistencia de norma de carácter procesal que determine indubitadamente la competencia para conocer, enjuiciar y fallar los juicios de faltas cometidas con posterioridad a la entrada en vigor del Código Penal de 1995, este precepto impide el planteamiento de cuestiones de competencia por los Jueces de Paz frente a las decisiones que sobre su competencia adopte el Juez (le Instrucción, favoreciendo la arbitrariedad en el ejercicio de un poder público.... contraviniendo la garantía establecida en el art. 9.3 de la Constitución Española».</w:t>
      </w:r>
    </w:p>
    <w:p w:rsidR="00FA0779" w:rsidRDefault="00FA0779" w:rsidP="00FA0779">
      <w:pPr>
        <w:pStyle w:val="TextoNormal"/>
      </w:pPr>
    </w:p>
    <w:p w:rsidR="00FA0779" w:rsidRDefault="00FA0779" w:rsidP="00FA0779">
      <w:pPr>
        <w:pStyle w:val="TextoNormal"/>
      </w:pPr>
      <w:r w:rsidRPr="00FA0779">
        <w:rPr>
          <w:rStyle w:val="NumeroAFNegritaCaracter"/>
        </w:rPr>
        <w:t>4</w:t>
      </w:r>
      <w:r>
        <w:t>. Mediante providencia de 6 de mayo de 1997, la Sección Primera de este Tribunal acordó oír al Fiscal General del Estado para que, en el plazo de diez días y a los efectos que determina el último inciso del art. 37.1 LOTC, alegara lo que estimase pertinente acerca de la posible inadmisión de la presente cuestión de inconstitucionalidad, por poder ser notoriamente infundada.</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Fiscal General del Estado presentó su escrito de alegaciones el 29 de mayo de 1997. En relación con la posible infracción del derecho al Juez ordinario predeterminado por la Ley, alega el Fiscal General del Estado que esa predeterminación viene operada realmente por el art. 100 de la L.O.P.J., y que el art. 14 de la L.E.Crim. se limita a determinar de qué faltas deben conocer los Juzgados de Paz, delimitando así la competencia de enjuiciamiento entre estos Juzgados, los de Instrucción -cuya competencia se determina de manera indirecta, pues conocen de todas las faltas cometidas en el término municipal de su sede, ya que en la misma no hay Juzgado de Paz, y de las faltas que no sean competencia de estos últimos Juzgados cometidas en el resto del partido judicial- e incluso de los Juzgados de lo Penal -faltas, incidentales o no, que tengan relación con el delito- y de las propias Audiencias Provinciales -faltas conexas-; por tanto, la Ley de Enjuiciamiento Criminal no afecta al Juez ordinario predeterminado por la Ley, sino que establece criterios de competencia objetiva, funcional y territorial, que son cuestiones de legalidad ordinaria. </w:t>
      </w:r>
    </w:p>
    <w:p w:rsidR="00FA0779" w:rsidRDefault="00FA0779" w:rsidP="00FA0779">
      <w:pPr>
        <w:pStyle w:val="TextoNormal"/>
      </w:pPr>
      <w:r>
        <w:t xml:space="preserve">Incluso aunque no se entendiera así -continúa el escrito de alegaciones-, la omisión de una preferible reforma expresa del artículo cuestionado no es contraria al art. 24.2 de la Constitución, toda vez que, pese a la posición formalista del Juez cuestionante -la remisión a preceptos de un Código derogado debe entenderse derogada y, en consecuencia, los Jueces de Paz carecen de competencias de enjuiciamiento de faltas cometidas una vez entrado en vigor el nuevo Código-, es perfectamente factible una interpretación integradora que, en lugar de referirse al simple número de los artículos, atienda a la esencia de los tipos penales a que dicha remisión respondía y, en consecuencia, determine qué preceptos del nuevo Código Penal son idénticos a los del anterior, y de ellos, cuáles eran -y, por tanto, son- de la competencia de los Juzgados de Paz; esto es lo que se viene haciendo, de modo que la deficiente técnica legislativa aquí denunciada no ha venido a suponer una supresión de la competencia de los Juzgados de Paz para enjuiciar determinadas faltas, sino que simplemente ha obligado a realizar una labor interpretativa de determinación de competencias, que es asimismo acorde con el art. 117.3 de la Constitución, careciendo de relevancia la referencia al apartado 4 de este precepto, que, en todo caso, parece referirse más bien a las funciones de los órganos jurisdiccionales que a una supuesta falta de ejercicio de </w:t>
      </w:r>
      <w:r>
        <w:lastRenderedPageBreak/>
        <w:t xml:space="preserve">la potestad jurisdiccional por falta de competencia, ya que la apreciación de ésta es una actividad instrumental de aquélla. </w:t>
      </w:r>
    </w:p>
    <w:p w:rsidR="00FA0779" w:rsidRDefault="00FA0779" w:rsidP="00FA0779">
      <w:pPr>
        <w:pStyle w:val="TextoNormal"/>
      </w:pPr>
      <w:r>
        <w:t xml:space="preserve">En relación con la duda de inconstitucionalidad referida al art. 52 de la L.O.P.J., sostiene el Fiscal General del Estado que, desde la perspectiva del principio de seguridad jurídica, el sistema procesal de determinación de la competencia establecida en el precepto -resolución por el órgano superior sin que el inferior pueda suscitar cuestión de competencia- es una de las varias opciones entre las que debe decidirse el legislador, y viene a corresponderse con el mantenimiento de un cierto principio de jerarquía en la organización judicial que parece, incluso, acorde con el propio sistema de resolución de cuestiones de competencia entre órganos del mismo grado y orden jurisdiccional, que se atribuye al superior jerárquico común; si esto es así en estas cuestiones, ningún reproche merece el hecho de que la competencia entre órganos de diferente grado se determine por el de grado superior. Por lo que hace a las referencias del órgano judicial proponente de la cuestión a la arbitrariedad del Juez de Instrucción, se afirma en el escrito de alegaciones que el argumento utilizado incurre en una petición de principio: No sólo no evidencia que, en el caso concreto, se haya decidido de manera arbitraria, sino que la resolución de aquél puede ser controlada, desde la perspectiva de la legalidad reguladora de la competencia objetiva y territorial de los diferentes órganos judiciales, a través del sistema de recursos legalmente procedentes, pues el Auto de inhibición pudo ser recurrido por el Fiscal y demás personas, lo que no sucedió. </w:t>
      </w:r>
    </w:p>
    <w:p w:rsidR="00FA0779" w:rsidRDefault="00FA0779" w:rsidP="00FA0779">
      <w:pPr>
        <w:pStyle w:val="TextoNormal"/>
      </w:pPr>
      <w:r>
        <w:t xml:space="preserve">Finalmente, entiende el Fiscal General del Estado que tampoco se observa quiebra el principio de igualdad. El art. 14 de la Constitución no consagra tanto la aplicación e idéntico trato -en este caso, legal- a situaciones iguales, como la prohibición e discriminación, de modo que las diferencias que puedan producirse en determinados casos, si resultan suficientemente fundadas y dotadas de criterios de generalidad, o son contrarias a aquel principio. Esto es lo que sucede con la regulación de la competencia para el enjuiciamiento de las faltas, Establecida la predeterminación legal del Juez, la necesidad de atribuir el enjuiciamiento de determinadas faltas al Juez de Instrucción y de otras a los Jueces de Paz, así como de las especialidades e los Juzgados de lo Penal y Audiencias Provinciales, a través de criterios generales e competencia objetiva -tanto propia como por conexión, e incluso por razón de determinados aforamientos- y territorial, en ningún caso aparecen como arbitrarios, sino que vienen a ser consecuencia lógica del propio sistema judicial; no son, por tanto, contrarios al principio de igualdad ni la delimitación de dichas competencias por razón de las diferentes faltas, ni el hecho de que la inexistencia de Juzgados e Paz en las localidades sede de los Juzgados de Instrucción determine que éstos conocen de todas las faltas cometidas en aquéllas, ni siquiera el hecho de que determinadas faltas inicialmente competencia de los Juzgados de Paz, como sucede con las de coacción o vejación injusta deban ser juzgadas por los de Instrucción si, por ejemplo, su autor pertenece a los Cuerpos y Fuerzas de Seguridad; si esta afectación el art. 14 de la Constitución ha de predicarse de la delimitación de competencia en primera instancia, lo mismo ha de decirse de la que corresponde en apelación, pues el sistema de recursos y la determinación de los órganos competentes para resolver éstos viene determinada no sólo por la naturaleza del hecho, sino también por el órgano que juzgó en primera instancia. </w:t>
      </w:r>
    </w:p>
    <w:p w:rsidR="00FA0779" w:rsidRDefault="00FA0779" w:rsidP="00FA0779">
      <w:pPr>
        <w:pStyle w:val="TextoNormal"/>
      </w:pPr>
      <w:r>
        <w:t>Por lo expuesto, se interesa de este Tribunal que dicte Auto por el que se acuerde a inadmisión de la presente cuestión de inconstitucionalidad, por ser notoriamente infundada.</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Dos son las dudas planteadas por el Juzgado de Paz en la presente cuestión: Si la utilización del art. 14 L.E.Crim. como fundamento para la determinación de la competencia de los Juzgados de Paz puede ser contraria al derecho al Juez ordinario predeterminado por la Ley, y si el hecho de que el art. 52 L.O.P.J. impide que un órgano judicial suscite una cuestión de competencia frente a otro órgano judicial al que está subordinado supone una infracción del mandato de interdicción de la arbitrariedad de los poderes públicos contenido en art. 9.3 de la Constitución.</w:t>
      </w:r>
    </w:p>
    <w:p w:rsidR="00FA0779" w:rsidRDefault="00FA0779" w:rsidP="00FA0779">
      <w:pPr>
        <w:pStyle w:val="TextoNormal"/>
      </w:pPr>
      <w:r>
        <w:t>En relación con la primera de las dudas suscitadas, es evidente que el Juzgado no cuestiona propiamente la constitucionalidad del art. 14 L.E.Crim., sino, más exactamente, el entendimiento que de él se ha hecho para determinar la competencia de los Jueces de Paz. No se pone en cuestión, por tanto, una norma con rango de Ley aplicable al caso, a cuyo respecto no se argumenta nada, sino la aplicación que de una norma tal vienen haciendo los órganos judiciales. El órgano judicial proponente sostiene que el precepto cuestionado debe interpretarse en el sentido de que, al día de hoy, los Juzgados de Paz carecen de competencia para conocer de determinadas faltas; el Juzgado de Instrucción, por el contrario, ha interpretado el precepto de modo que alcanza la conclusión de que la competencia para resolver el procedimiento de autos corresponde al Juez de Paz. En sí mismo considerado, pues, el art. 14 de la Ley de Enjuiciamiento Criminal no es objeto de cuestionamiento alguno; sólo lo es su interpretación por parte del Juzgado de Instrucción, siendo claro que el Juez de Paz parte de la premisa de que el precepto admite una interpretación diferente: La que lleva a concluir con la incompetencia de los Juzgados de Paz, conclusión que no tacha de inconstitucional. Nada hay, por tanto, susceptible de ser cuestionado ante este Tribunal, pues no hay, en definitiva duda sobre la constitucionalidad de la norma, sino sobre la constitucionalidad de la interpretación dada a la misma por otro órgano judicial, siendo así que es sabido que la cuestión sólo sirve a los fines de depurar normas inconstitucionales, y no interpretaciones contrarias a la Constitución deducibles de un precepto que el órgano cuestionante entiende que sólo puede interpretarse en un sentido que es, además, y también en su opinión, constitucionalmente conforme.</w:t>
      </w:r>
    </w:p>
    <w:p w:rsidR="00FA0779" w:rsidRDefault="00FA0779" w:rsidP="00FA0779">
      <w:pPr>
        <w:pStyle w:val="TextoNormal"/>
      </w:pPr>
    </w:p>
    <w:p w:rsidR="00FA0779" w:rsidRDefault="00FA0779" w:rsidP="00FA0779">
      <w:pPr>
        <w:pStyle w:val="TextoNormal"/>
      </w:pPr>
      <w:r w:rsidRPr="00FA0779">
        <w:rPr>
          <w:rStyle w:val="NumeroAFNegritaCaracter"/>
        </w:rPr>
        <w:t>2</w:t>
      </w:r>
      <w:r>
        <w:t>. En segundo lugar, partiendo de la premisa del órgano judicial proponente según la cual no hay norma que determine cuál es el órgano judicial competente para conocer de los juicios de faltas tras la entrada en vigor del nuevo Código Penal, el Juez de Paz sostiene que toda decisión sobre el particular es el resultado, necesariamente, del capricho de los Jueces de Instrucción, frente a los cuales los Jueces de Paz no pueden suscitar cuestiones de competencia por prohibirlo, el art. 52 L.O.P.J. Ello redundaría en la inconstitucionalidad de este último precepto.</w:t>
      </w:r>
    </w:p>
    <w:p w:rsidR="00FA0779" w:rsidRDefault="00FA0779" w:rsidP="00FA0779">
      <w:pPr>
        <w:pStyle w:val="TextoNormal"/>
      </w:pPr>
      <w:r>
        <w:t>De nuevo ha de insistirse en que el órgano judicial parte de la idea de que el art. 14 de la L.E.Crim. sólo admite una interpretación razonable. Como quiera que a su propia interpretación del precepto se ha opuesto la defendida por el Juzgado de Instrucción, sostiene que el precepto que ha hecho posible la prevalencia de este segundo entendimiento (el art. 52 de la L.O.P.J.)  es inconstitucional En otras palabras, la tacha de inconstitucionalidad se predica de una interpretación judicial ajena y, por conexión, se extiende a la norma que impide que prevalezca, en el caso, el criterio interpretativo defendido por el Juez de Paz; criterio que, para éste, es el único admisible.</w:t>
      </w:r>
    </w:p>
    <w:p w:rsidR="00FA0779" w:rsidRDefault="00FA0779" w:rsidP="00FA0779">
      <w:pPr>
        <w:pStyle w:val="TextoNormal"/>
      </w:pPr>
      <w:r>
        <w:lastRenderedPageBreak/>
        <w:t>Como alega el Fiscal General del Estado, el art. 52 L.O.P.J. ha optado por un sistema de resolución de conflictos de competencia objetiva que viene a corresponderse con el mantenimiento de un cierto principio de jerarquía en la organización judicial; dicho sistema, además, se corresponde con el establecido para la resolución de cuestiones de competencia entre órganos del mismo grado y orden jurisdiccional, que se atribuye al superior jerárquico común; si esto es así en estas cuestiones, ningún reproche merece el hecho de que la competencia entre órganos de diferente grado se determine por el de grado superior. No cabe en modo alguno entender, que aquí el Juez de Instrucción actúe como Juez y parte; así parece, sin embargo, entenderlo el Juez de Paz al sostener que el art. 52 L.O.P.J. hace posible la imposición inapelable de decisiones sobre una cuestión en la que se ve afectada la competencia del órgano judicial resolutorio del conflicto. Muy por el contrario, el Juzgado de Instrucción resuelve un conflicto en el que no está en juego más interés que el general y objetivo en la correcta distribución de las competencias jurisdiccionales en los términos decididos por el legislador.  Además, los intereses y derechos particulares afectados, estrictamente los de las partes, no dejan de estar garantizados en todo caso, pues, como también apunta el Fiscal General del Estado, frente a la decisión inhibitoria del Juzgado de Instrucción pueden recurrir, en defensa, en este caso, de su derecho al Juez ordinario predeterminado por la Ley, las partes procesales afectadas.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acuerda la inadmisión de la presente cuestión de inconstitucionalidad.</w:t>
      </w:r>
    </w:p>
    <w:p w:rsidR="00FA0779" w:rsidRDefault="00FA0779" w:rsidP="00FA0779">
      <w:pPr>
        <w:pStyle w:val="TextoNormal"/>
      </w:pPr>
    </w:p>
    <w:p w:rsidR="00FA0779" w:rsidRDefault="00FA0779" w:rsidP="00FA0779">
      <w:pPr>
        <w:pStyle w:val="TextoNormal"/>
      </w:pPr>
      <w:r>
        <w:t>Madrid, a veinticuatro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69" w:name="AUTO_1997_236"/>
      <w:r>
        <w:lastRenderedPageBreak/>
        <w:t>AUTO 236/1997, de 25 de junio de 1997</w:t>
      </w:r>
    </w:p>
    <w:bookmarkEnd w:id="169"/>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ECLI:ES:TC:1997:236A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2.861/1996.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Procurador de los Tribunales don Antonio de Palma Villalón, en nombre de don Agapito Gómez Martínez y mediante escrito registrado el 16 de julio de 1996, interpuso recurso de amparo contra la Sentencia que la Sección Segunda de la Audiencia Provincial de Alicante pronunció el 24 de mayo de 1996, confirmando en apelación la dictada el 20 de noviembre de 1995 por el Juez de lo Penal núm. 1 de Elche, por la que se condenó a su representado como autor de un delito de estafa a la pena de seis meses y un día de prisión menor, accesorias y pago de costas. Cuenta en la demanda que en el recurso de apelación fue solicitado el recibimiento a prueba Y la práctica de diversas pruebas documentales, solicitud que resultó rechazada en Auto de 12 de abril de 1996, así como que en el fundamento jurídico 2.º de su Sentencia la Audiencia Provincial expuso que «ahora bien, para que el Derecho Penal no se convierta en un instrumento inoperante, la Magistrada de origen, que ejecutará la Sentencia, no debe conceder la condena condicional, sino se aprecia una actividad de resarcimiento en todo o en parte de la cantidad en que el Sr. Casanova resultó perjudicado». </w:t>
      </w:r>
    </w:p>
    <w:p w:rsidR="00FA0779" w:rsidRDefault="00FA0779" w:rsidP="00FA0779">
      <w:pPr>
        <w:pStyle w:val="TextoNormal"/>
      </w:pPr>
      <w:r>
        <w:t>El demandante de amparo denuncia vulneración de sus derechos fundamentales utilizar los medios de prueba pertinentes para la defensa (art. 24.2 C.E.) y a obtener a tutela judicial efectiva (art. 24.1 C.E.), el primero por la negativa a practicar prueba en la segunda instancia y el segundo por la inclusión en la Sentencia de la Audiencia Provincial de la frase transcrita, pues con ello dicho Tribunal estaría aplicando la regulación de la condena condicional contenida en el Código Penal de 1995, cuando al caso enjuiciado, sería de aplicación la normativa contenida al efecto en el Código e 1973.</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18 de diciembre de 1996, acordó, e conformidad con lo dispuesto en el art. 50.3 de la LOTC, conceder al demandante e amparo y al Fiscal el plazo común de diez días para que pudieran formular 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solicitante de amparo evacuó el traslado el 13 de enero de 1997 en escrito en el que, tras reiterar lo que ya expuso en la demanda de amparo, solicitó la admisión trámite del recurso. Por su parte, el Fiscal se opuso en igual fecha a dicha admisión, razonando </w:t>
      </w:r>
      <w:r>
        <w:lastRenderedPageBreak/>
        <w:t xml:space="preserve">que, en lo que al derecho a la prueba se refiere, el recurrente no aporta ninguna justificación de la posible vulneración del derecho fundamental en cuestión. Ciertamente fueron denegadas unas diligencias de prueba, al parecer mediante Auto le 12 de abril de 1996 -que no ha sido aportado al recurso de amparo-, pero ello en sí mismo no significa vulneración de ningún derecho fundamental si tal denegación se ha efectuado, como al parecer ha sucedido, mediante una resolución fundada, en la que motivadamente se hayan expuesto las razones de inadmisión de la pruebas, que además el art. 795.3 L.E.Crim, configura con carácter eminentemente excepcional. </w:t>
      </w:r>
    </w:p>
    <w:p w:rsidR="00FA0779" w:rsidRDefault="00FA0779" w:rsidP="00FA0779">
      <w:pPr>
        <w:pStyle w:val="TextoNormal"/>
      </w:pPr>
      <w:r>
        <w:t>En lo que se refiere a lo dispuesto en el fundamento jurídico 2 de la Sentencia de la Audiencia Provincial, que debe ser entendido como un obiter dictum, tampoco se aprecia vulneración de derecho fundamental alguno. No se trata de que la Sala haya aplicado las disposiciones del art. 81.3 del nuevo Código Penal, sino de un mero pronunciamiento no incorporado al fallo y que, por lo tanto, no tiene fuerza obligatoria. Es el Juez de instancia, en cuanto sentenciador, quien al fin y a la postre determinará si, en su caso, procede o no la aplicación de la condena condicional.</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Como se dice en una reciente Sentencia, la 116/1977, el derecho a la defensa es exactamente el antídoto de la tacha más grave que puede enervar la efectividad de la tutela judicial hasta hacerla desaparecer, la indefensión, y a su vez actúa como cabecera o capitular de otros derechos que le siguen en el mismo Texto constitucional, uno de ellos, y uno de los más importantes, «el derecho a utilizar los medios de prueba pertinentes para su defensa», inseparable de éste. Su configuración, que tiene asiento propio en las Leyes de Enjuiciamiento y muy especialmente en la Civil, por su función supletoria, diseña una secuencia en la que son fases sucesivas, aun cuando no siempre necesarias, el recibimiento a prueba, a instancia de la parte o de oficio por el Juez cuando asi se permita, la proposición de los distintos medios de prueba y la admisión o rechazo, que implica un juicio sobre la pertinencia, la práctica y, en fin, su valoración. Lo dicho pone de manifiesto, por la misma fuerza del relato, que es siempre posible una respuesta judicial negativa en cualesquiera de esas etapas y, por lo tanto, que existiendo un derecho genérico a la prueba, no se traduce sin embargo en un derecho absoluto y automático a ella, en todos los procesos y en cualquiera de sus grados, sea cual fuere el medio propuesto y lo que se pretenda probar.</w:t>
      </w:r>
    </w:p>
    <w:p w:rsidR="00FA0779" w:rsidRDefault="00FA0779" w:rsidP="00FA0779">
      <w:pPr>
        <w:pStyle w:val="TextoNormal"/>
      </w:pPr>
      <w:r>
        <w:t>Ahora bien, 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Una exigencia simétrica impone al juzgador la obligación de razonar también en su caso, la inadmisión o la impertinencia, sin cuya motivación tales decisiones podrían incurrir en arbitrariedad y, por tanto, quebrantar el derecho fundamental en cuestión. Aquí se plantea una vez más la tensión dialéctica entre la independencia del Poder Judicial, titular de la función jurisdiccional y la salvaguarda de las garantías constitucionales que nos corresponde, tal y como se diseña en el art. 123 de nuestra Constitución.</w:t>
      </w:r>
    </w:p>
    <w:p w:rsidR="00FA0779" w:rsidRDefault="00FA0779" w:rsidP="00FA0779">
      <w:pPr>
        <w:pStyle w:val="TextoNormal"/>
      </w:pPr>
      <w:r>
        <w:t xml:space="preserve">En este caso, quien nos demanda amparo por tal motivo se limita a exponer que propuso, y le fue rechazada, una prueba documental en la segunda instancia, sin que ni siquiera nos proporcione el texto del Auto donde se acordó. Con tales elementos de juicio no cabe sino negar, aquí y ahora, que se haya producido la indefensión denunciada. Como hemos </w:t>
      </w:r>
      <w:r>
        <w:lastRenderedPageBreak/>
        <w:t>dicho en más de una ocasión (SSTC 141/1992, 131/1995 y 195/1995, entre otras), para ello resulta necesaria pero no suficiente la denegación de la prueba, como dimensión formal del concepto, siendo imprescindible un paso más, que la irregularidad procesal se traduzca en un perjuicio real, efectivo y actual del litigante, a quien por otra parte corresponde la carga de demostrar la trascendencia de los hechos que se quisieron y no se pudieron probar, así como la utilidad del medio probatorio propuesto a tal efecto. Ninguno de tales aspectos se exponen en la demanda, donde ni siquiera se concreta cuál documento tenía el propósito de señalar o pedir y para qué. Desprovista así la queja de soporte y también de respaldo argumental, resulta claro que carece simétricamente de contenido constitucional y es, por ello, inadmisible [art. 50.1 c) LOTC].</w:t>
      </w:r>
    </w:p>
    <w:p w:rsidR="00FA0779" w:rsidRDefault="00FA0779" w:rsidP="00FA0779">
      <w:pPr>
        <w:pStyle w:val="TextoNormal"/>
      </w:pPr>
    </w:p>
    <w:p w:rsidR="00FA0779" w:rsidRDefault="00FA0779" w:rsidP="00FA0779">
      <w:pPr>
        <w:pStyle w:val="TextoNormal"/>
      </w:pPr>
      <w:r w:rsidRPr="00FA0779">
        <w:rPr>
          <w:rStyle w:val="NumeroAFNegritaCaracter"/>
        </w:rPr>
        <w:t>2</w:t>
      </w:r>
      <w:r>
        <w:t>. La pretensión se dirige también contra la frase incluida en los fundamentos jurídicos de la Sentencia donde la Audiencia le dice al Juez a quo, quien por ello será quien haya de ejecutar aquélla, que «no debe conceder la condena condicional, sino se aprecia una actividad de resarcimiento». Conviene en este punto determinar con la mayor exactitud posible la naturaleza jurídica de lo impugnado, que no forma pare del fallo o parte dispositiva y, en consecuencia, no es un pronunciamiento ni una orden. En suma no tiene fuerza vinculante para el Juez. No actúa tampoco como ratio decidendi de la condena y ni siquiera puede calificarse de obiter dictum por no guardar relación con la línea discursiva, aun cuando fuere marginal o a mayor abundamiento.</w:t>
      </w:r>
    </w:p>
    <w:p w:rsidR="00FA0779" w:rsidRDefault="00FA0779" w:rsidP="00FA0779">
      <w:pPr>
        <w:pStyle w:val="TextoNormal"/>
      </w:pPr>
      <w:r>
        <w:t>Se trata, lisa y llanamente, de una advertencia anticipada, y, por ello, intempestiva, un monitum, que no limita la independencia de criterio del Juez a quien va dirigida, que podrá seguir el consejo o separarse de él a la hora de sopesar si concede o no la remisión condicional de la condena. Por ello, tampoco prejuzga una aplicación retroactiva del Código Penal de 1995 en perjuicio del reo, como vedan de consuno los arts. 9.3 y 25.1 de nuestra Constitución. La queja es prematura y casi cautelar, poniéndose así la venda antes de que se haya producido herida alguna. No existe, pues, un «acto», en sentido propio, del Poder Judicial como objeto de este proceso de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veinticinco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0" w:name="AUTO_1997_237"/>
      <w:r>
        <w:lastRenderedPageBreak/>
        <w:t>AUTO 237/1997, de 25 de junio de 1997</w:t>
      </w:r>
    </w:p>
    <w:bookmarkEnd w:id="170"/>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ECLI:ES:TC:1997:237A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en el recurso de amparo 3.652/1996, promovido en pleito civil.</w:t>
      </w:r>
    </w:p>
    <w:p w:rsidR="00FA0779" w:rsidRDefault="00FA0779" w:rsidP="00FA0779">
      <w:pPr>
        <w:pStyle w:val="SntesisDescriptiva"/>
      </w:pPr>
    </w:p>
    <w:p w:rsidR="00FA0779" w:rsidRDefault="00FA0779" w:rsidP="00FA0779">
      <w:pPr>
        <w:pStyle w:val="SntesisAnaltica"/>
      </w:pPr>
      <w:r>
        <w:t>Desistimiento de recurso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1" w:name="AUTO_1997_238"/>
      <w:r>
        <w:lastRenderedPageBreak/>
        <w:t>AUTO 238/1997, de 25 de junio de 1997</w:t>
      </w:r>
    </w:p>
    <w:bookmarkEnd w:id="171"/>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ECLI:ES:TC:1997:238A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3.857/1996.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Procuradora de los Tribunales doña María del Mar Montero de Cózar Millet, en nombre de don Eugenio Gómez Talavera y en escrito presentado el 25 de octubre de 1996, interpuso recurso de amparo contra la Sentencia que la Sección Octava de la Sala de lo Contencioso-Administrativo de la Audiencia Nacional dictó el 24 de septiembre de 1996, desestimando el recurso contencioso-administratívo promovido frente a la resolución dictada el 28 de octubre de 1994 por el Director General de Personal de Servicios del Ministerio de Educación y Ciencia, sobre reconocimiento de la condición de catedrático en el procedimiento convocado por Orden de 12 de diciembre de 1991. </w:t>
      </w:r>
    </w:p>
    <w:p w:rsidR="00FA0779" w:rsidRDefault="00FA0779" w:rsidP="00FA0779">
      <w:pPr>
        <w:pStyle w:val="TextoNormal"/>
      </w:pPr>
      <w:r>
        <w:t xml:space="preserve">Relata el solicitante de amparo que el recurso contencioso-administrativo lo interpuso por vulneración en el mencionado procedimiento de selección de los principios de igualdad, mérito y capacidad en el acceso a la función pública, porque no fueron valorados el tiempo en que realizó funciones de Interventor en un Instituto de Formación Profesional ni un curso de actualización científica realizado en la Universidad Politécnica de Madrid, porque su memoria fue valorada arbitrariamente y porque el curso que a él no se le tuvo en cuenta fue valorado respecto de otros concursantes. Para acreditar tales extremos propuso la práctica de determinadas pruebas, que fueron inadmitidas en providencia de 8 de marzo de 1996, confirmada en súplica mediante Auto de 17 de abril siguiente. Otras pruebas fueron admitidas pero no llegaron a ser practicadas. El recurso fue desestimado en la Sentencia contra la que se dirige la pretensión de amparo, en la que se afirma que los Tribunales de Justicia carecen de competencia para sustituir en su labor de valoración de méritos y conocimientos a los órganos administrativos calificadores. </w:t>
      </w:r>
    </w:p>
    <w:p w:rsidR="00FA0779" w:rsidRDefault="00FA0779" w:rsidP="00FA0779">
      <w:pPr>
        <w:pStyle w:val="TextoNormal"/>
      </w:pPr>
      <w:r>
        <w:t>Con fundamento en los anteriores hechos denuncia infracción de los arts. 14, 23.2 y 24 C.E. Los dos primeros por desconocerse el principio de igualdad en el acceso a la función pública y el segundo por la descrita inadmisión y no práctica de pruebas y por la falta de control por parte del Tribunal sobre la valoración que de su memoria hizo el órgano calificador.</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Sección Cuarta, en providencia de 15 de enero de 1997, acordó, de conformidad con lo dispuesto en el art. 50.3 de la LOTC, conceder al demandante de amparo y al Fiscal el plazo común de diez días para que pudieran formular las alegaciones que estimasen </w:t>
      </w:r>
      <w:r>
        <w:lastRenderedPageBreak/>
        <w:t>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solicitante de amparo evacuó el traslado en escrito que presentó el 1 de febrero, en el que interesó que el recurso sea admitido a trámite, previa reiteración de los argumentos que expuso en la demanda. El Fiscal, por su parte, solicitó el 12 de febrero la inadmisión del recurso porque, desde la perspectiva constitucional, la denegación de prueba fue correcta. La motivación del Auto resolutorio del recurso de súplica interpuesto contra la providencia de inadmisión de la prueba es suficientemente expresiva de un criterio de la Sala que no puede reputarse de arbitrario. Parte de la prueba fue delegada en cuanto a su ejecución en la propia parte recurrente y esta circunstancia no es vulneradora de derecho fundamental alguno, pues la Ley de Enjuiciamiento Civil, aplicable supletoriamente a la jurisdicción contencioso-administrativa, prevé expresamente tal posibilidad. Finalmente, las pruebas no admitidas por impertinentes o inútiles no son más que manifestación de un criterio del juzgador, que este Tribunal debe respetar. </w:t>
      </w:r>
    </w:p>
    <w:p w:rsidR="00FA0779" w:rsidRDefault="00FA0779" w:rsidP="00FA0779">
      <w:pPr>
        <w:pStyle w:val="TextoNormal"/>
      </w:pPr>
      <w:r>
        <w:t>No hay ninguna exclusión de control jurisdiccional. La llamada discrecionalidad técnica de los Tribunales de oposiciones ha sido reconocida desde antiguo por la doctrina del Tribunal Constitucional, sin que a ella pueda anudarse quiebra constitucional alguna. Finalmente, tampoco hay vulneración alguna de los arts. 14 y 23.2 C.E., pues los razonamientos de la Sentencia impugnada evidencian que el criterio seguido es el más acorde con la legislación que regula el acceso a la función pública intentado por el solicitante de amparo.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Este amparo, mixto o mestizo por dirigirse a la vez contra un acto de la Administración General del Estado y contra la Sentencia donde se ratificó en la vía contencioso-administrativa, carece manifiestamente de contenido constitucional, tal y como sospechamos desde un primer momento, y, por ello, la pretensión es inadmisible según prevé el art. 50.1 e) de la Ley Orgánica de este Tribunal. En efecto, no cabe decir que conculca el derecho a utilizar los medios probatorios pertinentes ex art. 24.2 C.E. y, por ende, no produce indefensión vedada en art. 24.1 C.E. la inadmisión por la Sala de una prueba que había propuesto el demandante, inadmisión cuyo fundamento estriba en la irrelevancia de aquélla y su falta de utilidad al efecto de enjuiciar el acto administrativo impugnado en sede jurisdiccional, cuyo soporte dialéctico es razonable dentro del ámbito propio de la potestad de juzgar. Por otra parte, la argumentación del interesado en esta vía de amparo carece prima facie de fuerza persuasiva suficiente para demostrar la indispensable idoneidad y trascendencia de los medios de prueba rechazados y poner de manifiesto así el error o la sinrazón del juzgador.</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También resulta rechazable a limine la sedicente vulneración del art. 23.2 C.E., pues siendo el derecho allí reconocido de configuración legal según el nomen al uso, no parece dudoso que el acceso a las funciones y cargos públicos en condiciones de igualdad ha de producirse con arreglo a las reglas del adecuado procedimiento de selección. Así ha ocurrido prima facie en este caso donde la valoración de los correspondientes méritos que, según la convocatoria, podían ser tenidos en cuenta ha sido practicada y explicada por el acto administrativo en tela de juicio muy razonablemente, sin quiebra lógica alguna. Por </w:t>
      </w:r>
      <w:r>
        <w:lastRenderedPageBreak/>
        <w:t>otra parte, desde la óptica del derecho fundamental en juego no cabe tampoco detectar la exigencia de requisitos que se hayan traducido en desigualdades arbitrarias ni tampoco de condiciones para el acceso desprovistas de la generalidad y la abstracción necesarias para evitar, a la hora de su individualización, la acepción de persona o su contrario, la preterición (SSTC 42/1981, 50/1986, 148/1986, 18/1987, 67/1989, 27/1991, 93/1995 y 11/1996), y menos aun la transgresión de las bases del procedimiento selectivo en detrimento de algunos de los concursantes (STC 115/1996).</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veinticinco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2" w:name="AUTO_1997_239"/>
      <w:r>
        <w:lastRenderedPageBreak/>
        <w:t>AUTO 239/1997, de 25 de junio de 1997</w:t>
      </w:r>
    </w:p>
    <w:bookmarkEnd w:id="172"/>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ECLI:ES:TC:1997:239A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4.551/1996.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13 de diciembre de 1996 se registra en este Tribunal escrito firmado por la representación del demandante por el que se interpone recurso de amparo contra la providencia de fecha 7 de noviembre de 1996, del Juzgado de Primera Instancia núm. 2 de Castellón, dictada en autos 342/1996 sobre proceso sumario de ejecución hipotecaria, por la cual se inadmite a trámite recurso de reposición contra el Auto de 24 de octubre de 1996 que denegó la suspensión del procedimiento.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recurso tiene su origen en los siguientes antecedentes de hecho que se resumen en lo que concierne al objeto del recurso: </w:t>
      </w:r>
    </w:p>
    <w:p w:rsidR="00FA0779" w:rsidRDefault="00FA0779" w:rsidP="00FA0779">
      <w:pPr>
        <w:pStyle w:val="TextoNormal"/>
      </w:pPr>
      <w:r>
        <w:t xml:space="preserve">A) Demandada judicialmente la ejecución de la garantía hipotecaria por impago del saldo de una cuenta corriente, el demandado, hoy recurrente, planteó, al amparo de lo establecido en los arts. 153 y 132.4.º de la Ley Hipotecaria -en adelante, L.H.- incidente de suspensión del procedimiento por error en el saldo reclamado. Celebrada la comparecencia prevista en el art. 132 L.H., el Juez desestimó la pretensión de suspensión por Auto de 24 de octubre de 1996, indicando en su parte dispositiva, de forma taxativa, que «contra esta resolución no cabe ningún recurso». </w:t>
      </w:r>
    </w:p>
    <w:p w:rsidR="00FA0779" w:rsidRDefault="00FA0779" w:rsidP="00FA0779">
      <w:pPr>
        <w:pStyle w:val="TextoNormal"/>
      </w:pPr>
      <w:r>
        <w:t xml:space="preserve">B) Pese a tal indicación, el demandado, al amparo de lo previsto en los arts, 377 y 380 de la L.E.C., interpuso recurso de reposición contra el citado Auto, el cual fue inadmitido de plano y sin ulterior recurso por providencia de 7 de noviembre de 1996 al entender que contra el Auto dictado no cabe recurso alguno «según consta en dicha resolución». </w:t>
      </w:r>
    </w:p>
    <w:p w:rsidR="00FA0779" w:rsidRDefault="00FA0779" w:rsidP="00FA0779">
      <w:pPr>
        <w:pStyle w:val="TextoNormal"/>
      </w:pPr>
      <w:r>
        <w:t>C) Notificada dicha providencia al recurrente, aún intentó el demandado un nuevo recurso de reposición contra la misma, invocando específicamente la indefensión que se le causaba, y pidiendo la admisión a trámite del recurso de reposición presentado. Dicho escrito fue devuelto al Procurador del demandado mediante providencia de 18 de noviembre, notificada el 20 de noviembre de 1996 al entender que la cuestión planteada había sido ya resuelta por la providencia de 7 de noviembre de 1996.</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Presentada por el recurrente demanda de amparo, el pasado 23 de abril de 1997, la Sección Cuarta (Sala Segunda) de este Tribunal Constitucional acordó, de conformidad con lo previsto en el núm. 3 del art. 50 de la Ley Orgánica del Tribunal Constitucional, conceder al demandante y al Ministerio Fiscal un plazo común de diez días para formular </w:t>
      </w:r>
      <w:r>
        <w:lastRenderedPageBreak/>
        <w:t>las alegaciones que estimen pertinentes en relación con la posible carencia manifiesta de contenido constitucional de la demanda [art. 50.1 e) de la LOTC].</w:t>
      </w:r>
    </w:p>
    <w:p w:rsidR="00FA0779" w:rsidRDefault="00FA0779" w:rsidP="00FA0779">
      <w:pPr>
        <w:pStyle w:val="TextoNormal"/>
      </w:pPr>
    </w:p>
    <w:p w:rsidR="00FA0779" w:rsidRDefault="00FA0779" w:rsidP="00FA0779">
      <w:pPr>
        <w:pStyle w:val="TextoNormal"/>
      </w:pPr>
      <w:r w:rsidRPr="00FA0779">
        <w:rPr>
          <w:rStyle w:val="NumeroAFNegritaCaracter"/>
        </w:rPr>
        <w:t>4</w:t>
      </w:r>
      <w:r>
        <w:t>. Por escrito presentado el 8 de mayo de 1997 el recurrente reitera lo manifestado en la demanda de amparo, en la que se alega la violación del art. 24.1 C.E. en su vertiente de derecho de acceso a los recursos establecidos en la Ley, considerando que esta se habría producido al negar a la parte la posibilidad de recurrir la resolución denegatoria del incidente de suspensión sin razonar ni fundamentar dicha negativa con arreglo a precepto alguno de la legislación vigente.</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en escrito que tuvo entrada en este Tribunal el 8 de mayo de 1997, interesó la inadmisión a trámite de la demanda por carecer de contenido constitucional al señalar que el recurrente ha tenido una respuesta judicial a su pretensión de suspensión en la que se le ha razonado sobre la no procedencia de la misma, existiendo dudas de legalidad sobre la posibilidad de recurrir la decisión que desestima la petición de suspensión en el proceso sumario de ejecución hipotecaria a la vista de la claridad de la L.H, que, al incluir un recurso sólo para supuestos de accederse a la suspensión, excluye los que acuerdan el efecto contrario, por lo que la demanda carece de contenido constitucional que justifique un pronunciamiento sobre el fondo.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pretensión de amparo se dirige contra la providencia de fecha 7 de noviembre de 1996, del Juzgado de Primera Instancia núm. 2 de Castellón, dictada en autos 342/96 sobre proceso sumario de ejecución hipotecaria, por la cual se inadmite a trámite recurso de reposición -previo al de apelación- contra el Auto de 24 de octubre de 1996 que denegó la suspensión del procedimiento.</w:t>
      </w:r>
    </w:p>
    <w:p w:rsidR="00FA0779" w:rsidRDefault="00FA0779" w:rsidP="00FA0779">
      <w:pPr>
        <w:pStyle w:val="TextoNormal"/>
      </w:pPr>
      <w:r>
        <w:t>Para quien demanda el amparo ante este Tribunal, la resolución impugnada y la que la confirma vulneran el art. 24.1 de la C.E. por negarle inmotivadamente la posibilidad de recurrir la resolución denegatoria del incidente de suspensión sin fundamentar dicha negativa con arreglo a precepto alguno de la legislación vigente.</w:t>
      </w:r>
    </w:p>
    <w:p w:rsidR="00FA0779" w:rsidRDefault="00FA0779" w:rsidP="00FA0779">
      <w:pPr>
        <w:pStyle w:val="TextoNormal"/>
      </w:pPr>
    </w:p>
    <w:p w:rsidR="00FA0779" w:rsidRDefault="00FA0779" w:rsidP="00FA0779">
      <w:pPr>
        <w:pStyle w:val="TextoNormal"/>
      </w:pPr>
      <w:r w:rsidRPr="00FA0779">
        <w:rPr>
          <w:rStyle w:val="NumeroAFNegritaCaracter"/>
        </w:rPr>
        <w:t>2</w:t>
      </w:r>
      <w:r>
        <w:t>. Sin embargo, el contenido de la queja que da origen al presente procedimiento de amparo no puede ser abordado pues la demanda adolece de modo insubsanable de uno de los requisitos formales que posibilitan el adecuado ejercicio de esta jurisdicción de amparo. El examen de las actuaciones remitidas con la demanda pone de manifiesto que el recurrente no ha agotado todos los recursos utilizables dentro de la vía judicial con carácter previo a solicitar el amparo constitucional [art. 44.1 a) LOTC].</w:t>
      </w:r>
    </w:p>
    <w:p w:rsidR="00FA0779" w:rsidRDefault="00FA0779" w:rsidP="00FA0779">
      <w:pPr>
        <w:pStyle w:val="TextoNormal"/>
      </w:pPr>
      <w:r>
        <w:t xml:space="preserve">Al igual que se prevé en el art. 43.1 LOTC, para que sea posible la admisión a trámite del recurso de amparo contra actos u omisiones de un órgano judicial, es requisito ineludible haber agotado todos los recursos utilizables en la vía judicial. Esta exigencia responde al carácter subsidiario del recurso de amparo, pues la tutela general de los derechos y libertades corresponde a los Tribunales de Justicia -art. 41.1 LOTC- y, como señaló ya la STC 61/1983, fundamento jurídico 2.º, «cuando existe un recurso susceptible de ser utilizado, y es adecuado por su carácter y naturaleza para tutelar la libertad o derecho que se entiende vulnerado, tal recurso ha de agotarse antes de acudir al Tribunal Constitucional». </w:t>
      </w:r>
      <w:r>
        <w:lastRenderedPageBreak/>
        <w:t>Son excepción de este principio aquellos supuestos que no quepa ninguna posibilidad de que por los órganos judiciales puedan repararse las vulneraciones que ellos mismos hayan cometido -v.g. por tratarse de la última instancia- al no existir cauce procesal alguno que lo permita (cuestión interna resuelta por la STC 185/1990 sobre la nulidad de actuaciones prevista en el art. 240.2 de la L.O.P.J.).</w:t>
      </w:r>
    </w:p>
    <w:p w:rsidR="00FA0779" w:rsidRDefault="00FA0779" w:rsidP="00FA0779">
      <w:pPr>
        <w:pStyle w:val="TextoNormal"/>
      </w:pPr>
      <w:r>
        <w:t>La expresión «utilizables» remite a aquellos recursos que sean propios del orden jurisdiccional en el que se haya producido la vulneración del derecho fundamental, sin que baste con la interposición del recurso, sino que es exigible hacer un uso efectivo de los mismos. No se consideran agotados los recursos utilizables cuando la interposición adolece de irregularidades procesales que llevan a su inadmisión, o cuando una vez interpuestos hayan quedado desiertos por inactividad de parte (AATC 114/1983, 411/1984 ó 621/1984). Han de ser utilizados los recursos «útiles» para conseguir la revisión de la decisión adoptada por el órgano judicial, no siendo precisa, como es obvio, la interposición de todos los recursos imaginables, pues este requisito se refiere a los medios procesales que razonablemente pueden ser conocidos y ejercidos por los litigantes, no a cualquiera que sea imaginable o posible como ya ha dicho este Tribunal Constitucional (SSTC 73/1982 y 29/1983). Debe ponerse de relieve, por último, que aunque es cierto que este Tribunal ha declarado que el requisito de agotamiento de los recursos utilizables ha de ser interpretado de manera flexible y finalista, es exigible, en cualquier caso, que al órgano judicial se le haya dado la oportunidad de reparar la lesión cometida y de restablecer en sede jurisdiccional ordinaria el derecho constitucional vulnerado (SSTC 118/1986, 75/1988, 155/1988 o 287/1993).</w:t>
      </w:r>
    </w:p>
    <w:p w:rsidR="00FA0779" w:rsidRDefault="00FA0779" w:rsidP="00FA0779">
      <w:pPr>
        <w:pStyle w:val="TextoNormal"/>
      </w:pPr>
    </w:p>
    <w:p w:rsidR="00FA0779" w:rsidRDefault="00FA0779" w:rsidP="00FA0779">
      <w:pPr>
        <w:pStyle w:val="TextoNormal"/>
      </w:pPr>
      <w:r w:rsidRPr="00FA0779">
        <w:rPr>
          <w:rStyle w:val="NumeroAFNegritaCaracter"/>
        </w:rPr>
        <w:t>3</w:t>
      </w:r>
      <w:r>
        <w:t>. En el caso que aquí se analiza el recurrente, demandado en el proceso judicial en el que se dicta la resolución impugnada, pretendía recurrir en apelación la decisión del Juez unipersonal por la que se denegó la suspensión del proceso sumario de ejecución hipotecaria. Para ello interpuso recurso de reposición previo a la apelación -art. 380 L.E.C.- pero dada la instrumentalidad de tal recurso para acceder al de apelación y ante la decisión de inadmisión de la reposición y la tajante advertencia de que no cabía recurso alguno contra la resolución impugnada, debió interponer e1 recurso de queja (arts. 398 a 400 de la Ley Procesal Civil), pues es un recurso útil e idóneo para denunciar y corregir las decisiones de inadmisión que cierran a vía a la apelación. Al no haberlo hecho privó a los órganos judiciales de valorar, y en su caso corregir, la alegada lesión de derechos fundamentales en que se fundamenta su demanda, lo que obliga, a apreciar la causa de inadmisión anteriormente reseñada por no haber agotado el demandante todos los recursos utilizables dentro de la vía judicial con carácter previo a solicitar el amparo constitucional [art. 44.1 a) LOTC].</w:t>
      </w:r>
    </w:p>
    <w:p w:rsidR="00FA0779" w:rsidRDefault="00FA0779" w:rsidP="00FA0779">
      <w:pPr>
        <w:pStyle w:val="TextoNormal"/>
      </w:pPr>
      <w:r>
        <w:t>En la medida en que se inadmite a trámite la demanda de amparo no ha lugar a pronunciarse sobre la petición de suspensión planteada.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consecuencia, por todo lo expuesto, y de conformidad con el art. 50.1, a) y e), de la Ley Orgánica del Tribunal Constitucional, la Sección acuerda la inadmisión de la demanda de amparo y el archivo de las actuaciones.</w:t>
      </w:r>
    </w:p>
    <w:p w:rsidR="00FA0779" w:rsidRDefault="00FA0779" w:rsidP="00FA0779">
      <w:pPr>
        <w:pStyle w:val="TextoNormal"/>
      </w:pPr>
    </w:p>
    <w:p w:rsidR="00FA0779" w:rsidRDefault="00FA0779" w:rsidP="00FA0779">
      <w:pPr>
        <w:pStyle w:val="TextoNormal"/>
      </w:pPr>
      <w:r>
        <w:t>Madrid, a veinticinco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3" w:name="AUTO_1997_240"/>
      <w:r>
        <w:lastRenderedPageBreak/>
        <w:t>AUTO 240/1997, de 25 de junio de 1997</w:t>
      </w:r>
    </w:p>
    <w:bookmarkEnd w:id="173"/>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ECLI:ES:TC:1997:240A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869/1997.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presentado en este Tribunal el día 1 de marzo de 1997, doña Aurora Gómez-Villaboa y Mandri, Procuradora de los Tribunales, en nombre y representación del Grupo Parlamentario Socialista de la Asamblea de Extremadura, interpuso recurso de amparo contra el Acuerdo de la Mesa de la Cámara, de 27 de noviembre de 1996, desestimatorio de la solicitud de reconsideración del Acuerdo de 5 de noviembre de 1996, por el que se tuvo por presentada fuera de plazo la oposición de la Junta de Extremadura a la tramitación de la proposición de Ley del Tribunal de Cuentas al implicar un incremento de los créditos presupuestarios.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De la demanda y de la documentación que a la misma se adjuntan resultan los siguientes antecedentes fácticos: </w:t>
      </w:r>
    </w:p>
    <w:p w:rsidR="00FA0779" w:rsidRDefault="00FA0779" w:rsidP="00FA0779">
      <w:pPr>
        <w:pStyle w:val="TextoNormal"/>
      </w:pPr>
      <w:r>
        <w:t xml:space="preserve">a) En sesión celebrada el día 6 de septiembre de 1996, la Mesa de la Asamblea de Extremadura acordó admitir a trámite la proposición de Ley del Tribunal de Cuentas de Extremadura presentada por el Grupo Parlamentario Izquierda Unida-Los Verdes. </w:t>
      </w:r>
    </w:p>
    <w:p w:rsidR="00FA0779" w:rsidRDefault="00FA0779" w:rsidP="00FA0779">
      <w:pPr>
        <w:pStyle w:val="TextoNormal"/>
      </w:pPr>
      <w:r>
        <w:t xml:space="preserve">Dicho Acuerdo, adjuntando la referida proposición de Ley, fue comunicado a la Junta de Extremadura en fecha 11 de septiembre de 1996. Asimismo, se publicó en el «Boletín Oficial de la Asamblea de Extremadura» núm. 63, de 18 de septiembre de 1996, en el que se ordena la remisión de la proposición de Ley «a la Junta de Extremadura para que manifieste su criterio respecto a su toma en consideración». </w:t>
      </w:r>
    </w:p>
    <w:p w:rsidR="00FA0779" w:rsidRDefault="00FA0779" w:rsidP="00FA0779">
      <w:pPr>
        <w:pStyle w:val="TextoNormal"/>
      </w:pPr>
      <w:r>
        <w:t xml:space="preserve">b) El día 30 de octubre de 1996 tuvo entrada en el registro de la Presidencia de la Asamblea de Extremadura certificación del Acuerdo de la Junta de Extremadura, adoptado en sesión de 15 de octubre de 1996, por el que se opuso «a la tramitación en la Asamblea de la proposición de Ley del Tribunal de Cuentas de Extremadura, ya que las previsiones de la misma sobre el. personal necesario para el funcionamiento del Tribunal y sobre el presupuesto que debe tener, han de implicar un incremento de los créditos presupuestarios». </w:t>
      </w:r>
    </w:p>
    <w:p w:rsidR="00FA0779" w:rsidRDefault="00FA0779" w:rsidP="00FA0779">
      <w:pPr>
        <w:pStyle w:val="TextoNormal"/>
      </w:pPr>
      <w:r>
        <w:t xml:space="preserve">c) La Mesa de la Asamblea de Extremadura, en sesión celebrada el 5 de noviembre de 1996, tomó conocimiento del Acuerdo de la Junta de Extremadura y lo tuvo por presentado fuera de plazo, en aplicación del art. 121.2 y 3 del Reglamento de la Cámara. </w:t>
      </w:r>
    </w:p>
    <w:p w:rsidR="00FA0779" w:rsidRDefault="00FA0779" w:rsidP="00FA0779">
      <w:pPr>
        <w:pStyle w:val="TextoNormal"/>
      </w:pPr>
      <w:r>
        <w:t xml:space="preserve">Se razona en el referido Acuerdo que la Mesa de la Cámara ha venido interpretando y aplicando las previsiones del art. 121.2 del Reglamento como dos actos diferenciados: </w:t>
      </w:r>
      <w:r>
        <w:lastRenderedPageBreak/>
        <w:t xml:space="preserve">Uno, el de la publicación de la proposición de Ley en el «Boletín Oficial de la Asamblea», y, otro, el de su remisión a la Junta de Extremadura, iniciándose el cómputo del plazo de treinta días previsto en el art. 121.3 del Reglamento desde la fecha de entrada en el Registro de la Presidencia de la Junta. de Extremadura del escrito por el que se le comunica la admisión a trámite de la proposición de Ley. En el presente supuesto, tanto si se toma como dies a quo del mencionado plazo el día que tuvo entrada en el registro de la Presidencia de la Junta de Extremadura la comunicación de la admisión a trámite de la proposición de Ley como la fecha de su publicación en el «Boletín Oficial de la Asamblea de Extremadura», la contestación de la Junta de Extremadura oponiéndose a la tramitación de la proposición de Ley se efectuó una vez transcurrido el mismo. </w:t>
      </w:r>
    </w:p>
    <w:p w:rsidR="00FA0779" w:rsidRDefault="00FA0779" w:rsidP="00FA0779">
      <w:pPr>
        <w:pStyle w:val="TextoNormal"/>
      </w:pPr>
      <w:r>
        <w:t xml:space="preserve">c) El Grupo Parlamentario Socialista de la Asamblea de Extremadura, al amparo de art. 27.2 del Reglamento, solicitó a la Mesa de la Cámara la reconsideración sobre la tramitación de la proposición de Ley del Tribunal de Cuentas de Extremadura, con retroacción del procedimiento a la fase de remitir a la Junta de Extremadura, formalmente y con los requisitos legales, la citada proposición de Ley a los efectos de lo establecido en los arts. 61 b) del Estatuto de Autonomía y 121.2 del Reglamento de la Cámara, o, en su defecto, se tuviese por formulado en tiempo y forma el escrito de oposición de la Junta de Extremadura a la tramitación de dicha proposición de Ley. </w:t>
      </w:r>
    </w:p>
    <w:p w:rsidR="00FA0779" w:rsidRDefault="00FA0779" w:rsidP="00FA0779">
      <w:pPr>
        <w:pStyle w:val="TextoNormal"/>
      </w:pPr>
      <w:r>
        <w:t xml:space="preserve">La solicitud de reconsideración se basó, en síntesis, en dos motivos. En primer lugar, en que el escrito dirigido a la Junta de Extremadura se limitaba a comunicarle una serie de acuerdos, entre ellos, el de admisión a trámite por la Mesa de la Cámara de la proposición de Ley, pero sin especificar que la Junta manifestase su criterio o mostrase su conformidad o disconformidad sobre la tramitación de dicha proposición de Ley, con lo que se ha vulnerado abiertamente la necesaria audiencia a la Junta de Extremadura sobre tales extremos, como exigen los arts. 61 b) del Estatuto de Autonomía de Extremadura y 121.2 del Reglamento de la Cámara. En segundo lugar, en que la Junta de Extremadura de oficio, al tener conocimiento de la existencia de la proposición de Ley por su publicación en el «Boletín Oficial de la Asamblea», se opuso a su tramitación, lo que se puso de manifiesto a la Mesa de la Cámara con suficiente antelación como para ser tenido en cuenta a la hora de incluir en el orden del día la proposición de Ley. </w:t>
      </w:r>
    </w:p>
    <w:p w:rsidR="00FA0779" w:rsidRDefault="00FA0779" w:rsidP="00FA0779">
      <w:pPr>
        <w:pStyle w:val="TextoNormal"/>
      </w:pPr>
      <w:r>
        <w:t xml:space="preserve">d) En el orden del día de la sesión plenaria del día 14 de noviembre de 1996 figuró, entre otros asuntos, la adopción de acuerdo respecto de la toma en consideración de la proposición de Ley del Tribunal de Cuentas de Extremadura. </w:t>
      </w:r>
    </w:p>
    <w:p w:rsidR="00FA0779" w:rsidRDefault="00FA0779" w:rsidP="00FA0779">
      <w:pPr>
        <w:pStyle w:val="TextoNormal"/>
      </w:pPr>
      <w:r>
        <w:t xml:space="preserve">El portavoz del Grupo Parlamentario Socialista solicitó que se pospusiera la toma en consideración de la referida proposición de Ley, lo que fue rechazado por la mayoría de la Cámara, por lo que dicho asunto se mantuvo en el orden del día. </w:t>
      </w:r>
    </w:p>
    <w:p w:rsidR="00FA0779" w:rsidRDefault="00FA0779" w:rsidP="00FA0779">
      <w:pPr>
        <w:pStyle w:val="TextoNormal"/>
      </w:pPr>
      <w:r>
        <w:t>e) La Mesa de la Asamblea de Extremadura, en sesión celebrada el 27 de noviembre de 1996, oída la Junta de Portavoces, acordó desestimar la solicitud de reconsideración del Grupo Parlamentario Socialista, ya que «la Junta de Extremadura, de conformidad con el art. 121.2 del Reglamento, manifestó su disconformidad, por implicar un aumento de los créditos presupuestarios, a la tramitación de la proposición de Ley de creación del Tribunal de Cuentas, fuera del plazo previsto en el apartado tercero del artículo citado».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Tras aludirse en la demanda a la legitimación del Grupo Parlamentario para interponer el presente recurso de amparo (STC 81/1991) y a la doctrina constitucional sobre los interna corporis acta, se sostiene en la misma que el Acuerdo de la Mesa de la Asamblea de Extremadura que tuvo por e extemporánea la oposición de la Junta a la tramitación de la proposición de Ley del Tribunal de Cuentas vulnera el art. 23.2 de la C.E., por cuanto, </w:t>
      </w:r>
      <w:r>
        <w:lastRenderedPageBreak/>
        <w:t xml:space="preserve">de un lado, se sustrajo una información fundamental a los Diputados para la toma en consideración o no de dicha proposición de Ley y, por otro, se ignoró la competencia de la Junta de Extremadura de prestar o no su disconformidad a la tramitación parlamentaria de la proposición de Ley, expresamente recogida en el art. 61 b) del Estatuto de Autonomía. </w:t>
      </w:r>
    </w:p>
    <w:p w:rsidR="00FA0779" w:rsidRDefault="00FA0779" w:rsidP="00FA0779">
      <w:pPr>
        <w:pStyle w:val="TextoNormal"/>
      </w:pPr>
      <w:r>
        <w:t xml:space="preserve">El Reglamento de la Asamblea de Extremadura establece la obligación para la Mesa de la Cámara de enviar las proposiciones de Ley que se presenten al ejecutivo para su toma en consideración y para que manifieste su conformidad o disconformidad en relación al posible incremento que implique de los créditos presupuestarios, debiendo dar lectura, antes de iniciarse el debate sobre la toma en consideración, al criterio de la Junta (art. 121). De otra parte, su art. 73 impide que se inicie ningún debate sin la previa distribución de informes, dictámenes o documentación que hayan de servir de base al mismo, salvo acuerdo en contrario de la Mesa de la Asamblea debidamente justificado. Tales derechos y facultades quedan integrados en el status propio de cada cargo y, en consecuencia, cualquier vulneración de los mismos implica una conculcación del art. 23.2 de la C.E., por lo que al haber incumplido la Mesa con su obligación de remitir a la Junta de Extremadura la proposición de Ley y con la posterior inadmisión de su oposición a la tramitación de la misma ha conculcado los derechos integrados tanto en el status del Gobierno de la Comunidad como de los Parlamentarios, quienes no pudieron acceder al contenido de ese acuerdo, ni les fue leído antes del inicio del debate. </w:t>
      </w:r>
    </w:p>
    <w:p w:rsidR="00FA0779" w:rsidRDefault="00FA0779" w:rsidP="00FA0779">
      <w:pPr>
        <w:pStyle w:val="TextoNormal"/>
      </w:pPr>
      <w:r>
        <w:t>La ocultación a los parlamentarios del acuerdo de la Junta de Extremadura por el que se oponía a la tramitación de la proposición de Ley por implicar incremento de los créditos presupuestarios no puede fundarse en su presentación fuera del plazo de treinta días que establece el art. 121.3 del Reglamento, pues la Mesa de la Asamblea nunca concedió expresamente ese trámite a la Junta de Extremadura, por lo que no puede computarse plazo alguno y ésta puede oponerse a la tramitación de la proposición de Ley en cualquier momento.</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La Sección Cuarta de este Tribunal Constitucional, por providencia de 23 de abril de 1997, acordó, de conformidad con lo dispuesto en el art. 50.3 de la LOTC. conceder al demandante de amparo y al Ministerio Fiscal un plazo común de diez días para que formularan alegaciones, con las aportaciones documentales que estimaren procedentes, en relación con la carencia manifiesta de contenido constitucional de la demanda [art. 50.1 c) LOTC]. </w:t>
      </w:r>
    </w:p>
    <w:p w:rsidR="00FA0779" w:rsidRDefault="00FA0779" w:rsidP="00FA0779">
      <w:pPr>
        <w:pStyle w:val="TextoNormal"/>
      </w:pPr>
      <w:r>
        <w:t xml:space="preserve">5, La representación procesal del demandante de amparo evacuó el trámite de alegaciones conferido mediante escrito registrado con fecha 12 de mayo de 1997, en el que solicitó la admisión a trámite del recurso de amparo. </w:t>
      </w:r>
    </w:p>
    <w:p w:rsidR="00FA0779" w:rsidRDefault="00FA0779" w:rsidP="00FA0779">
      <w:pPr>
        <w:pStyle w:val="TextoNormal"/>
      </w:pPr>
      <w:r>
        <w:t xml:space="preserve">Dando por reproducidos los argumentos expuestos en la demanda, manifiesta que su fundamentación radica en la clara vulneración del art. 23.2 de la C.E. como consecuencia de la inadecuada tramitación parlamentaria de la proposición de Ley del Tribunal de Cuentas de Extremadura, pues la actitud de la Asamblea de Extremadura impidió el acceso de los parlamentarios a una información fundamental, cual era la disconformidad del ejecutivo a la tramitación de la proposición de Ley por implicar un incremento de los créditos presupuestarios. El invocado derecho fundamental quedaría absolutamente sin protección de no otorgar este Tribunal el amparo solicitado, toda vez que tratándose de un interna corporis acta sólo cabría el posterior recurso de inconstitucionalidad contra la norma legal aprobada, que no puede ser promovido, de conformidad con el art. 32 de la LOTC, por quienes se han visto dañados como consecuencia de la inadecuada tramitación parlamentaria de la proposición de Ley. </w:t>
      </w:r>
    </w:p>
    <w:p w:rsidR="00FA0779" w:rsidRDefault="00FA0779" w:rsidP="00FA0779">
      <w:pPr>
        <w:pStyle w:val="TextoNormal"/>
      </w:pPr>
      <w:r>
        <w:lastRenderedPageBreak/>
        <w:t xml:space="preserve">En definitiva, los actos que originaron la vulneración del derecho fundamental recogido en el art. 23.2 de la C.E. son los dictados por la Asamblea de Extremadura, de fecha 27 de noviembre de 1996, por el que se rechazó la petición del Grupo Parlamentario Socialista de retrotraer la tramitación de la proposición de Ley del Tribunal de Cuentas para que la Junta de Extremadura manifestase la conformidad o disconformidad con su tramitación, complementado aquél con la negativa del día 14 de noviembre de 1996 a alterar el orden del día de la sesión plenaria en la que se debatió su toma en consideración. Las personas afectadas por las consecuencias de dichos actos son los Diputados de la Asamblea de Extremadura, entre los que se encuentran los miembros del Grupo Parlamentario Socialista, al habérseles impedido el ejercicio de sus funciones de forma adecuada, debido a la obstrucción por parte de la Mesa de la Cámara de que tuvieran acceso a toda la información que debían tener para el correcto ejercicio de sus funciones. </w:t>
      </w:r>
    </w:p>
    <w:p w:rsidR="00FA0779" w:rsidRDefault="00FA0779" w:rsidP="00FA0779">
      <w:pPr>
        <w:pStyle w:val="TextoNormal"/>
      </w:pPr>
      <w:r>
        <w:t xml:space="preserve">Hay una serie de actos parlamentarios que podrían haber impedido la tramitación de la proposición de Ley, en especial el pronunciamiento de la Junta de Extremadura en contra de dicha tramitación por implicar un incremento de los créditos presupuestarios, cuyo conocimiento por parte de los miembros de la Asamblea de Extremadura requiere el Reglamento de la Cámara. De modo que éstos no han podido ejercer el cargo para el que han sido elegidos con plenitud y de acuerdo con los requisitos legalmente exigidos, lo que implica una clara conculcación del derecho fundamental que conlleva su nombramiento. Si la actuación absolutamente arbitraria de la Mesa de la Cámara, infringiendo abiertamente los preceptos legales establecidos y prescindiendo totalmente del procedimiento legislativo, no legitima al Grupo Parlamentario recurrente para recabar el amparo constitucional, cabrá determinar que estamos ante el imperio de la arbitrariedad sin posibilidad de solicitar tutela judicial alguna y dejando de facto sin contenido el ejercicio del cargo representativo de los miembros que integran el Grupo Parlamentario demandante de amparo. </w:t>
      </w:r>
    </w:p>
    <w:p w:rsidR="00FA0779" w:rsidRDefault="00FA0779" w:rsidP="00FA0779">
      <w:pPr>
        <w:pStyle w:val="TextoNormal"/>
      </w:pPr>
      <w:r>
        <w:t xml:space="preserve">6. El Ministerio Fiscal presentó su escrito de alegaciones con fecha 19 de mayo de 1997, en el que solicitó la inadmisión de la demanda de amparo por carecer manifiestamente de contenido constitucional [art. 50.1 c) LOTC]. </w:t>
      </w:r>
    </w:p>
    <w:p w:rsidR="00FA0779" w:rsidRDefault="00FA0779" w:rsidP="00FA0779">
      <w:pPr>
        <w:pStyle w:val="TextoNormal"/>
      </w:pPr>
      <w:r>
        <w:t xml:space="preserve">Ante todo, manifiesta que prima facie nos encontramos ante un claro ejemplo de interna corporis acta, pues la Mesa de la Asamblea de Extremadura ha entendido extemporáneo un escrito de la Junta, justificando su postura a través de una motivación que en absoluto puede tacharse de inexistente ni arbitraria. Sólo si se encontrase comprometido un derecho fundamental, el Tribunal Constitucional resultaría competente para revisar en amparo tal apreciación. </w:t>
      </w:r>
    </w:p>
    <w:p w:rsidR="00FA0779" w:rsidRDefault="00FA0779" w:rsidP="00FA0779">
      <w:pPr>
        <w:pStyle w:val="TextoNormal"/>
      </w:pPr>
      <w:r>
        <w:t xml:space="preserve">Ahora bien, los derechos fundamentales que deben ser esgrimidos en amparo son los propios, esto es, aquéllos cuya titularidad se ostenta por el recurrente. Sin embargo, en el presente supuesto más parece que se intenta defender la postura de la Junta de Extremadura por uno de los Grupos Parlamentarios de la Asamblea, precisamente aquél cuya mayoría sustenta al ejecutivo. Desde esta perspectiva, ni siquiera nos encontramos ante una defensa de libertades públicas ajenas, sino ante la inexistencia de un derecho fundamental que tutelar, pues las personas jurídico-públicas no los ostentan. </w:t>
      </w:r>
    </w:p>
    <w:p w:rsidR="00FA0779" w:rsidRDefault="00FA0779" w:rsidP="00FA0779">
      <w:pPr>
        <w:pStyle w:val="TextoNormal"/>
      </w:pPr>
      <w:r>
        <w:t>Finalmente, no toda irregularidad del procedimiento legislativo supone una quiebra del ius in officium de los parlamentarios, que es lo que tutela el art. 23.2 de la C.E., en conexión con los Reglamentos de las Cámaras. No se aprecia en el caso que nos ocupa una quiebra con trascendencia constitucional y la aparente arrogación de los derechos de todos los parlamentarios en orden al correcto funcionamiento de la Asamblea no es suficiente para basar la titularidad de un derecho fundamental.</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demanda de amparo se dirige contra el Acuerdo de la Mesa de la Asamblea de Extremadura, de 27 de noviembre de 1996, que desestimó la solicitud de reconsideración formulada por el Grupo Parlamentario Socialista contra el anterior Acuerdo, de 5 de noviembre de 1996, que tuvo por extemporánea la disconformidad de la Junta de Extremadura a la tramitación de la proposición de Ley del Tribunal de Cuentas por implicar aumento de los créditos presupuestarios, al haber transcurrido el plazo de treinta días que establece el art. 121.3 del Reglamento de la Cámara. La Mesa argumentó en el Acuerdo cuya reconsideración instó el Grupo Parlamentario demandante de amparo que, tanto si se tomaba como dies a quo del referido plazo la fecha en la que tuvo entrada en el Registro General de la Presidencia de la Junta de Extremadura la comunicación del Acuerdo de admisión a trámite de la citada proposición de Ley como la fecha de su publicación en el «Boletín Oficial de la Asamblea», el escrito de la Junta de Extremadura manifestando la disconformidad a su tramitación por implicar aumento de los créditos presupuestarios había sido remitido a la Cámara tina vez vencido el indicado plazo de treinta días. En la misma razón fundó la Mesa de la Cámara, oída la Junta de Portavoces, la desestimación de la solicitud de reconsideración.</w:t>
      </w:r>
    </w:p>
    <w:p w:rsidR="00FA0779" w:rsidRDefault="00FA0779" w:rsidP="00FA0779">
      <w:pPr>
        <w:pStyle w:val="TextoNormal"/>
      </w:pPr>
      <w:r>
        <w:t>Se invoca en la demanda de amparo frente a la decisión de la Mesa de la Cámara la vulneración del derecho reconocido en el art. 23.2 de la C.E. De un lado, por cuanto con aquella decisión se ha privado a los Diputados de conocer en el debate plenario sobre la toma en consideración de la proposición de Ley la disconformidad de la Junta de Extremadura a su tramitación por implicar incremento de los créditos presupuestarios. De otro lado, porque al no haber cumplimentado debidamente la Mesa de la Cámara, en opinión del Grupo Parlamentario demandante de amparo, el deber de remitir a la Junta la proposición de Ley admitida a trámite para que manifestase la conformidad o disconformidad con su tramitación por implicar aumento de los créditos o disminución de los ingresos presupuestarios, pues se limitó aquélla a comunicar el Acuerdo de admisión de la proposición de Ley sin especificar que la Junta expresase la conformidad o disconformidad presupuestaria a su tramitación, se le ha privado a ésta de la facultad que le confieren los arts.  61 b) del Estatuto de Autonomía y 121.2 del Reglamento de la Cámara, para cuyo ejercicio, al no haber sido cumplimentado debidamente el trámite, no ha de computarse plazo alguno, pudiendo, por consiguiente, la Junta manifestar en cualquier momento la conformidad o disconformidad a la tramitación de la proposición de Ley por implicar aumento de los créditos presupuestarios.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Es reiterada doctrina de este Tribunal que «el derecho fundamental del art.  23.2 es un derecho de configuración legal, como inequívocamente se expresa en el texto de este precepto, función de configuración en la que participan los Reglamentos parlamentarios a los que compete regular y ordenar los derechos y atribuciones que los parlamentarios ostentan; de tal suerte que, una vez conferidos aquéllos por las normas reglamentarias, pasan a formar parte del status propio del cargo parlamentario y sus pretendidas transgresiones pueden ser defendidas ante este Tribunal, al amparo del art. 23.2, y en cuanto contenido del ius in officium que (se considera) ilegítimamente constreñido» (SSTC 161/1988, fundamento jurídico 4; 181/1989, fundamento jurídico 3; 36/1990, fundamento jurídico 2; 205/1990, fundamento jurídico 5; 95/1994, fundamento jurídico 1, y 124/1995, fundamento jurídico 3). Por ello, habremos de examinar en el presente supuesto si, a la luz de los </w:t>
      </w:r>
      <w:r>
        <w:lastRenderedPageBreak/>
        <w:t>preceptos del Reglamento de a Cámara, los integrantes del Grupo Parlamentario recurrente en amparo han sido privados ilegítimamente, como se sostiene en la demanda, de alguna de las facultades o atribuciones que configuran su propio status.</w:t>
      </w:r>
    </w:p>
    <w:p w:rsidR="00FA0779" w:rsidRDefault="00FA0779" w:rsidP="00FA0779">
      <w:pPr>
        <w:pStyle w:val="TextoNormal"/>
      </w:pPr>
      <w:r>
        <w:t>De los referidos preceptos, el primero que resulta relevante en el caso que nos ocupa es el art. 121 del Reglamento de la Asamblea de Extremadura, cuyo apartado 2.º dispone que «ejercitada la iniciativa, la Mesa de la Asamblea ordenará la publicación de la proposición de Ley y su remisión a la Junta de Extremadura para que manifieste su criterio respecto a la toma en consideración, así como su conformidad o no a la tramitación si implicara aumento de los créditos o disminución de los ingresos presupuestarios»; prescribiendo su apartado 3.º que «transcurridos treinta días sin que la Junta de Extremadura hubiere negado expresamente su conformidad a la tramitación, la proposición de Ley quedará en condiciones de ser incluida en el orden del día del Pleno para su toma en consideración», y, finalmente, a los efectos que aquí interesa, su apartado 4.º establece que «antes de iniciar el debate se dará lectura al criterio de la Junta de Extremadura, si lo hubiere».</w:t>
      </w:r>
    </w:p>
    <w:p w:rsidR="00FA0779" w:rsidRDefault="00FA0779" w:rsidP="00FA0779">
      <w:pPr>
        <w:pStyle w:val="TextoNormal"/>
      </w:pPr>
      <w:r>
        <w:t>Por su parte, el art. 73 del Reglamento de la Cámara, que forma parte del capítulo 111 «de los debates» del título IV «de las disposiciones generales de funcionamiento», prevé que «ningún debate podrá comenzar sin la previa distribución, al menos con cuarenta y ocho horas de antelación, del informe, dictamen o documentación que haya de servir de base en el mismo, salvo acuerdo en contrario de la Mesa de la Asamblea o de la Comisión, debidamente justificado».</w:t>
      </w:r>
    </w:p>
    <w:p w:rsidR="00FA0779" w:rsidRDefault="00FA0779" w:rsidP="00FA0779">
      <w:pPr>
        <w:pStyle w:val="TextoNormal"/>
      </w:pPr>
    </w:p>
    <w:p w:rsidR="00FA0779" w:rsidRDefault="00FA0779" w:rsidP="00FA0779">
      <w:pPr>
        <w:pStyle w:val="TextoNormal"/>
      </w:pPr>
      <w:r w:rsidRPr="00FA0779">
        <w:rPr>
          <w:rStyle w:val="NumeroAFNegritaCaracter"/>
        </w:rPr>
        <w:t>3</w:t>
      </w:r>
      <w:r>
        <w:t>. Se sostiene en la demanda de amparo, en primer término, que el Acuerdo de la Mesa de la Cámara de tener por extemporáneo el escrito en el que la Junta de Extremadura manifestaba la disconformidad a la tramitación de la proposición de Ley por implicar incremento de los créditos presupuestarios ha privado a los Diputados de la facultad de conocer en el debate plenario de su toma en consideración la oposición de la Junta a su tramitación por el indicado motivo, al no haberse dado lectura al escrito del ejecutivo antes del inicio del debate, como exige el art. 121.4 del Reglamento, ni haberse distribuido aquel escrito con antelación a la sesión plenaria, como requiere el art. 73 del Reglamento.</w:t>
      </w:r>
    </w:p>
    <w:p w:rsidR="00FA0779" w:rsidRDefault="00FA0779" w:rsidP="00FA0779">
      <w:pPr>
        <w:pStyle w:val="TextoNormal"/>
      </w:pPr>
      <w:r>
        <w:t xml:space="preserve">Esta línea argumental de la demanda de amparo, así como la cita de los preceptos reglamentarios que en relación a la misma se hacen (arts. 121.4 y 73), parte del presupuesto de confundir dos facultades del ejecutivo sustancialmente distintas, aunque su ejercicio pueda revestir formalmente carácter unitario, en la tramitación de las proposiciones de Ley, cuales son: De un lado, la conformidad presupuestaria del Gobierno a su tramitación si implica aumento de los créditos o disminución de los ingresos presupuestarios, y, de otro lado, su criterio respecto a la toma en consideración. La conformidad presupuestaria gubernamental o, al menos, la no disconformidad expresa a la tramitación de la proposición de Ley, plasmada en el art. 61 b) del Estatuto de Autonomía y que encuentra su justificación en la necesidad de que la intervención de la Cámara en el procedimiento legislativo se acomode al «carácter instrumental del presupuesto en relación con la política económica» (STC 27/1981, fundamento jurídico 2.º) es requisito insoslayable para la tramitación de la proposición de Ley, de modo que la expresa disconformidad presupuestaria gubernamental dentro del plazo previsto en el Reglamento se configura como condición de su tramitación e impide la celebración del debate plenario de toma en consideración, según se desprende, a contrario, del art.  121.3 del Reglamento, al señalar que «transcurridos treinta días sin que la Junta de Extremadura hubiera negado expresamente su conformidad a la tramitación de la proposición de Ley, quedará en condiciones de ser incluida en el orden del día del Pleno para su toma en consideración». Sin embargo, a diferencia de la </w:t>
      </w:r>
      <w:r>
        <w:lastRenderedPageBreak/>
        <w:t>conformidad o disconformidad gubernamental por implicar la proposición de Ley aumento de los créditos o disminución de los ingresos presupuestarios, el criterio del ejecutivo respecto a la toma en consideración de la proposición de Ley en modo alguno condiciona su tramitación y la celebración del debate plenario, consintiendo el ejercicio de esta facultad que el Reglamento le confiere en manifestar su postura, por razones de oportunidad, políticas o de otra índole, sobre la propuesta legislativa que va a ser sometida a la consideración de la Cámara.</w:t>
      </w:r>
    </w:p>
    <w:p w:rsidR="00FA0779" w:rsidRDefault="00FA0779" w:rsidP="00FA0779">
      <w:pPr>
        <w:pStyle w:val="TextoNormal"/>
      </w:pPr>
      <w:r>
        <w:t>Una y otra facultad aparecen claramente diferenciadas en el art. 121 del Reglamento de la Cámara. Dado, pues, el distinto alcance que presentan en orden a la tramitación de las proposiciones de Ley, de una parte, la conformidad o disconformidad presupuestaria gubernamental si implicara aumento de los créditos o disminución de los ingresos presupuestarios, y, de otra, su criterio respecto a la toma en consideración, es evidente que el art. 121.4 del Reglamento, al establecer que «antes de iniciar el debate, se dará lectura al criterio de la Junta de Extremadura, si lo hubiere», se está refiriendo al criterio de la Junta de Extremadura respecto a la toma en consideración de la proposición de Ley, como, por lo demás, así resulta también de la utilización del vocablo «criterio» en los apartados 2.º y 4.º del referido art. 121 del Reglamento, y no a la conformidad o disconformidad presupuestaria gubernamental, pues la disconformidad expresa, dentro del plazo indicado reglamentariamente, impide que la proposición de Ley pueda ser incluida en el orden del día del Pleno para su toma en consideración, en tanto que su inclusión en el orden del día y la celebración del debate plenario de toma en consideración implican que la Junta de Extremadura, al menos, no ha denegado expresamente o no lo ha hecho dentro de plazo su conformidad presupuestaria a la tramitación de la proposición de Ley. De modo que, aun en la hipótesis de que del art. 121.4 del Reglamento de la Cámara derivase alguna atribución o facultad para sus miembros, los Diputados que forman parte del Grupo Parlamentario recurrente en amparo en el presente supuesto no habrían sido privados de la misma, dado que a lo que hay que dar lectura antes de iniciarse el debate plenario de toma en consideración es al criterio de la Junta de Extremadura respecto a la toma en consideración de la proposición de Ley y no a la conformidad 0 disconformidad presupuestaria gubernamental a su tramitación por implicar aumento de los créditos o disminución de los ingresos presupuestarios.</w:t>
      </w:r>
    </w:p>
    <w:p w:rsidR="00FA0779" w:rsidRDefault="00FA0779" w:rsidP="00FA0779">
      <w:pPr>
        <w:pStyle w:val="TextoNormal"/>
      </w:pPr>
      <w:r>
        <w:t>Tampoco han resultado privados de la facultad que infieren del art. 73 del Reglamento de la Cámara. Los informes, dictámenes o documentación a los que se refiere el mencionado art. 73 son a aquellos «que han de servir de base» en el debate, no constituyendo objeto del debate en Pleno de torna en consideración de las proposiciones de Ley la conformidad o disconformidad presupuestaria gubernamental.</w:t>
      </w:r>
    </w:p>
    <w:p w:rsidR="00FA0779" w:rsidRDefault="00FA0779" w:rsidP="00FA0779">
      <w:pPr>
        <w:pStyle w:val="TextoNormal"/>
      </w:pPr>
    </w:p>
    <w:p w:rsidR="00FA0779" w:rsidRDefault="00FA0779" w:rsidP="00FA0779">
      <w:pPr>
        <w:pStyle w:val="TextoNormal"/>
      </w:pPr>
      <w:r w:rsidRPr="00FA0779">
        <w:rPr>
          <w:rStyle w:val="NumeroAFNegritaCaracter"/>
        </w:rPr>
        <w:t>4</w:t>
      </w:r>
      <w:r>
        <w:t>. Aun de admitirse el planteamiento que se efectúa en la demanda de amparo, esto es, que antes del inicio del debate sobre la toma en consideración debe darse lectura al escrito en el que la Junta de Extremadura manifieste expresamente su conformidad o disconformidad presupuestaria con la tramitación de la proposición de Ley (art. 121.4 del Reglamento), así como que debe de distribuirse el mismo con antelación a la sesión (art. 73 del Reglamento), tampoco puede estimarse en el presente supuesto que los miembros del Grupo Parlamentario recurrente hayan sido ilegítimamente privados de facultad alguna propia de su status, con la consiguiente vulneración del art. 23.2 de la C.E.  En efecto, es obvio que la lectura y, en su caso, distribución de aquel escrito únicamente resulta procedente si cumplimenta los requisitos reglamentariamente previstos, cuyo incumplimiento en este caso, como se razona en los acuerdos impugnados, apreció la Mesa de la Asam</w:t>
      </w:r>
      <w:r>
        <w:lastRenderedPageBreak/>
        <w:t>blea, en el ejercicio de la facultad de declarar la admisibilidad o inadmisibilidad de los escritos de índole parlamentaria que le confiere el Reglamento de la Cámara (art.  27.1.5.º), de acuerdo con lo dispuesto en su art. 121.3, que establece un plazo de treinta días para que la Junta de Extremadura manifieste expresamente su disconformidad a la tramitación de la proposición de Ley.</w:t>
      </w:r>
    </w:p>
    <w:p w:rsidR="00FA0779" w:rsidRDefault="00FA0779" w:rsidP="00FA0779">
      <w:pPr>
        <w:pStyle w:val="TextoNormal"/>
      </w:pPr>
      <w:r>
        <w:t>En la demanda de amparo no se cuestiona en ningún momento el plazo que el art.  121.3 del Reglamento de la Cámara confiere a la Junta de Extremadura para que manifieste expresamente su disconformidad presupuestaria a la tramitación de las proposiciones de Ley, si bien el Grupo Parlamentario recurrente entiende que en este concreto supuesto no debió de computarse plazo alguno, ya que la Mesa de la Asamblea no había cumplimentado debidamente el deber de remitir a la Junta de Extremadura la proposición de Ley admitida a trámite, pues se limitó a comunicar el acuerdo de admisión, sin precisar que la remisión se hacía a los efectos de que la Junta de Extremadura manifestase su conformidad o no a la tramitación de la proposición de Ley si implicara aumento de los créditos o disminución de los ingresos presupuestarios. Se viene, pues, a denunciar con ello una infracción por la Mesa de la Asamblea del art. 121.2 del Reglamento de la Cámara en la remisión que hizo a la Junta de Extremadura de la proposición de Ley, de la que se pretende hacer derivar, como consecuencia de la posterior declaración de extemporaneidad del escrito de la Junta de Extremadura, una ilegítima restricción de la facultad de los Diputados de conocer la expresa disconformidad presupuestaria de la Junta de Extremadura a la tramitación de la proposición de Ley, lo que revela que lo que realmente se pretende con el recurso de amparo es la salvaguarda de facultad gubernamental de manifestar su conformidad o disconformidad con la tramitación de las proposiciones de Ley si implican aumento de los créditos o disminución de los ingresos presupuestarios.</w:t>
      </w:r>
    </w:p>
    <w:p w:rsidR="00FA0779" w:rsidRDefault="00FA0779" w:rsidP="00FA0779">
      <w:pPr>
        <w:pStyle w:val="TextoNormal"/>
      </w:pPr>
      <w:r>
        <w:t>Sin necesidad de entrar en otro tipo de consideraciones, basta para rechazar en este extremo la argumentación de la demanda de amparo con tener en cuenta que, de un lado, la remisión a la Junta de Extremadura del acuerdo de admisión a trámite de la proposición de Ley no tiene otro objeto o finalidad que el de que aquélla manifieste su criterio respecto a la toma en consideración, así como su disconformidad o no a la tramitación si implicara aumento de los créditos o disminución de los ingresos presupuestarios (art. 121.2 del Reglamento) y, de otro, que ningún precepto del Reglamento de la Cámara impone a la Mesa de la Asamblea que especifique o precise en el acto de comunicación a qué efectos se hace la remisión, los cuales vienen expresamente señalados en el citado precepto reglamentario.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En el supuesto, aún más favorable para la tesis del Grupo Parlamentario recurrente en amparo, de apreciarse, lo que no sucede, alguna infracción del Reglamento de la Cámara por la Mesa de la Asamblea, tampoco habría existido una lesión material del art. 23.2 de la C.E., sino una mera infracción reglamentaria constitucionalmente irrelevante, pues, como permite comprobar la documentación que se adjunta a la demanda de amparo, la parte actora tuvo conocimiento de la disconformidad presupuestaria de la Junta de Extremadura a la tramitación de la proposición de Ley. Así lo revela, de un lado, el escrito de solicitud de reconsideración del Acuerdo de la Mesa de la Asamblea, de 5 de noviembre de 1996, por el que se tiene por presentada fuera de plazo la oposición de la Junta de Extremadura a la tramitación de la proposición de Ley, y, de otro, la intervención del Portavoz del Grupo Parlamentario demandante en la sesión plenaria en cuyo orden del día figuraba la toma en consideración de la proposición de Ley, en la que solicitó que se pospusiera dicho asunto «en función de que hay presentado por nuestro Grupo Parlamentario un recurso ante la </w:t>
      </w:r>
      <w:r>
        <w:lastRenderedPageBreak/>
        <w:t>Mesa sobre esta cuestión, en función de que la Junta de Extremadura no está de acuerdo con que se haya tramitado la proposición porque implica un gasto presupuestario».</w:t>
      </w:r>
    </w:p>
    <w:p w:rsidR="00FA0779" w:rsidRDefault="00FA0779" w:rsidP="00FA0779">
      <w:pPr>
        <w:pStyle w:val="TextoNormal"/>
      </w:pPr>
    </w:p>
    <w:p w:rsidR="00FA0779" w:rsidRDefault="00FA0779" w:rsidP="00FA0779">
      <w:pPr>
        <w:pStyle w:val="TextoNormal"/>
      </w:pPr>
      <w:r w:rsidRPr="00FA0779">
        <w:rPr>
          <w:rStyle w:val="NumeroAFNegritaCaracter"/>
        </w:rPr>
        <w:t>6</w:t>
      </w:r>
      <w:r>
        <w:t>. Se aduce también en la demanda, con invocación del art. 23.2 de la C.E., que el Acuerdo de la Mesa de la Asamblea de tener por extemporánea el escrito de la Junta de Extremadura en el que manifiesta su disconformidad con la proposición de Ley ha privado a ésta de la facultad que le confieren los arts.  61 b) del Estatuto de Autonomía y 122 del Reglamento de la Cámara, para cuyo ejercicio, al no haber sido cumplimentado debidamente por la Mesa el trámite de remisión, no ha de computarse plazo alguno. Mas, sin necesidad de reiterar lo señalado antes al respecto, no puede prosperar en este extremo la demanda de amparo, pues la facultad de conformidad presupuestaria a la tramitación de proposiciones de Ley por implicar aumento de los créditos o disminución de los ingresos presupuestarios corresponde exclusivamente al ejecutivo, en este caso, a la Junta de Extremadura, y la misma no forma parte, por lo tanto, del status de los Diputados del Grupo Parlamentario recurrente,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Sección acuerda la inadmisión de la demanda de amparo, por carecer manifiestamente de contenido constitucional [art. 50.1 e) LOTC], y el archivo de las actuaciones.</w:t>
      </w:r>
    </w:p>
    <w:p w:rsidR="00FA0779" w:rsidRDefault="00FA0779" w:rsidP="00FA0779">
      <w:pPr>
        <w:pStyle w:val="TextoNormal"/>
      </w:pPr>
    </w:p>
    <w:p w:rsidR="00FA0779" w:rsidRDefault="00FA0779" w:rsidP="00FA0779">
      <w:pPr>
        <w:pStyle w:val="TextoNormal"/>
      </w:pPr>
      <w:r>
        <w:t>Madrid, a veinticinco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4" w:name="AUTO_1997_241"/>
      <w:r>
        <w:lastRenderedPageBreak/>
        <w:t>AUTO 241/1997, de 25 de junio de 1997</w:t>
      </w:r>
    </w:p>
    <w:bookmarkEnd w:id="174"/>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ECLI:ES:TC:1997:241A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en el recurso de amparo 1.335/1997, promovido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5" w:name="AUTO_1997_242"/>
      <w:r>
        <w:lastRenderedPageBreak/>
        <w:t>AUTO 242/1997, de 30 de junio de 1997</w:t>
      </w:r>
    </w:p>
    <w:bookmarkEnd w:id="175"/>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ECLI:ES:TC:1997:242A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haber lugar al desistimiento del actor en el recurso de amparo 3.465/1994.</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6" w:name="AUTO_1997_243"/>
      <w:r>
        <w:lastRenderedPageBreak/>
        <w:t>AUTO 243/1997, de 30 de junio de 1997</w:t>
      </w:r>
    </w:p>
    <w:bookmarkEnd w:id="176"/>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ECLI:ES:TC:1997:243A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en el recurso de amparo 1.241/1995, promovido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7" w:name="AUTO_1997_244"/>
      <w:r>
        <w:lastRenderedPageBreak/>
        <w:t>AUTO 244/1997, de 30 de junio de 1997</w:t>
      </w:r>
    </w:p>
    <w:bookmarkEnd w:id="177"/>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ECLI:ES:TC:1997:244A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Desestimando recurso de súplica contra providencia de 29 de abril de 1997, dictada en el recurso de amparo 1.882/1995.</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Mediante escrito que tuvo entrada en el Registro de este Tribunal con fecha 16 de septiembre de 1996, la representación del recurrente formuló solicitud para que -entre otros extremos ahora irrelevantes-, y con fundamento en el art. 88.1 LOTC, dadas las especiales características del caso tal y como se deduce a su juicio de varias de las expresiones empleadas en las resoluciones impugnadas, se oficiara al Excmo. Sr. Presidente del Gobierno para que por todos los organismos oficiales que corresponda sean aportados a los autos «todos y cada uno de los documentos e informes que, declarados secretos o no, incluso aunque se entendiera podían afectar a la seguridad del Estado, indicaran datos de cualquier tipo» sobre los hechos que dieron lugar al proceso seguido en la Audiencia Provincial de Bilbao; o subsidiariamente, a la vista de tales documentos, se certifique que el recurrente no fue una de las personas que en el día de los hechos acudieron a la consulta del Dr. Brouard. </w:t>
      </w:r>
    </w:p>
    <w:p w:rsidR="00FA0779" w:rsidRDefault="00FA0779" w:rsidP="00FA0779">
      <w:pPr>
        <w:pStyle w:val="TextoNormal"/>
      </w:pPr>
      <w:r>
        <w:t>Asimismo se solicita en dicho escrito, al amparo del art. 89 LOTC, el recibimiento del pleito a prueba, consistente en «la obtención de los documentos relativos al caso Brouard, que obran en distintos expedientes judiciales seguidos en el Juzgado Central de Instrucción núm. 5 principalmente, y declaraciones en TV y otros medios de difusión sobre dicho asunto, de don José Amedo Fouce».</w:t>
      </w:r>
    </w:p>
    <w:p w:rsidR="00FA0779" w:rsidRDefault="00FA0779" w:rsidP="00FA0779">
      <w:pPr>
        <w:pStyle w:val="TextoNormal"/>
      </w:pPr>
    </w:p>
    <w:p w:rsidR="00FA0779" w:rsidRDefault="00FA0779" w:rsidP="00FA0779">
      <w:pPr>
        <w:pStyle w:val="TextoNormal"/>
      </w:pPr>
      <w:r w:rsidRPr="00FA0779">
        <w:rPr>
          <w:rStyle w:val="NumeroAFNegritaCaracter"/>
        </w:rPr>
        <w:t>2</w:t>
      </w:r>
      <w:r>
        <w:t>. Por providencia de la Sección Tercera de 18 de noviembre de 1996, se acordó, en cuanto a dichas solicitudes, resolver sobre las mismas una vez fueran recibidas las diversas actuaciones judiciales con esa misma fecha solicitadas.</w:t>
      </w:r>
    </w:p>
    <w:p w:rsidR="00FA0779" w:rsidRDefault="00FA0779" w:rsidP="00FA0779">
      <w:pPr>
        <w:pStyle w:val="TextoNormal"/>
      </w:pPr>
    </w:p>
    <w:p w:rsidR="00FA0779" w:rsidRDefault="00FA0779" w:rsidP="00FA0779">
      <w:pPr>
        <w:pStyle w:val="TextoNormal"/>
      </w:pPr>
      <w:r w:rsidRPr="00FA0779">
        <w:rPr>
          <w:rStyle w:val="NumeroAFNegritaCaracter"/>
        </w:rPr>
        <w:t>3</w:t>
      </w:r>
      <w:r>
        <w:t>. Recaída ulteriormente providencia de 29 de abril de 1997 -relativa a otros extremos de la causa-, en la que ninguna alusión se hacía a las mencionadas solicitudes, por la representación del recurrente se interpone frente a la misma recurso de suplica, mediante escrito de fecha 8 de mayo, fundado en la falta de respuesta a las referidas solicitudes y por entender necesario el pronunciamiento por la Sala sobre la pertinencia y práctica de la prueba interesada antes de que se conceda término para instruirse en Secretaría las partes, pues de lo contrario se seguiría evidente indefensión para esa parte.</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19 de mayo de 1997, la Sala Segunda del Tribunal acordó tener por interpuesto recurso de súplica contra la providencia de 29 de abril anterior, concediendo al resto de las partes personadas y al Ministerio Fiscal plazo común de tres días para que presentaran cuantas alegaciones estimasen oportunas sobre el mismo.</w:t>
      </w:r>
    </w:p>
    <w:p w:rsidR="00FA0779" w:rsidRDefault="00FA0779" w:rsidP="00FA0779">
      <w:pPr>
        <w:pStyle w:val="TextoNormal"/>
      </w:pPr>
    </w:p>
    <w:p w:rsidR="00FA0779" w:rsidRDefault="00FA0779" w:rsidP="00FA0779">
      <w:pPr>
        <w:pStyle w:val="TextoNormal"/>
      </w:pPr>
      <w:r w:rsidRPr="00FA0779">
        <w:rPr>
          <w:rStyle w:val="NumeroAFNegritaCaracter"/>
        </w:rPr>
        <w:t>5</w:t>
      </w:r>
      <w:r>
        <w:t>. Con fecha 23 de mayo siguiente tienen entrada las alegaciones de la representación de doña Teresa Aldamiz Mendiguren, para oponerse al recurso interpuesto por cuanto, a la vista de las actuaciones judiciales remitidas tras la providencia de 18 de noviembre anterior, entiende del todo punto innecesaria la práctica de las de adverso solicitadas, por no interesar al presente recurso.</w:t>
      </w:r>
    </w:p>
    <w:p w:rsidR="00FA0779" w:rsidRDefault="00FA0779" w:rsidP="00FA0779">
      <w:pPr>
        <w:pStyle w:val="TextoNormal"/>
      </w:pPr>
    </w:p>
    <w:p w:rsidR="00FA0779" w:rsidRDefault="00FA0779" w:rsidP="00FA0779">
      <w:pPr>
        <w:pStyle w:val="TextoNormal"/>
      </w:pPr>
      <w:r w:rsidRPr="00FA0779">
        <w:rPr>
          <w:rStyle w:val="NumeroAFNegritaCaracter"/>
        </w:rPr>
        <w:t>6</w:t>
      </w:r>
      <w:r>
        <w:t>. El 30 de mayo siguiente tuvieron acceso al Registro de este Tribunal las del Fiscal, en las que se viene a afirmar que, en realidad, objeto del recurso de súplica no es tanto lo afirmado en la providencia recurrida cuanto lo que en ella no se dice. Entiende asimismo el Fiscal que no ha existido resolución alguna del Tribunal en cuanto a la recepción a prueba, limitándose hasta ahora a consultar a las partes acerca de los extremos sobre los que resulta necesaria la proyección de las cintas de vídeo que obran en las actuaciones, y siendo ulteriormente, una vez concretados esos extremos, cuando deberá la Sala pronunciarse acerca de las pruebas solicitadas y sus eventuales circunstancias. Por ello entiende carente de fundamento el presente recurso de súplica, por cuanto la falta de pronunciamiento hasta ahora sobre tales solicitudes no implica la omisión futura del mismo. Asimismo afirma por último el Fiscal que dudar de que vaya a producirse ulteriormente indefensión carece de sentido para el representante del Ministerio Público. Por todo ello concluye solicitando la desestimación del presente recurso.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Lleva razón el representante del Ministerio Público cuando afirma que el recurso de súplica planteado no puede tener por objeto la providencia de 29 de abril anterior, por cuanto nada en ella hace referencia, ni siquiera implícita, a las solicitudes contenidas en el anterior escrito de 16 de septiembre de 1996, y sobre las que el anterior proveído de 18 de noviembre ulterior acordó resolver una vez recibidas las actuaciones judiciales -incluidas las grabaciones en vídeo del juicio oral- por esa misma providencia requeridas.</w:t>
      </w:r>
    </w:p>
    <w:p w:rsidR="00FA0779" w:rsidRDefault="00FA0779" w:rsidP="00FA0779">
      <w:pPr>
        <w:pStyle w:val="TextoNormal"/>
      </w:pPr>
      <w:r>
        <w:t>Basta esta evidencia para considerar sin objeto posible, y por tanto desestimar, la súplica formulada.</w:t>
      </w:r>
    </w:p>
    <w:p w:rsidR="00FA0779" w:rsidRDefault="00FA0779" w:rsidP="00FA0779">
      <w:pPr>
        <w:pStyle w:val="TextoNormal"/>
      </w:pPr>
    </w:p>
    <w:p w:rsidR="00FA0779" w:rsidRDefault="00FA0779" w:rsidP="00FA0779">
      <w:pPr>
        <w:pStyle w:val="TextoNormal"/>
      </w:pPr>
      <w:r w:rsidRPr="00FA0779">
        <w:rPr>
          <w:rStyle w:val="NumeroAFNegritaCaracter"/>
        </w:rPr>
        <w:t>2</w:t>
      </w:r>
      <w:r>
        <w:t>. Ahora bien, resuelto de esta forma el incidente, nada impide a esta Sala, por evidentes razones de economía procesal y una vez las partes personadas y el Fiscal han tenido oportunidad de pronunciarse sobre las mencionadas solicitudes, resolver ahora sobre la procedencia de darles curso o no, una vez recibidas cuantas actuaciones judiciales fueron previamente solicitadas por las partes.</w:t>
      </w:r>
    </w:p>
    <w:p w:rsidR="00FA0779" w:rsidRDefault="00FA0779" w:rsidP="00FA0779">
      <w:pPr>
        <w:pStyle w:val="TextoNormal"/>
      </w:pPr>
      <w:r>
        <w:t>Tal resolución debe ir precedida de la consideración, común a ambas solicitudes, de que el recurso de amparo no tiene más alcance que el de reparar eventuales vulneraciones de derechos fundamentales (STC 114/1995, fundamento jurídico 2.`, por todas), y más concretamente, cuando de amparo frente a resoluciones judiciales se trata, de reparar in</w:t>
      </w:r>
      <w:r>
        <w:lastRenderedPageBreak/>
        <w:t>fracciones de los derechos y libertades susceptibles de este recurso directa e inmediatamente imputables a los actos u omisiones de un órgano judicial (art. 44.1 LOTC). Tal labor, específicamente, sólo puede tener un carácter revisor de cuanto fuera actuado por dichos órganos judiciales y ante ellos previamente sostenido, invocado y, en su caso, recurrido, hasta agotar la vía judicial ordinaria y previa al recurso de amparo. Y ello por cuanto, tal y como aparece regulado en nuestra Ley Orgánica y hemos reiteradísimamente afirmado, el recurso de amparo es medio estrictamente subsidiario de reparación de tales eventuales vulneraciones.</w:t>
      </w:r>
    </w:p>
    <w:p w:rsidR="00FA0779" w:rsidRDefault="00FA0779" w:rsidP="00FA0779">
      <w:pPr>
        <w:pStyle w:val="TextoNormal"/>
      </w:pPr>
      <w:r>
        <w:t>Asimismo, y por elemental que resulte recordarlo, también tiene vedado este Tribunal el conocimiento en sentido técnico-procesal, de los hechos que dieron lugar al proceso [art. 44.1 b) LOTC], por no constituir este Tribunal instancia de apelación alguna, y menos una imposible tercera instancia judicial.</w:t>
      </w:r>
    </w:p>
    <w:p w:rsidR="00FA0779" w:rsidRDefault="00FA0779" w:rsidP="00FA0779">
      <w:pPr>
        <w:pStyle w:val="TextoNormal"/>
      </w:pPr>
    </w:p>
    <w:p w:rsidR="00FA0779" w:rsidRDefault="00FA0779" w:rsidP="00FA0779">
      <w:pPr>
        <w:pStyle w:val="TextoNormal"/>
      </w:pPr>
      <w:r w:rsidRPr="00FA0779">
        <w:rPr>
          <w:rStyle w:val="NumeroAFNegritaCaracter"/>
        </w:rPr>
        <w:t>3</w:t>
      </w:r>
      <w:r>
        <w:t>. Todo ello tiene relevancia por cuanto el carácter de la documentación solicitada y las altamente inconcretas pruebas propuestas por la defensa del recurrente resultan, según lo anterior, completamente extrañas al contenido de la pretensión de amparo ante nosotros formulada. En efecto, pese a la notable extensión de los motivos en que se sustenta la demanda de amparo, ninguno de ellos hace referencia, siquiera velada, a que las resoluciones judiciales impugnadas de alguna forma pudieran haber tenido presente los elementos probatorios cuya procedencia ahora, y sólo ahora, se mantiene. De existir nuevos y decisivos elementos de prueba, la forma adecuada de hacerlos valer será la prevista en los arts. 954 y siguientes de la Ley de Enjuiciamiento Criminal, como fundamento de una eventual revisión de la condena impuesta.  Pero su planteamiento ex novo ante este Tribunal, sin que previamente se agoten las instancias procesales pertinentes, supondría una evidente contravención del principio de subsidiariedad que informa la totalidad del presente proceso constitucional.</w:t>
      </w:r>
    </w:p>
    <w:p w:rsidR="00FA0779" w:rsidRDefault="00FA0779" w:rsidP="00FA0779">
      <w:pPr>
        <w:pStyle w:val="TextoNormal"/>
      </w:pPr>
      <w:r>
        <w:t>Tal y como ha quedado configurado este proceso con los numerosos motivos que sustentan la demanda, la admisión de la práctica de pruebas completamente extrañas a dichos motivos, o el requerimiento de informaciones que sólo ahora se pretenden relevantes, sin que sea dable tampoco esperar incidencia alguna en la resolución de tales motivos, supondría una paralela desnaturalización del recurso de amparo constitucional, que en modo alguno puede servir para que en su propio seno se sustancien cualesquiera pretensiones, sino sólo aquéllas destinadas a obtener el amparo, en este caso frente a los órganos judiciales, y previamente invocadas formalmente ante los mismos.</w:t>
      </w:r>
    </w:p>
    <w:p w:rsidR="00FA0779" w:rsidRDefault="00FA0779" w:rsidP="00FA0779">
      <w:pPr>
        <w:pStyle w:val="TextoNormal"/>
      </w:pPr>
    </w:p>
    <w:p w:rsidR="00FA0779" w:rsidRDefault="00FA0779" w:rsidP="00FA0779">
      <w:pPr>
        <w:pStyle w:val="TextoNormal"/>
      </w:pPr>
      <w:r w:rsidRPr="00FA0779">
        <w:rPr>
          <w:rStyle w:val="NumeroAFNegritaCaracter"/>
        </w:rPr>
        <w:t>4</w:t>
      </w:r>
      <w:r>
        <w:t>. Particularmente clara resulta la improcedencia de la primera de las solicitudes formuladas, por cuanto la mera dicción literal del art. 88.1 LOTC despeja cualquier duda en cuanto a qué tipo de expediente, informe o documento puede ser recabado de los poderes públicos en uso de la facultad allí conferida. Por muy extensiva que pueda ser la interpretación de tal facultad (ATC 221/1984), tal documentación deberá referirse a la disposición o acto origen del proceso constitucional, cualidad imposible de referir a la documentación o certificados solicitados por el recurrente cuando origen de este proceso de amparo no es otro que el sumario 101/84 y sus ulteriores etapas procesales, todas ellas obrantes en el presente recurso y a entera disposición de las partes personadas y el Fiscal.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En virtud de todo lo expuesto, la Sala acuerda desestimar el recurso de súplica, así como igualmente desestimar las solicitudes de hacer uso de las facultades previstas en los arts. 88.1 y 89.1 LOTC, formuladas por la representación del recurrente.</w:t>
      </w:r>
    </w:p>
    <w:p w:rsidR="00FA0779" w:rsidRDefault="00FA0779" w:rsidP="00FA0779">
      <w:pPr>
        <w:pStyle w:val="TextoNormal"/>
      </w:pPr>
    </w:p>
    <w:p w:rsidR="00FA0779" w:rsidRDefault="00FA0779" w:rsidP="00FA0779">
      <w:pPr>
        <w:pStyle w:val="TextoNormal"/>
      </w:pPr>
      <w:r>
        <w:t>Madrid, a treinta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8" w:name="AUTO_1997_245"/>
      <w:r>
        <w:lastRenderedPageBreak/>
        <w:t>AUTO 245/1997, de 30 de junio de 1997</w:t>
      </w:r>
    </w:p>
    <w:bookmarkEnd w:id="178"/>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ECLI:ES:TC:1997:245A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en el recurso de amparo 3.888/1995, promovido en pleito civil.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79" w:name="AUTO_1997_246"/>
      <w:r>
        <w:lastRenderedPageBreak/>
        <w:t>AUTO 246/1997, de 30 de junio de 1997</w:t>
      </w:r>
    </w:p>
    <w:bookmarkEnd w:id="179"/>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ECLI:ES:TC:1997:246A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inadmisión a trámite del recurso de amparo 435/1996.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el Juzgado de Guardia el día 2 de febrero de 1996, registrado en este Tribunal el día 5 de febrero, el Procurador de los Tribunales don Gabriel de Diego Quevedo interpone, en nombre y representación de don Ignacio Suárez Palacio, recurso de amparo contra el Auto de 29 de noviembre de 1995 de la Sala Segunda del Tribunal Supremo, que inadmitió el recurso de casación interpuesto por el hoy demandante contra la Sentencia de 27 de mayo de 1995 de la Sección Segunda de la Audiencia Provincial de Oviedo.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de amparo se basa, en síntesis, en los siguientes hechos: </w:t>
      </w:r>
    </w:p>
    <w:p w:rsidR="00FA0779" w:rsidRDefault="00FA0779" w:rsidP="00FA0779">
      <w:pPr>
        <w:pStyle w:val="TextoNormal"/>
      </w:pPr>
      <w:r>
        <w:t xml:space="preserve">A) El hoy recurrente fue condenado, por Sentencia de 27 de mayo de 1995 de la Sección Segunda de la Audiencia Provincial de Oviedo, como autor de un delito contra la salud pública a las penas de dos años, cuatro meses y un día de prisión menor y de multa de 1.000.000 de pesetas, con arresto sustitutorio de 100 días en caso de impago, y al abono de las costas procesales. En la declaración de hechos probados la Sala hace contar, en síntesis, que el acusado fue detenido a raíz de una denuncia de familiares suyos en la que se le imputaba la dedicación a la venta de estupefacientes, y que en un registro policial «plenamente consentido» del domicilio que compartía el acusado con su padre se le ocupó 0,55 gramos de heroína y una serie de recortes de papel preparados para la confección de dosis de dicha sustancia. </w:t>
      </w:r>
    </w:p>
    <w:p w:rsidR="00FA0779" w:rsidRDefault="00FA0779" w:rsidP="00FA0779">
      <w:pPr>
        <w:pStyle w:val="TextoNormal"/>
      </w:pPr>
      <w:r>
        <w:t>B) Contra dicha Sentencia interpuso el condenado recurso de casación ante la Sala Segunda del Tribunal Supremo (recurso núm. 2.069/95), alegando, como motivos del recurso, entre otros, la infracción de los derechos constitucionales a la presunción de inocencia y a la inviolabilidad del domicilio. Por Auto de 29 de noviembre de 1995, el Tribunal Supremo inadmitió el recurso rechazando la existencia de las infracciones constitucionales aducidas.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representación del recurrente considera que las Sentencias impugnadas vulneran los derechos a la presunción de inocencia (art. 24.2 C.E.) y a la inviolabilidad del domicilio (art. 18.2 C.E.). En primer término, por lo que se refiere a la aducida infracción del derecho a la presunción de inocencia, en la demanda se alega que el recurrente ha sido condenado por delito de tráfico de drogas a pesar de no existir prueba alguna que acredite </w:t>
      </w:r>
      <w:r>
        <w:lastRenderedPageBreak/>
        <w:t xml:space="preserve">que la pequeña cantidad de droga que se le ocupó -0,55 gramos de heroína- estaba preordenada al tráfico, pues no hay testimonio directo alguno al respecto y, en cambio, sí consta que el recurrente era adicto a la heroína, por lo que cabe presumir que la droga la tenía para el autoconsumo. </w:t>
      </w:r>
    </w:p>
    <w:p w:rsidR="00FA0779" w:rsidRDefault="00FA0779" w:rsidP="00FA0779">
      <w:pPr>
        <w:pStyle w:val="TextoNormal"/>
      </w:pPr>
      <w:r>
        <w:t xml:space="preserve">En segundo término, alega que también ha existido infracción del derecho a la inviolabilidad del domicilio del art. 18.2 C.E., pues el registro policial se llevó a cabo sin el necesario mandamiento judicial y en modo alguno ha quedado acreditado el consentimiento del padre del hoy recurrente, como titular de la vivienda, para ello. En este sentido, además, considera que el consentimiento del padre no es suficiente para practicar el registro en la dependencia-habitación del hoy recurrente, lugar para el que era preciso, en todo caso, el consentimiento personal y expreso del recurrente. </w:t>
      </w:r>
    </w:p>
    <w:p w:rsidR="00FA0779" w:rsidRDefault="00FA0779" w:rsidP="00FA0779">
      <w:pPr>
        <w:pStyle w:val="TextoNormal"/>
      </w:pPr>
      <w:r>
        <w:t>En atención a lo expuesto, solicita de este Tribunal que otorgue el amparo y anule las Sentencias impugnadas. Por «otrosí» pide que se acuerde la suspensión de la ejecución de la condena.</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3 de marzo de 1997, la Sección Segunda (Sala Primera) acuerda, a tenor de lo dispuesto en el art. 50.3 de la Ley Orgánica del Tribunal Constitucional (LOTC), conceder un plazo común de diez días al Ministerio Fiscal y al solicitante de amparo para que, dentro de dicho término, aleguen lo que estimen pertinente en relación con la posible existencia de los siguientes motivos de inadmisión: carecer la demanda manifiestamente de contenido que justifique una decisión sobre el fondo por parte de este Tribunal Constitucional [art. 50.1 c) de la LOTC] y falta de invocación en el proceso ordinario del derecho constitucional que se estima vulnerado [art. 50.1 a) en relación con el 44.1 e) de la LOTC].</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En su escrito de alegaciones, presentado el 20 de marzo de 1997, el Ministerio Fiscal interesa que se dicte Auto de inadmisión del recurso, por concurrir las causas de inadmisión puestas de manifiesto. En primer término, por lo que se refiere a la aducida infracción del derecho a la inviolabilidad del domicilio, considera que, aparte de que la queja carece de fundamento por la existencia de autorización expresa del titular de la vivienda, concurre el motivo de inadmisión consistente en la falta de alegación formal de la infracción constitucional ante los Tribunales ordinarios tan pronto como hubiera sido conocida por el afectado y hubiera lugar para ello. Al respecto alega que la presunta infracción del art. 18.2 C.E. se tenía que haber puesto de manifiesto ante el órgano judicial inmediatamente después de haber sido conocida, cosa que no hizo el recurrente, quien nada alegó en la instancia ante la Audiencia, como pone de manifiesto el hecho de que en la Sentencia de la Audiencia no se hace ninguna referencia, sin que el silencio del juzgador haya provocado reclamación alguna del hoy recurrente. </w:t>
      </w:r>
    </w:p>
    <w:p w:rsidR="00FA0779" w:rsidRDefault="00FA0779" w:rsidP="00FA0779">
      <w:pPr>
        <w:pStyle w:val="TextoNormal"/>
      </w:pPr>
      <w:r>
        <w:t xml:space="preserve">En segundo término, estima que carece de todo fundamento la alegada infracción del derecho a la presunción de inocencia, pues el juzgador de instancia contó para formar su convicción tanto con pruebas directas, como la testifical del padre y el hermano del acusado, que relataron la actividad a la que venía dedicándose el acusado, así como con pruebas indiciarias, constituidas por el hallazgo de una cantidad de heroína en poder del acusado, que él mismo reconoce, el análisis farmacéutico determinante de la naturaleza y cantidad de las sustancias intervenidas o la declaración de un agente policial que explicó al Tribunal que el acusado era conocido como vendedor de drogas. La existencia de actividad probatoria de cargo es evidente, lo que pone de manifiesto la falta de contenido constitucional </w:t>
      </w:r>
      <w:r>
        <w:lastRenderedPageBreak/>
        <w:t>de la reclamación, pues no corresponde al Tribunal Constitucional la revisión de la valoración que de las pruebas han hecho los Tribunales ordinarios.</w:t>
      </w:r>
    </w:p>
    <w:p w:rsidR="00FA0779" w:rsidRDefault="00FA0779" w:rsidP="00FA0779">
      <w:pPr>
        <w:pStyle w:val="TextoNormal"/>
      </w:pPr>
    </w:p>
    <w:p w:rsidR="00FA0779" w:rsidRDefault="00FA0779" w:rsidP="00FA0779">
      <w:pPr>
        <w:pStyle w:val="TextoNormal"/>
      </w:pPr>
      <w:r w:rsidRPr="00FA0779">
        <w:rPr>
          <w:rStyle w:val="NumeroAFNegritaCaracter"/>
        </w:rPr>
        <w:t>6</w:t>
      </w:r>
      <w:r>
        <w:t>. La representación del recurrente no ha presentado escrito de alegaciones.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En primer término, por lo que respecta a la alegada infracción del derecho a la inviolabilidad del domicilio del art. 18.2 C.E., concurre el motivo de inadmisión previsto en el art. 50.1 a), en relación con el art. 44.1 c), ambos de la LOTC, consistente en la falta de invocación del derecho constitucional vulnerado, tan pronto, una vez conocida la violación, hubiere lugar para ello.</w:t>
      </w:r>
    </w:p>
    <w:p w:rsidR="00FA0779" w:rsidRDefault="00FA0779" w:rsidP="00FA0779">
      <w:pPr>
        <w:pStyle w:val="TextoNormal"/>
      </w:pPr>
      <w:r>
        <w:t>El recurrente basa la vulneración del citado derecho fundamental en el registro efectuado en su día por la policía en su domicilio familiar, pero no ha acreditado pese habérsele solicitado que lo hiciera, el cumplimiento del requisito de haber invocado el citado derecho constitucional presuntamente lesionado en el primer momento procesal oportuno desde que se tiene conocimiento de la infracción. De otra parte, además, como pone de manifiesto el Ministerio Fiscal en su escrito de alegaciones, del examen de la Sentencia de instancia se deduce que la cuestión relativa a la lesión del derecho a la inviolabilidad del domicilio no fue planteada por el hoy recurrente ante la Audiencia Provincial, a pesar de que, dicha infracción constitucional, de existir, tendría su origen en un acto realizado en el inicio del período de instrucción de la causa penal seguida contra el hoy recurrente.</w:t>
      </w:r>
    </w:p>
    <w:p w:rsidR="00FA0779" w:rsidRDefault="00FA0779" w:rsidP="00FA0779">
      <w:pPr>
        <w:pStyle w:val="TextoNormal"/>
      </w:pPr>
    </w:p>
    <w:p w:rsidR="00FA0779" w:rsidRDefault="00FA0779" w:rsidP="00FA0779">
      <w:pPr>
        <w:pStyle w:val="TextoNormal"/>
      </w:pPr>
      <w:r w:rsidRPr="00FA0779">
        <w:rPr>
          <w:rStyle w:val="NumeroAFNegritaCaracter"/>
        </w:rPr>
        <w:t>2</w:t>
      </w:r>
      <w:r>
        <w:t>. En segundo término, por lo que se refiere a la alegada conculcación del derecho a la presunción de inocencia del art. 24.2 C.E., concurre el motivo de inadmisión previsto en el art. 50.1 e) de la LOTC, por carecer la demanda manifiestamente de contenido que justifique una decisión sobre el fondo por parte de este Tribunal.</w:t>
      </w:r>
    </w:p>
    <w:p w:rsidR="00FA0779" w:rsidRDefault="00FA0779" w:rsidP="00FA0779">
      <w:pPr>
        <w:pStyle w:val="TextoNormal"/>
      </w:pPr>
      <w:r>
        <w:t>En efecto, mece de todo fundamento la alegada infracción del derecho a la presunción de inocencia, pues las alegaciones del recurrente se refieren única y exclusivamente a su discrepancia con la valoración que de la prueba practicada han hecho, razonada y motivadamente, los Tribunales de la jurisdicción penal. Basta la lectura de las Sentencias impugnadas para comprobar que tanto la Audiencia Provincial como el Tribunal Supremo han considerado que estaba acreditada la participación del hoy recurrente en el delito de tráfico de drogas con apoyo, no sólo en la ocupación de una determinada cantidad de droga en la habitación del recurrente, sino también en el testimonio prestado en el juicio oral por un hermano del recurrente, quien ratificó la denuncia formulada en su contra por tráfico de drogas, y en las declaraciones sumariales en el mismo sentido del padre del recurrente, que si bien no fueron ratificadas después, por causa de su fallecimiento, si fueron leídas y reproducidas en el acto del juicio oral. Es claro, por tanto, que la denuncia de la hoy recurrente no versa sobre la ausencia de actividad probatoria, sino sobre su discrepancia con la valoración y apreciación que los Tribunales han hecho de las pruebas practicadas, por lo que ningún reproche cabe hacer, desde una perspectiva constitucional, a las Sentencias impugnadas.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Por lo expuesto, la Sección acuerda la inadmisión del recurso de amparo interpuesto por Ignacio Suárez Palacio, y el archivo de las actuaciones.</w:t>
      </w:r>
    </w:p>
    <w:p w:rsidR="00FA0779" w:rsidRDefault="00FA0779" w:rsidP="00FA0779">
      <w:pPr>
        <w:pStyle w:val="TextoNormal"/>
      </w:pPr>
    </w:p>
    <w:p w:rsidR="00FA0779" w:rsidRDefault="00FA0779" w:rsidP="00FA0779">
      <w:pPr>
        <w:pStyle w:val="TextoNormal"/>
      </w:pPr>
      <w:r>
        <w:t>Madrid, a treinta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0" w:name="AUTO_1997_247"/>
      <w:r>
        <w:lastRenderedPageBreak/>
        <w:t>AUTO 247/1997, de 30 de junio de 1997</w:t>
      </w:r>
    </w:p>
    <w:bookmarkEnd w:id="180"/>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ECLI:ES:TC:1997:247A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507/1996.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con fecha 9 de febrero de 1996 la representación procesal de la demandante ha interpuesto recurso de amparo contra la resolución reseñada anteriormente. En la demanda se solicita también la suspensión de la ejecución de las resoluciones recurridas.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de que trae causa la demanda de amparo y que son relevantes para la resolución sobre la petición de suspensión, son, en síntesis, los siguientes: </w:t>
      </w:r>
    </w:p>
    <w:p w:rsidR="00FA0779" w:rsidRDefault="00FA0779" w:rsidP="00FA0779">
      <w:pPr>
        <w:pStyle w:val="TextoNormal"/>
      </w:pPr>
      <w:r>
        <w:t>a) La demandante fue condenada como autora de un delito de colaboración con banda armada a la pena de seis años y un día de prisión menor, multa de 200.000 pesetas, accesorias legales y costas. La Sentencia fue recurrida en casación, y el recurso fue parcialmente estimado rebajándose la condena a la pena de cuatro años dos meses y un día, accesorias y costas, al considerarla autora del delito penado, pero en grado de frustración.</w:t>
      </w:r>
    </w:p>
    <w:p w:rsidR="00FA0779" w:rsidRDefault="00FA0779" w:rsidP="00FA0779">
      <w:pPr>
        <w:pStyle w:val="TextoNormal"/>
      </w:pPr>
    </w:p>
    <w:p w:rsidR="00FA0779" w:rsidRDefault="00FA0779" w:rsidP="00FA0779">
      <w:pPr>
        <w:pStyle w:val="TextoNormal"/>
      </w:pPr>
      <w:r w:rsidRPr="00FA0779">
        <w:rPr>
          <w:rStyle w:val="NumeroAFNegritaCaracter"/>
        </w:rPr>
        <w:t>3</w:t>
      </w:r>
      <w:r>
        <w:t>. La demanda de amparo, que articula su queja en virtud del art. 44 LOTC, imputa a la resolución judicial recurrida la vulneración de los arts, 24 y 25 de la Constitución al entender vulnerada la presunción de inocencia y el principio de legalidad penal en base a los argumentos que se recogen en la demanda.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(Sala Segunda) mediante providencia de fecha 29 de abril de 1997 acordó admitir a trámite el recurso de amparo, y dirigir comunicación al órgano judicial correspondiente a fui de que, en el plazo de diez días, emplazara a quienes hubieran sido parte en el proceso de que trae causa la presente litis y remitiera copia certificada de las actuaciones.</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FA0779" w:rsidRDefault="00FA0779" w:rsidP="00FA0779">
      <w:pPr>
        <w:pStyle w:val="TextoNormal"/>
      </w:pPr>
    </w:p>
    <w:p w:rsidR="00FA0779" w:rsidRDefault="00FA0779" w:rsidP="00FA0779">
      <w:pPr>
        <w:pStyle w:val="TextoNormal"/>
      </w:pPr>
      <w:r w:rsidRPr="00FA0779">
        <w:rPr>
          <w:rStyle w:val="NumeroAFNegritaCaracter"/>
        </w:rPr>
        <w:t>6</w:t>
      </w:r>
      <w:r>
        <w:t>. Mediante sendos escritos de fecha 7 y 9 de mayo la recurrente en amparo y el Ministerio Fiscal han presentado sus alegaciones en el incidente de suspensión, reiterando aquél lo expuesto en su escrito de demanda y manifestando éste, su conformidad con la petición de suspensión de la pena privativa de libertad impuesta en la Sentencia impugnada, manteniéndose la condena en costas.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00FA0779" w:rsidRDefault="00FA0779" w:rsidP="00FA0779">
      <w:pPr>
        <w:pStyle w:val="TextoNormal"/>
      </w:pPr>
      <w:r>
        <w:t>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00FA0779" w:rsidRDefault="00FA0779" w:rsidP="00FA0779">
      <w:pPr>
        <w:pStyle w:val="TextoNormal"/>
      </w:pPr>
      <w:r>
        <w:t>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00FA0779" w:rsidRDefault="00FA0779" w:rsidP="00FA0779">
      <w:pPr>
        <w:pStyle w:val="TextoNormal"/>
      </w:pPr>
    </w:p>
    <w:p w:rsidR="00FA0779" w:rsidRDefault="00FA0779" w:rsidP="00FA0779">
      <w:pPr>
        <w:pStyle w:val="TextoNormal"/>
      </w:pPr>
      <w:r w:rsidRPr="00FA0779">
        <w:rPr>
          <w:rStyle w:val="NumeroAFNegritaCaracter"/>
        </w:rPr>
        <w:t>2</w:t>
      </w:r>
      <w:r>
        <w:t>. Cuando, como en este caso, se impugna una resolución privativa de libertad, (sea con alegación del derecho a la libertad personal o de otros derechos fundamentales) el mantenimiento o la ejecución de la privación de libertad acordada, ocasiona siempre perjuicios que pueden hacer perder su finalidad al amparo, aunque éste fuera finalmente otorgado, ya que la situación de privación de libertad se consolida hasta tal momento produciendo perjuicios irreparables. Cabe pensar que en estos supuestos nos hallamos ante la excepción a la regla general antes predicada, y hemos considerado por ello que en principio procede la suspensión (AATC 98/1983, 179/1984, 574/1985, 116/1990, 169/1992, 252/1992, 120/1993 ó 169/1995).</w:t>
      </w:r>
    </w:p>
    <w:p w:rsidR="00FA0779" w:rsidRDefault="00FA0779" w:rsidP="00FA0779">
      <w:pPr>
        <w:pStyle w:val="TextoNormal"/>
      </w:pPr>
      <w:r>
        <w:t>Para conciliar ambos valores -ejecutoriedad de las resoluciones judiciales y derecho a la libertad personal-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w:t>
      </w:r>
    </w:p>
    <w:p w:rsidR="00FA0779" w:rsidRDefault="00FA0779" w:rsidP="00FA0779">
      <w:pPr>
        <w:pStyle w:val="TextoNormal"/>
      </w:pPr>
      <w:r>
        <w:lastRenderedPageBreak/>
        <w:t>Por el contrario, hemos señalado que, como regla general, las resoluciones judiciales con efectos meramente patrimoniales o económicos no causan perjuicios irreparables, por lo que no procede su suspensión (AATC 573/1985, 574/1985 ó 275/1990), y que las penas privativas de derechos, impuestas como accesorias, siguen la suerte de las principales (AATC 144/1984, 244/1991 ó 96/1993).</w:t>
      </w:r>
    </w:p>
    <w:p w:rsidR="00FA0779" w:rsidRDefault="00FA0779" w:rsidP="00FA0779">
      <w:pPr>
        <w:pStyle w:val="TextoNormal"/>
      </w:pPr>
    </w:p>
    <w:p w:rsidR="00FA0779" w:rsidRDefault="00FA0779" w:rsidP="00FA0779">
      <w:pPr>
        <w:pStyle w:val="TextoNormal"/>
      </w:pPr>
      <w:r w:rsidRPr="00FA0779">
        <w:rPr>
          <w:rStyle w:val="NumeroAFNegritaCaracter"/>
        </w:rPr>
        <w:t>3</w:t>
      </w:r>
      <w:r>
        <w:t>. En este caso la resolución impugnada impone una condena penal privativa de libertad de carácter menos grave -cuatro años, dos meses y un día- por lo que de conformidad con lo interesado por el Ministerio Fiscal, procede acordar la suspensión parcial de la misma en lo que se refiere a la privación de libertad acordada, pues no se aprecia ninguna circunstancia que pueda justificar un sacrificio de la misma.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Por el contrario, no ha de suspenderse la resolución en lo que se refiere al pago de las costas ya que en este aspecto, al tratarse de una condena meramente pecuniaria, debe prevalecer el interés general que se halla en el cumplimiento de las resoluciones judiciales, que hace eficaz el derecho a la tutela judicial.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acceder parcialmente a la solicitud de suspensión de la ejecución de la Sentencia de la Sala Segunda del Tribunal Supremo que estima parcialmente el recurso de casación presentado contra la dictada por la Sección Tercera</w:t>
      </w:r>
    </w:p>
    <w:p w:rsidR="00FA0779" w:rsidRDefault="00FA0779" w:rsidP="00FA0779">
      <w:pPr>
        <w:pStyle w:val="TextoNormal"/>
      </w:pPr>
      <w:r>
        <w:t>de la Sala de lo Penal de la Audiencia Nacional en el procedimiento abreviado 253/91, por delito de colaboración con banda armada, en lo que concierne a la pena privativa de libertad impuesta y sus accesorias, no suspendiéndose el resto de</w:t>
      </w:r>
    </w:p>
    <w:p w:rsidR="00FA0779" w:rsidRDefault="00FA0779" w:rsidP="00FA0779">
      <w:pPr>
        <w:pStyle w:val="TextoNormal"/>
      </w:pPr>
      <w:r>
        <w:t>pronunciamientos de la misma.</w:t>
      </w:r>
    </w:p>
    <w:p w:rsidR="00FA0779" w:rsidRDefault="00FA0779" w:rsidP="00FA0779">
      <w:pPr>
        <w:pStyle w:val="TextoNormal"/>
      </w:pPr>
    </w:p>
    <w:p w:rsidR="00FA0779" w:rsidRDefault="00FA0779" w:rsidP="00FA0779">
      <w:pPr>
        <w:pStyle w:val="TextoNormal"/>
      </w:pPr>
      <w:r>
        <w:t>Madrid, a treinta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1" w:name="AUTO_1997_248"/>
      <w:r>
        <w:lastRenderedPageBreak/>
        <w:t>AUTO 248/1997, de 30 de junio de 1997</w:t>
      </w:r>
    </w:p>
    <w:bookmarkEnd w:id="181"/>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ECLI:ES:TC:1997:248A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2.988/1996.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con fecha 23 de julio de 1996 la representación procesal de la demandante ha interpuesto recurso de amparo contra el Auto de la Sección Segunda de la Audiencia Provincial de Oviedo de 21 de junio de 1996, que confirma en apelación el dictado por el Juzgado de Instrucción núm. 2 de Gijón, de 11 de enero de 1996, por el que se mantiene la prisión provisional.</w:t>
      </w:r>
    </w:p>
    <w:p w:rsidR="00FA0779" w:rsidRDefault="00FA0779" w:rsidP="00FA0779">
      <w:pPr>
        <w:pStyle w:val="TextoNormal"/>
      </w:pPr>
    </w:p>
    <w:p w:rsidR="00FA0779" w:rsidRDefault="00FA0779" w:rsidP="00FA0779">
      <w:pPr>
        <w:pStyle w:val="TextoNormal"/>
      </w:pPr>
      <w:r w:rsidRPr="00FA0779">
        <w:rPr>
          <w:rStyle w:val="NumeroAFNegritaCaracter"/>
        </w:rPr>
        <w:t>2</w:t>
      </w:r>
      <w:r>
        <w:t>. Los hechos de que trae causa la presente demanda de amparo y que son relevantes para la resolución sobre la petición de suspensión, son, en síntesis, los siguientes: el Juzgado de Instrucción núm. 2 de Gijón decretó la prisión provisional de la recurrente por Auto de 9 de noviembre de 1995. Fue procesada el 11 de enero de 1996 como presunta autora de un delito contra la salud pública. Recurrido en reforma y apelación el auto de procesamiento, el mismo fue confirmado en todos sus extremos, incluido el referente a su situación personal que se mantuvo basta el pasado 16 de diciembre en que la Sección Segunda de la Audiencia Provincial decretó la libertad provisional sin fianza de la recurrente.</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que articula su queja en virtud del art. 44 LOTC, imputa a la resolución judicial recurrida vulneración del art. 17 C.E., al entender que las resoluciones judiciales que decretaron su privación cautelar de libertad no estaban suficientemente motivadas. </w:t>
      </w:r>
    </w:p>
    <w:p w:rsidR="00FA0779" w:rsidRDefault="00FA0779" w:rsidP="00FA0779">
      <w:pPr>
        <w:pStyle w:val="TextoNormal"/>
      </w:pPr>
      <w:r>
        <w:t>Asimismo, y por otrosí, solicita, la suspensión de la ejecución de la resolución recurrida.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Cuarta (Sala Segunda) mediante providencia de fecha 29 de abril de 1997, acordó admitir a trámite el recurso de amparo, y dirigir comunicación al órgano judicial a fin de que, en el plazo de diez días, emplazara a quienes hubieran sido parte en el proceso de que trae causa la presente litis.</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FA0779" w:rsidRDefault="00FA0779" w:rsidP="00FA0779">
      <w:pPr>
        <w:pStyle w:val="TextoNormal"/>
      </w:pPr>
    </w:p>
    <w:p w:rsidR="00FA0779" w:rsidRDefault="00FA0779" w:rsidP="00FA0779">
      <w:pPr>
        <w:pStyle w:val="TextoNormal"/>
      </w:pPr>
      <w:r w:rsidRPr="00FA0779">
        <w:rPr>
          <w:rStyle w:val="NumeroAFNegritaCaracter"/>
        </w:rPr>
        <w:t>6</w:t>
      </w:r>
      <w:r>
        <w:t>. Mediante escrito de fecha 13 de mayo de 1997, el Ministerio Fiscal ha presentado sus alegaciones en el incidente de suspensión, manifestando su oposición al otorgamiento de la suspensión instada de la resolución impugnada en esta sede al resultar fundada la decisión de privación de libertad acordada. Por otrosí, el Ministerio Fiscal planteó la posibilidad de que el amparo hubiera perdido su objeto como consecuencia de la puesta en libertad de la recurrente con posterioridad a la interposición del amparo y previamente a su admisión a trámite. La recurrente no ha formulado alegación alguna en el incidente de suspensión, ni ha solicitado el desistimiento del recurso presentado.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FA0779" w:rsidRDefault="00FA0779" w:rsidP="00FA0779">
      <w:pPr>
        <w:pStyle w:val="TextoNormal"/>
      </w:pPr>
      <w:r>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00FA0779" w:rsidRDefault="00FA0779" w:rsidP="00FA0779">
      <w:pPr>
        <w:pStyle w:val="TextoNormal"/>
      </w:pPr>
    </w:p>
    <w:p w:rsidR="00FA0779" w:rsidRDefault="00FA0779" w:rsidP="00FA0779">
      <w:pPr>
        <w:pStyle w:val="TextoNormal"/>
      </w:pPr>
      <w:r w:rsidRPr="00FA0779">
        <w:rPr>
          <w:rStyle w:val="NumeroAFNegritaCaracter"/>
        </w:rPr>
        <w:t>2</w:t>
      </w:r>
      <w:r>
        <w:t>. En el caso presente, consta en las actuaciones que por Auto de 16 de diciembre de 1996 la Audiencia Provincial de Oviedo ha decretado la libertad provisional de la recurrente, por lo que carece de objeto acordar la suspensión de la ejecución de una resolución judicial cuyo contenido ha sido ya dejado sin efecto por el propio órgano judicial.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Por lo expuesto, la Sala acuerda no acceder a la suspensión solicitada.</w:t>
      </w:r>
    </w:p>
    <w:p w:rsidR="00FA0779" w:rsidRDefault="00FA0779" w:rsidP="00FA0779">
      <w:pPr>
        <w:pStyle w:val="TextoNormal"/>
      </w:pPr>
    </w:p>
    <w:p w:rsidR="00FA0779" w:rsidRDefault="00FA0779" w:rsidP="00FA0779">
      <w:pPr>
        <w:pStyle w:val="TextoNormal"/>
      </w:pPr>
      <w:r>
        <w:t>Madrid, a treinta de junio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2" w:name="AUTO_1997_249"/>
      <w:r>
        <w:lastRenderedPageBreak/>
        <w:t>AUTO 249/1997, de 30 de junio de 1997</w:t>
      </w:r>
    </w:p>
    <w:bookmarkEnd w:id="182"/>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ECLI:ES:TC:1997:249A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Acuerda el desistimiento en el recurso de amparo 143/1997, promovido en proceso contencioso-administrativo.</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3" w:name="AUTO_1997_250"/>
      <w:r>
        <w:lastRenderedPageBreak/>
        <w:t>AUTO 250/1997, de 30 de junio de 1997</w:t>
      </w:r>
    </w:p>
    <w:bookmarkEnd w:id="183"/>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ECLI:ES:TC:1997:250A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haber lugar al desistimiento del actor en el recurso de amparo 1.287/1997, en pleito civil.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4" w:name="AUTO_1997_251"/>
      <w:r>
        <w:lastRenderedPageBreak/>
        <w:t>AUTO 251/1997, de 1 de julio de 1997</w:t>
      </w:r>
    </w:p>
    <w:bookmarkEnd w:id="184"/>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ECLI:ES:TC:1997:251A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577/1997.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el solicitante de amparo se interpuso la correspondiente demanda reclamación del mismo, la cual tenía como antecedentes, los hechos que a continua se describen: </w:t>
      </w:r>
    </w:p>
    <w:p w:rsidR="00FA0779" w:rsidRDefault="00FA0779" w:rsidP="00FA0779">
      <w:pPr>
        <w:pStyle w:val="TextoNormal"/>
      </w:pPr>
      <w:r>
        <w:t xml:space="preserve">A) Con fecha 8 de abril de 1991, el ahora recurrente interpuso recurso apelación contra la Sentencia dictada por el Juzgado de Primera Instancia núm. de Madrid, en los autos interdictales núm. 428/89, y que constituyó la primera y única actuación judicial de la que, hasta esa fecha, dicho solicitante, como demandado tuvo conocimiento, ya que todos los emplazamientos y citaciones anteriores se ha realizado por edictos, denunciándose en tal escrito la indefensión que se había producido al mismo con tal actuación. </w:t>
      </w:r>
    </w:p>
    <w:p w:rsidR="00FA0779" w:rsidRDefault="00FA0779" w:rsidP="00FA0779">
      <w:pPr>
        <w:pStyle w:val="TextoNormal"/>
      </w:pPr>
      <w:r>
        <w:t xml:space="preserve">B) Dicho recurso se tuvo por interpuesto mediante proveído de fecha 9 de mayo de 1991, suspendiéndose su admisión y tramitación hasta tanto se hubiera ejecutado la Sentencia. Esta resolución fue recurrida en reposición mediante escrito de fecha 16 de mayo de 1991, alegando la imposibilidad material del Sr. Gadea de cumplir los términos de la Sentencia, por resultar afectada en dicho procedimiento su personalidad y legitimación para ser parte en el pleito. </w:t>
      </w:r>
    </w:p>
    <w:p w:rsidR="00FA0779" w:rsidRDefault="00FA0779" w:rsidP="00FA0779">
      <w:pPr>
        <w:pStyle w:val="TextoNormal"/>
      </w:pPr>
      <w:r>
        <w:t xml:space="preserve">Desestimado también dicho recurso mediante Auto de 29 de mayo de 1992, se formuló recurso de apelación cuya tramitación quedó en suspenso. Igual suerte corrieron cuantas peticiones realizó dicho recurrente al objeto de ser repuesto en su derecho de defensa. </w:t>
      </w:r>
    </w:p>
    <w:p w:rsidR="00FA0779" w:rsidRDefault="00FA0779" w:rsidP="00FA0779">
      <w:pPr>
        <w:pStyle w:val="TextoNormal"/>
      </w:pPr>
      <w:r>
        <w:t xml:space="preserve">C) El día 19 de diciembre de 1994 se procedió a la apertura del local propiedad de «Euroconsulting Inmobiliario, S. A.», y se ejecutaron en el mismo una serie de obras sin que tampoco esta entidad, fuera oída ni condenada en juicio contradictorio. </w:t>
      </w:r>
    </w:p>
    <w:p w:rsidR="00FA0779" w:rsidRDefault="00FA0779" w:rsidP="00FA0779">
      <w:pPr>
        <w:pStyle w:val="TextoNormal"/>
      </w:pPr>
      <w:r>
        <w:t xml:space="preserve">D) Por providencia de 8 de febrero de 1995 se requirió a don Emilio Gadea Calderón a fin de que en el plazo de diez días abonara la cantidad reclamada bajo apercibiendo de apremio. Contra la misma interpuso recurso de reposición en términos similares a los expresados en escritos anteriores, solicitando se dejara sin efecto la resolución impugnada y, se admitiera en ambos efectos el recurso de apelación interpuesto el día 8 de abril de 1991, así como el de fecha 2 de junio de 1992. </w:t>
      </w:r>
    </w:p>
    <w:p w:rsidR="00FA0779" w:rsidRDefault="00FA0779" w:rsidP="00FA0779">
      <w:pPr>
        <w:pStyle w:val="TextoNormal"/>
      </w:pPr>
      <w:r>
        <w:t xml:space="preserve">Por providencia de 28 de marzo de 1995 se estimó dicho recurso, y se revocó a providencia recurrida, admitiéndose en ambos efectos los recursos interpuestos y emplazando a las partes ante la Superioridad. </w:t>
      </w:r>
    </w:p>
    <w:p w:rsidR="00FA0779" w:rsidRDefault="00FA0779" w:rsidP="00FA0779">
      <w:pPr>
        <w:pStyle w:val="TextoNormal"/>
      </w:pPr>
      <w:r>
        <w:lastRenderedPageBreak/>
        <w:t xml:space="preserve">E) Tras la sustanciación de dicho recurso, que el recurrente fundamentó en la indefensión producida por el quebrantamiento de formas esenciales del juicio oportunamente denunciadas, la Audiencia Provincial de Madrid en Sentencia de 14 de enero de 1997, desestimó las pretensiones del recurrente confirmando la Sentencia de fecha 19 de noviembre de 1990. </w:t>
      </w:r>
    </w:p>
    <w:p w:rsidR="00FA0779" w:rsidRDefault="00FA0779" w:rsidP="00FA0779">
      <w:pPr>
        <w:pStyle w:val="TextoNormal"/>
      </w:pPr>
      <w:r>
        <w:t>F) Agotada la vía jurisdiccional, se interpone el presente recurso de amparo constitucional.</w:t>
      </w:r>
    </w:p>
    <w:p w:rsidR="00FA0779" w:rsidRDefault="00FA0779" w:rsidP="00FA0779">
      <w:pPr>
        <w:pStyle w:val="TextoNormal"/>
      </w:pPr>
    </w:p>
    <w:p w:rsidR="00FA0779" w:rsidRDefault="00FA0779" w:rsidP="00FA0779">
      <w:pPr>
        <w:pStyle w:val="TextoNormal"/>
      </w:pPr>
      <w:r w:rsidRPr="00FA0779">
        <w:rPr>
          <w:rStyle w:val="NumeroAFNegritaCaracter"/>
        </w:rPr>
        <w:t>2</w:t>
      </w:r>
      <w:r>
        <w:t>. Por el recurrente en amparo se alega la vulneración en el procedimiento judicial del derecho a la tutela judicial efectiva (art. 24.1 C.E.), como consecuencia de la indefensión producida como consecuencia de la utilización en el procedimiento judicial de referencia de los edictos procesales, de manera no ajustada a la doctrina establecida por el Tribunal Constitucional.</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2 de junio de 1997 se acordó formar pieza separada de suspensión con el precedente testimonio, y a tenor de lo dispuesto en el artículo 56 de la LOTC, se acordó conceder un plazo de tres días al Ministerio Fiscal, y al solicitante de amparo, para que formularan las alegaciones que estimaran pertinentes sobre la suspensión solicitada.</w:t>
      </w:r>
    </w:p>
    <w:p w:rsidR="00FA0779" w:rsidRDefault="00FA0779" w:rsidP="00FA0779">
      <w:pPr>
        <w:pStyle w:val="TextoNormal"/>
      </w:pPr>
    </w:p>
    <w:p w:rsidR="00FA0779" w:rsidRDefault="00FA0779" w:rsidP="00FA0779">
      <w:pPr>
        <w:pStyle w:val="TextoNormal"/>
      </w:pPr>
      <w:r w:rsidRPr="00FA0779">
        <w:rPr>
          <w:rStyle w:val="NumeroAFNegritaCaracter"/>
        </w:rPr>
        <w:t>4</w:t>
      </w:r>
      <w:r>
        <w:t>. Por el recurrente en amparo se presentó escrito ante el registro de este Tribunal el día 12 de junio de 1997, en el que solicitó la suspensión de la resolución impugnada reiterando las manifestaciones contenidas en su demanda.</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por escrito registrado el día 17 de junio de 1997, manifestó la no procedencia de la suspensión solicitada, toda vez que ya se han realizado las obras ordenadas por el juzgado como consecuencia del ejercicio de la acción posesoria. Si el recurso de amparo prosperase, no perdería su finalidad, porque ésta es la nulidad de lo actuado y el nuevo conocimiento por el Juzgado de la acción posesoria con la intervención del actor para examinar si procede o no la recuperación de la posesión por la demandante, siendo las posibles consecuencias de índole económica, siempre cabe su recuperación.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FA0779" w:rsidRDefault="00FA0779" w:rsidP="00FA0779">
      <w:pPr>
        <w:pStyle w:val="TextoNormal"/>
      </w:pPr>
      <w:r>
        <w:lastRenderedPageBreak/>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FA0779" w:rsidRDefault="00FA0779" w:rsidP="00FA0779">
      <w:pPr>
        <w:pStyle w:val="TextoNormal"/>
      </w:pPr>
    </w:p>
    <w:p w:rsidR="00FA0779" w:rsidRDefault="00FA0779" w:rsidP="00FA0779">
      <w:pPr>
        <w:pStyle w:val="TextoNormal"/>
      </w:pPr>
      <w:r w:rsidRPr="00FA0779">
        <w:rPr>
          <w:rStyle w:val="NumeroAFNegritaCaracter"/>
        </w:rPr>
        <w:t>2</w:t>
      </w:r>
      <w:r>
        <w:t>. En el presente caso, teniendo en consideración la anterior doctrina, se hace necesario afirmar la improcedencia de la suspensión solicitada, toda vez que como bien afirma el Ministerio Fiscal, las obras que constituyen el fondo de la pretensión en el ejercicio de la acción posesoria ya se han llevado a cabo, lo que determina que en nada se verían afectadas las mismas, si el recurso de amparo finalmente prosperase, toda vez que las consecuencias del ejercicio de tal acción posesoria, y más concretamente, si existe o no el derecho del recurrente a la posesión solicitada, son fundamentalmente de índole económica, y al ser eventualmente resarcible el daño patrimonial, no perjudica en absoluto la Sentencia que pudiera dictarse en un futuro, no procediendo por dicho motivo, y conforme antes se ha dicho, la suspensión solicitada,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ello, la Sala acuerda denegar la suspensión solicitada.</w:t>
      </w:r>
    </w:p>
    <w:p w:rsidR="00FA0779" w:rsidRDefault="00FA0779" w:rsidP="00FA0779">
      <w:pPr>
        <w:pStyle w:val="TextoNormal"/>
      </w:pPr>
    </w:p>
    <w:p w:rsidR="00FA0779" w:rsidRDefault="00FA0779" w:rsidP="00FA0779">
      <w:pPr>
        <w:pStyle w:val="TextoNormal"/>
      </w:pPr>
      <w:r>
        <w:t>Madrid, a 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5" w:name="AUTO_1997_252"/>
      <w:r>
        <w:lastRenderedPageBreak/>
        <w:t>AUTO 252/1997, de 1 de julio de 1997</w:t>
      </w:r>
    </w:p>
    <w:bookmarkEnd w:id="185"/>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ECLI:ES:TC:1997:252A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acumulación de las cuestiones de inconstitucionalidad 47/1997 y 1.115/1997 a la registrada con el núm. 3.536/1996.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6" w:name="AUTO_1997_253"/>
      <w:r>
        <w:lastRenderedPageBreak/>
        <w:t>AUTO 253/1997, de 3 de julio de 1997</w:t>
      </w:r>
    </w:p>
    <w:bookmarkEnd w:id="186"/>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ECLI:ES:TC:1997:253A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3.501/1996.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27 de septiembre de 1996, el Procurador de los Tribunales don José, Manuel de Dorremochea Aramburu, en nombre y representación de don Patxi Mirena Goenaga Arrizabalaga, interpuso recurso de amparo contra la Sentencia de la Sección Segunda de la Sala de lo Penal de la Audiencia Nacional de 20 de febrero de 1996, que condenó al hoy recurrente por un delito de colaboración con banda armada, y contra la Sentencia de la Sala Segunda del Tribunal Supremo de 17 de septiembre de 1996, que declaró no haber lugar al recurso de casación interpuesto contra la anterior.</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que están en la base de la demanda son, en síntesis, los siguientes: </w:t>
      </w:r>
    </w:p>
    <w:p w:rsidR="00FA0779" w:rsidRDefault="00FA0779" w:rsidP="00FA0779">
      <w:pPr>
        <w:pStyle w:val="TextoNormal"/>
      </w:pPr>
      <w:r>
        <w:t xml:space="preserve">a) El 23 de septiembre de 1993 se produjo la detención por efectivos de la Guardia Civil de varias personas, entre ellas el hoy demandante de amparo, por su presunta participación en actividades en favor de la banda terrorista E.T.A., las cuales fueron entonces informadas de sus derechos. </w:t>
      </w:r>
    </w:p>
    <w:p w:rsidR="00FA0779" w:rsidRDefault="00FA0779" w:rsidP="00FA0779">
      <w:pPr>
        <w:pStyle w:val="TextoNormal"/>
      </w:pPr>
      <w:r>
        <w:t xml:space="preserve">Dicha detención dio lugar a la apertura por el Juzgado Central de Instrucción núm. 5 de diligencias previas (núm. 282/93). Por Auto de esa misma fecha, el Juzgado Central de Instrucción decretó la incomunicación de los detenidos, a solicitud de la Guardia Civil y previo informe favorable del Ministerio Fiscal. </w:t>
      </w:r>
    </w:p>
    <w:p w:rsidR="00FA0779" w:rsidRDefault="00FA0779" w:rsidP="00FA0779">
      <w:pPr>
        <w:pStyle w:val="TextoNormal"/>
      </w:pPr>
      <w:r>
        <w:t xml:space="preserve">El día 25 de septiembre los detenidos fueron puestos a disposición judicial, y en esa misma fecha el Juzgado dictó providencia por la que acordó su reconocimiento por el Médico forense, así como recibirles declaración en la misma situación de incomunicación. En esa misma fecha se les tomó declaración con la asistencia de Letrado del turno de oficio. </w:t>
      </w:r>
    </w:p>
    <w:p w:rsidR="00FA0779" w:rsidRDefault="00FA0779" w:rsidP="00FA0779">
      <w:pPr>
        <w:pStyle w:val="TextoNormal"/>
      </w:pPr>
      <w:r>
        <w:t xml:space="preserve">b) Por Auto de 9 de diciembre de 1994 se acordó continuar el procedimiento por los trámites de los arts. 790 y ss. de la L.E.Crim., y por otro de 7 de junio de 1995 se acordó la apertura del juicio oral (rollo núm. 9/95). </w:t>
      </w:r>
    </w:p>
    <w:p w:rsidR="00FA0779" w:rsidRDefault="00FA0779" w:rsidP="00FA0779">
      <w:pPr>
        <w:pStyle w:val="TextoNormal"/>
      </w:pPr>
      <w:r>
        <w:t xml:space="preserve">c) Celebrado el mismo, la Sección Segunda de la Sala de lo Penal de la Audiencia Nacional dictó Sentencia de 20 de febrero de 1996, condenando, por lo que aquí importa, al hoy recurrente como autor responsable de un delito de colaboración con banda armada previsto en el art. 174 bis a) del anterior Código Penal a las penas de seis años y un día de </w:t>
      </w:r>
      <w:r>
        <w:lastRenderedPageBreak/>
        <w:t xml:space="preserve">prisión mayor y multa de 500.000 pesetas, con las accesorias de suspensión de todo cargo público y derecho de sufragio durante la duración de la condena, y al pago de un octavo de las costas del juicio. </w:t>
      </w:r>
    </w:p>
    <w:p w:rsidR="00FA0779" w:rsidRDefault="00FA0779" w:rsidP="00FA0779">
      <w:pPr>
        <w:pStyle w:val="TextoNormal"/>
      </w:pPr>
      <w:r>
        <w:t>d) Interpuesto recurso de casación contra dicha Sentencia (núm. 404/96), la Sala Segunda del Tribunal Supremo declaró no haber lugar al mismo por Sentencia de 17 de septiembre de 1996.</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la demanda de amparo se alegan, en síntesis, las siguientes lesiones constitucionales: </w:t>
      </w:r>
    </w:p>
    <w:p w:rsidR="00FA0779" w:rsidRDefault="00FA0779" w:rsidP="00FA0779">
      <w:pPr>
        <w:pStyle w:val="TextoNormal"/>
      </w:pPr>
      <w:r>
        <w:t xml:space="preserve">a) Vulneración de los arts. 17.1 y 3 C.E. (derechos a la libertad y a la asistencia letrada al detenido) y 24.1 y 2 C.E. (derechos a la tutela judicial efectiva y a un proceso con todas las garantías), por cuanto la condena impuesta al recurrente se habría basado, única y exclusivamente, en la declaración prestada ante el Juez Central de Instrucción, que habría tenido lugar en una ilegítima situación de incomunicación (por haber sido decretada mediante resoluciones judiciales carentes de motivación) y sin que el declarante fuera previamente informado de su derecho a no declarar contra sí mismo y a no confesarse culpable. </w:t>
      </w:r>
    </w:p>
    <w:p w:rsidR="00FA0779" w:rsidRDefault="00FA0779" w:rsidP="00FA0779">
      <w:pPr>
        <w:pStyle w:val="TextoNormal"/>
      </w:pPr>
      <w:r>
        <w:t xml:space="preserve">b) Vulneración del art. 24.2 C.E. (derecho a no declarar contra sí mismo y a no confesarse culpable), dado que, como se acaba de señalar, el recurrente no fue ilustrado acerca de tal derecho en la declaración prestada ante el Juez Central de Instrucción. </w:t>
      </w:r>
    </w:p>
    <w:p w:rsidR="00FA0779" w:rsidRDefault="00FA0779" w:rsidP="00FA0779">
      <w:pPr>
        <w:pStyle w:val="TextoNormal"/>
      </w:pPr>
      <w:r>
        <w:t xml:space="preserve">c) Vulneración del art. 24.2 C.E. (derecho a la presunción de inocencia), ante la inexistencia de prueba de cargo que sustente la condena, dado que el único elemento incriminatorio considerado por las resoluciones impugnadas (la propia declaración del imputado ante el Juez Central de Instrucción) adolece de ineficacia por las razones señaladas en los motivos precedentes. </w:t>
      </w:r>
    </w:p>
    <w:p w:rsidR="00FA0779" w:rsidRDefault="00FA0779" w:rsidP="00FA0779">
      <w:pPr>
        <w:pStyle w:val="TextoNormal"/>
      </w:pPr>
      <w:r>
        <w:t xml:space="preserve">Por todo ello, se solicita en la demanda el otorgamiento del amparo y la declaración de nulidad de las Sentencias recurridas. </w:t>
      </w:r>
    </w:p>
    <w:p w:rsidR="00FA0779" w:rsidRDefault="00FA0779" w:rsidP="00FA0779">
      <w:pPr>
        <w:pStyle w:val="TextoNormal"/>
      </w:pPr>
      <w:r>
        <w:t>Mediante otrosí se solicita asimismo la suspensión de la ejecución de la Sentencia condenatoria de la Audiencia Nacional, Dicha solicitud se fundamenta en el hecho de que el recurrente se encuentra en situación de libertad provisional, acordada por Auto del Juzgado Central de Instrucción núm. 5 de 17 de mayo de 1995, ratificada en el de apertura del juicio oral, y mantenida en los sucesivos trámites, tanto anteriores como posteriores a la Sentencia condenatoria de la Audiencia Nacional. Y se alega, en Derecho, que la ejecución de la misma supondría el cumplimiento de la pena privativa de libertad (y accesorias), lo que ocasionaría un perjuicio que haría perder al amparo su finalidad, mientras que de la suspensión no se puede derivar una grave perturbación de los intereses generales, sino tan sólo una demora en el ejecución de la pena.</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 de junio de 1997, la Sección Primera de este Tribunal acordó admitir a trámite la demanda de amparo, sin perjuicio de lo que resulte de los antecedentes; a tenor de lo dispuesto en el art. 51 LOTC, requerir atentamente de la Sala (le lo Penal de la Audiencia Nacional el emplazamiento de cuantos fueron parte en el rollo de la Sala núm. 9/95, excepto el recurrente en amparo, para su posible comparecencia en el presente proceso constitucional, y, conforme a lo solicitado por la parte actora, formar la correspondiente pieza separada de suspensión.</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5</w:t>
      </w:r>
      <w:r>
        <w:t>. Por providencia de la misma fecha, la Sección Primera acordó tener por formada la presente pieza separada de suspensión y, de conformidad con lo previsto en el art. 56 LOTC, conceder al Ministerio Fiscal y al solicitante del amparo un plazo común de tres días para alegaciones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6</w:t>
      </w:r>
      <w:r>
        <w:t>. Mediante escrito registrado en este Tribunal el 11 de junio de 1997, la representación del recurrente reiteró su solicitud de suspensión de la ejecución de la Sentencia recurrida por las razones expuestas en la demanda. Informa, además, de que, aunque el recurrente sigue al día de hoy en libertad, en cualquier momento podría perderla, por cuanto en respuesta a una solicitud de aplazamiento del inicio de la ejecución de la pena privativa de libertad en tanto este Tribunal resolviera sobre la suspensión interesada, la Sala de lo Penal de la Audiencia Nacional dictó providencia de 11 de noviembre de 1996 considerándola improcedente, por no haber acordado este Tribunal dicha suspensión.</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Mediante escrito registrado el 16 de junio de 1997, el Ministerio Fiscal interesa que no se acceda a la suspensión solicitada. </w:t>
      </w:r>
    </w:p>
    <w:p w:rsidR="00FA0779" w:rsidRDefault="00FA0779" w:rsidP="00FA0779">
      <w:pPr>
        <w:pStyle w:val="TextoNormal"/>
      </w:pPr>
      <w:r>
        <w:t>Con cita de la doctrina de este Tribunal que considera pertinente (AATC 522/1985, 523/1985, 2/1987 y 338/1993), alega que si las penas privativas son de larga duración, el criterio general de suspensión cede al interés general. Y esto es lo que debe ocurrir, a su juicio, en el caso presente, tanto en relación con la pena privativa de libertad como respecto de la multa y costas.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FA0779" w:rsidRDefault="00FA0779" w:rsidP="00FA0779">
      <w:pPr>
        <w:pStyle w:val="TextoNormal"/>
      </w:pPr>
      <w:r>
        <w:t>Conforme a tal criterio interpretativo, este Tribunal viene distinguiendo entre las resoluciones judiciales que imponen penas privativas de libertad y las que tienen efectos meramente económicos. En cuanto a las primeras, la regla general viene siendo la suspensión de su ejecución, por la irreparabilidad del perjuicio en el derecho fundamental a la libertad que ocasionaría su cumplimiento si finalmente se otorgara el amparo, aun cuando caben excepciones atendiendo a la gravedad de los hechos y a la duración de la pena impuesta. Del mismo modo, se suele acceder a la suspensión de las penas accesorias legales de las privativas de libertad durante el tiempo de la condena, que han de seguir la misma suerte que la principal a la que acompañan.</w:t>
      </w:r>
    </w:p>
    <w:p w:rsidR="00FA0779" w:rsidRDefault="00FA0779" w:rsidP="00FA0779">
      <w:pPr>
        <w:pStyle w:val="TextoNormal"/>
      </w:pPr>
      <w:r>
        <w:lastRenderedPageBreak/>
        <w:t>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y condenas en costas (AATC 321/1995, 118/1996 y 122/1996)</w:t>
      </w:r>
    </w:p>
    <w:p w:rsidR="00FA0779" w:rsidRDefault="00FA0779" w:rsidP="00FA0779">
      <w:pPr>
        <w:pStyle w:val="TextoNormal"/>
      </w:pPr>
    </w:p>
    <w:p w:rsidR="00FA0779" w:rsidRDefault="00FA0779" w:rsidP="00FA0779">
      <w:pPr>
        <w:pStyle w:val="TextoNormal"/>
      </w:pPr>
      <w:r w:rsidRPr="00FA0779">
        <w:rPr>
          <w:rStyle w:val="NumeroAFNegritaCaracter"/>
        </w:rPr>
        <w:t>2</w:t>
      </w:r>
      <w:r>
        <w:t>. Examinadas las circunstancias del caso, la Sala entiende que deben aplicarse los criterios generales antes expuestos,, máxime si se repara en la circunstancia de que el recurrente se encuentra en situación de libertad, por lo que la ejecución de la pena haría imposible el restablecimiento del derecho a la libertad caso de una eventual estimación de este amparo.</w:t>
      </w:r>
    </w:p>
    <w:p w:rsidR="00FA0779" w:rsidRDefault="00FA0779" w:rsidP="00FA0779">
      <w:pPr>
        <w:pStyle w:val="TextoNormal"/>
      </w:pPr>
      <w:r>
        <w:t>Por lo tanto, procede acordar la suspensión de la ejecución de las Sentencias impugnadas por lo que respecta a la pena privativa de libertad impuesta al actual demandante de amparo de seis años y un día de prisión mayor, así como por lo que se refiere a las accesorias de suspensión de todo cargo público y derecho de sufragio durante la duración de la condena.</w:t>
      </w:r>
    </w:p>
    <w:p w:rsidR="00FA0779" w:rsidRDefault="00FA0779" w:rsidP="00FA0779">
      <w:pPr>
        <w:pStyle w:val="TextoNormal"/>
      </w:pPr>
      <w:r>
        <w:t>No procede, en cambio, acordar la suspensión de la ejecución de dichas Sentencias en lo relativo a la pena de multa de 500.000 pesetas, ni por lo que se refiere al pago de un octavo de las costas del juicio.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w:t>
      </w:r>
    </w:p>
    <w:p w:rsidR="00FA0779" w:rsidRDefault="00FA0779" w:rsidP="00FA0779">
      <w:pPr>
        <w:pStyle w:val="TextoNormal"/>
      </w:pPr>
      <w:r>
        <w:t>1.º Haber lugar a la suspensión de la ejecución de las Sentencias de la Sección Segunda de la Sala de lo Penal de la Audiencia Nacional de 20 de febrero de 1996 y de la Sala Segunda del Tribunal Supremo de 17 de septiembre de 1996 en cuanto a la pena</w:t>
      </w:r>
    </w:p>
    <w:p w:rsidR="00FA0779" w:rsidRDefault="00FA0779" w:rsidP="00FA0779">
      <w:pPr>
        <w:pStyle w:val="TextoNormal"/>
      </w:pPr>
      <w:r>
        <w:t>privativa de libertad impuesta al hoy demandante de amparo de seis años y un día de prisión mayor, y en cuanto a las accesorias de suspensión de todo cargo público y derecho de sufragio durante la duración de la condena.</w:t>
      </w:r>
    </w:p>
    <w:p w:rsidR="00FA0779" w:rsidRDefault="00FA0779" w:rsidP="00FA0779">
      <w:pPr>
        <w:pStyle w:val="TextoNormal"/>
      </w:pPr>
      <w:r>
        <w:t>2.º No haber lugar a la suspensión de la ejecución de dichas Sentencias en cuanto a la pena de multa de 500.000 pesetas y al pago de un octavo de las costas del juicio.</w:t>
      </w:r>
    </w:p>
    <w:p w:rsidR="00FA0779" w:rsidRDefault="00FA0779" w:rsidP="00FA0779">
      <w:pPr>
        <w:pStyle w:val="TextoNormal"/>
      </w:pPr>
    </w:p>
    <w:p w:rsidR="00FA0779" w:rsidRDefault="00FA0779" w:rsidP="00FA0779">
      <w:pPr>
        <w:pStyle w:val="TextoNormal"/>
      </w:pPr>
      <w:r>
        <w:t>Madrid, a tres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7" w:name="AUTO_1997_254"/>
      <w:r>
        <w:lastRenderedPageBreak/>
        <w:t>AUTO 254/1997, de 8 de julio de 1997</w:t>
      </w:r>
    </w:p>
    <w:bookmarkEnd w:id="187"/>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ECLI:ES:TC:1997:254A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inadmisión a trámite del recurso de amparo 1.138/1997.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ante este Tribunal el 19 de marzo de 1997, don Santos de Gandarilla Carmona, Procurador de los Tribunales y de la Asociación de Fiscales, interpuso demanda de amparo contra la Sentencia de la Sala Tercera (Sección Séptima) del Tribunal Supremo, de 10 de enero de 1997, desestimatoria del recurso núm. 554/95 promovido contra el Acuerdo del Consejo de Ministros de 2 de junio de 1995, sobre nombramiento de Teniente Fiscal en la Fiscalía ante el Tribunal Constitucional., y contra Sentencia de la misma Sección de 11 de enero de 1997, desestimatoria del recurso de la Ley 62/1978, núm. 424/95, también promovido contra el citado Acuerdo del Consejo de Ministros.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en los que se fundamenta la demanda son, sucintamente expuestos, los que siguen: </w:t>
      </w:r>
    </w:p>
    <w:p w:rsidR="00FA0779" w:rsidRDefault="00FA0779" w:rsidP="00FA0779">
      <w:pPr>
        <w:pStyle w:val="TextoNormal"/>
      </w:pPr>
      <w:r>
        <w:t xml:space="preserve">a) El día 12 de enero de 1995 se inició por la Fiscalía General del Estado expediente para el nombramiento de Teniente Fiscal de la Fiscalía ante el Tribunal Constitucional. La plaza fue solicitada por un único candidato, don Juan José Barrenechea de Castro. El 1 de febrero siguiente, el Fiscal General del Estado, oído el Consejo Fiscal -que informó favorablemente por amplia mayoría-, remitió al entonces Ministerio de Justicia e Interior la propuesta de nombramiento del Sr. Barrenechea. Transcurridos tres meses sin que el Consejo de Ministros acordara el nombramiento propuesto, la Asociación de Fiscales interesó la certificación de actos presuntos prevista en el art. 44 de la Ley 30/1992. Pasados veinte días sin que la Administración expidiera la certificación solicitada, la Asociación ahora demandante de amparo interpuso dos recursos contencioso-administrativos: uno de ellos por los trámites de la Ley 62/1978, que fue registrado con el núm. 424/95; el otro, por la vía del procedimiento especial de funcionarios -registrado, ante la misma Sección y Sala del Tribunal Supremo, bajo el núm. 554/95-. Posteriormente, el Consejo de Ministros, por Acuerdo de 2 de junio de 1995, decidió no aceptar la propuesta de nombramiento. En los recursos contencioso-administrativos de referencia se denunciaba, resumidamente, que el Acuerdo del Consejo de Ministros no motivara las razones de la denegación de un nombramiento propuesto por el Fiscal General del Estado y apoyado por una amplía mayoría del Consejo Fiscal, alegándose que tal negativa era consecuencia de una desviación de poder. </w:t>
      </w:r>
    </w:p>
    <w:p w:rsidR="00FA0779" w:rsidRDefault="00FA0779" w:rsidP="00FA0779">
      <w:pPr>
        <w:pStyle w:val="TextoNormal"/>
      </w:pPr>
      <w:r>
        <w:lastRenderedPageBreak/>
        <w:t xml:space="preserve">b) Mediante sendas Sentencias de 10 y 11 de enero de 1997, la Sección Séptima de la Sala Tercera del Tribunal Supremo desestimó los dos recursos contencioso-administrativos. A juicio de la Sección (de la que discrepó un Magistrado), el cargo de Teniente Fiscal de la Fiscalía ante el Tribunal Constitucional es de libre designación, por lo que su provisión «constituye un acto administrativo singular y específico dentro de la categoría general de los actos discrecionales consistiendo la singularidad en que tales nombramientos (o la denegación de nombramiento) se basan en la existencia (o inexistencia) de un motivo de confianza que la autoridad facultada para la designación ha de tener (o rechaza) en la persona designada (o cuya propuesta de designación se rechaza), relación de confianza que sólo puede apreciar esa misma autoridad que verifica el nombramiento». «... La referencia a las condiciones subjetivas determinantes de la confianza que concurren en el designado o no designado para un cargo no serían susceptibles de fiscalización en vía jurisdiccional, que es el fundamento esencial de la motivación de los actos administrativos. La motivación de la resolución de no designar que tendría que limitarse a una referencia a que las condiciones de la persona rechazada no se estimaban suficientes por la autoridad competente para depositar en ella su confianza para el desempeño del cargo, según sus criterios sobre la dirección de la cosa pública, no se traduciría en una proposición con eficacia jurídica, no dejando de ser sino la simple exposición de la facultad discrecional de que es el verdadero fundamento o motivación del acto» (fundamento de Derecho 4.1 de la Sentencia de 19 de enero de 1997; en el mismo sentido fundamento de Derecho 5.` de la Sentencia de 11 de enero de 1997). </w:t>
      </w:r>
    </w:p>
    <w:p w:rsidR="00FA0779" w:rsidRDefault="00FA0779" w:rsidP="00FA0779">
      <w:pPr>
        <w:pStyle w:val="TextoNormal"/>
      </w:pPr>
      <w:r>
        <w:t>e) Tras el cambio de Gobierno como consecuencia de las últimas elecciones generales, el Sr. Barrenechea ha sido nombrado Teniente Fiscal de la Fiscalía ante el Tribunal Constitucional por Real Decreto 2372/1996, de 18 de noviembre.</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su demanda de amparo alega la Asociación actora la vulneración de los derechos fundamentales a la tutela judicial efectiva (art. 24.1 C.E.) y de acceso a los cargos públicos en condiciones de igualdad, con arreglo a lo dispuesto en las leyes (art. 23.2 C.E.). </w:t>
      </w:r>
    </w:p>
    <w:p w:rsidR="00FA0779" w:rsidRDefault="00FA0779" w:rsidP="00FA0779">
      <w:pPr>
        <w:pStyle w:val="TextoNormal"/>
      </w:pPr>
      <w:r>
        <w:t xml:space="preserve">Lo primero, por cuanto las Sentencias impugnadas «han venido a delimitar y consagrar un acto administrativo exento de control jurisdiccional... negándose a resolver el fondo de la cuestión y, en definitiva, han consagrado la teoría de los llamados «actos políticos del Gobierno» en un ámbito no incluido siquiera en las previsiones del art. 2» de la L.J.C.A. </w:t>
      </w:r>
    </w:p>
    <w:p w:rsidR="00FA0779" w:rsidRDefault="00FA0779" w:rsidP="00FA0779">
      <w:pPr>
        <w:pStyle w:val="TextoNormal"/>
      </w:pPr>
      <w:r>
        <w:t>Por su parte el derecho de igualdad en el acceso se habría conculcado en la medida en que el Sr. Barrenechea se habría visto privado de su derecho a la promoción en la Carrera Fiscal -pese a sus méritos y circunstancias- por razones de carácter personal e ideológico.</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29 de abril de 1997, la Sección Segunda acordó, con arreglo a lo dispuesto en el art. 50.3 LOTC, conceder a la solicitante de amparo y al Ministerio Fiscal el plazo común de diez días para que, dentro de dicho término, alegasen en relación con el siguiente motivo de inadmisión: carecer la demanda manifiestamente de contenido ex art. 50.1 c) en relación con el art. 41.3, ambos de la LOTC, por desaparición del objeto del proceso, dado que al promoverse la demanda de amparo ya se había efectuado el nombramiento de Teniente Fiscal en favor del Sr. Barrenechea de Castro.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La Asociación demandante de amparo registró su alegato el día 12 de mayo de 1997. En su criterio, el ulterior nombramiento del Sr. Barrenechea no reparó la vulneración de derechos fundamentales por él padecida. Vulneración que se fraguó mediante actos y en </w:t>
      </w:r>
      <w:r>
        <w:lastRenderedPageBreak/>
        <w:t>un procedimiento diferente, por lo que no puede apreciarse la pérdida sobrevenida del objeto de recurso a resultas de ese nombramiento posterior. En este sentido. cumple señalar que ese ulterior nombramiento fue conocido por la propia Sala Tercera del Tribunal Supremo que, sin embargo, no apreció una pérdida sobrevenida del objeto del proceso, sino que entró en el fondo del asunto y dictó Sentencia confirmatoria del acto recurrido. Tampoco se subsanó mediante esa vía la lesión del derecho a la tutela judicial efectiva que es imputable a las Sentencia impugnadas y en las que se consagra la teoría de los actos políticos de Gobierno.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presentó su escrito de alegaciones el día 14 de mayo de 1997. Señala esta representación que desde que el Tribunal Constitucional, ante la falta de norma expresa en la LOTC, legitimo la doctrina de la pérdida sobrevenida del objeto del recurso (STC 40/1982), su jurisprudencia ha puesto énfasis, de una parte, en que el fundamento de la institución radica en la satisfacción extraprocesal de la pretensión de amparo actuada y, de otra, en la necesaria identidad entre la pretensión perseguida en el proceso y la que, por vía ajena al mismo, es objeto de satisfacción (en este sentido, vid. AATC 14/1991, 102/1992, 304/1994, entre otros). </w:t>
      </w:r>
    </w:p>
    <w:p w:rsidR="00FA0779" w:rsidRDefault="00FA0779" w:rsidP="00FA0779">
      <w:pPr>
        <w:pStyle w:val="TextoNormal"/>
      </w:pPr>
      <w:r>
        <w:t xml:space="preserve">En este trámite se trata, pues, de determinar si la satisfacción obtenida por el Sr. Barrenechea de Castro en sus intereses y, por ende, en los de la Asociación de Fiscales que los asumió, colma las pretensiones actuadas en el proceso o si, por el contrario, no concurre esa identidad. </w:t>
      </w:r>
    </w:p>
    <w:p w:rsidR="00FA0779" w:rsidRDefault="00FA0779" w:rsidP="00FA0779">
      <w:pPr>
        <w:pStyle w:val="TextoNormal"/>
      </w:pPr>
      <w:r>
        <w:t>Pues bien, es evidente que el nombramiento ulterior del Sr. Barrenechea no puede, en modo alguno, reparar ni satisfacer la vulneración de su derecho a una tutela judicial efectiva que se imputa a las Sentencias dictadas por el Tribunal Supremo por carecer de la mínima motivación constitucionalmente exigida. Subsiste, en consecuencia, el objeto del presente proceso de amparo. Pero tampoco puede apreciarse una pérdida del objeto del proceso en relación con la denunciada lesión del derecho que reconoce el art. 23.2 C.E. En efecto, cumplidos los trámites legalmente establecidos la no aceptación de la propuesta del Fiscal General del Estado, no habiendo otro solicitante, entraña una preterición no justificada y debida a razones intuitu personae. Pudiera pensarse que si fue desconocido su derecho pero más tarde confirmado en él, el Sr. Barrenechea habría obtenido la satisfacción extraprocesal de su pretensión. Sin embargo, este argumento no es convincente. Si la Asociación de Fiscales, en defensa de los intereses profesionales de sus asociados, ejercitó la acción de amparo ante lo que consideró la no aceptación inmotivada de la propuesta del Fiscal General del Estado, el hecho de que más tarde, mediante otra solicitud y procedimiento de nombramiento, la persona en cuestión fuera nombrada para el cargo público a que aspiraba, no enerva ni destruye la incorrección constitucional del primer acto. La Asociación demandante, en suma, desconoció y sigue desconociendo por qué el Consejo de Ministros no aceptó el día 2 de junio de 1995 la propuesta del Fiscal General del Estado. En virtud de cuanto antecede se concluye interesando la admisión a trámite de la demanda.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Examinadas las alegaciones presentadas por las partes en el trámite regulado en el art. 50.3 LOTC, procede confirmar nuestra inicial apreciación acerca de la concurrencia de la causa de inadmisión prevista en el art. 50.1 c) LOTC, y consistente en la manifiesta carencia de contenido de la demanda.</w:t>
      </w:r>
    </w:p>
    <w:p w:rsidR="00FA0779" w:rsidRDefault="00FA0779" w:rsidP="00FA0779">
      <w:pPr>
        <w:pStyle w:val="TextoNormal"/>
      </w:pPr>
    </w:p>
    <w:p w:rsidR="00FA0779" w:rsidRDefault="00FA0779" w:rsidP="00FA0779">
      <w:pPr>
        <w:pStyle w:val="TextoNormal"/>
      </w:pPr>
      <w:r w:rsidRPr="00FA0779">
        <w:rPr>
          <w:rStyle w:val="NumeroAFNegritaCaracter"/>
        </w:rPr>
        <w:t>2</w:t>
      </w:r>
      <w:r>
        <w:t>. En primer lugar, es preciso señalar que, aunque la demanda dice dirigirse contra las resoluciones judiciales y el Acuerdo del Consejo de Ministros, en puridad, lejos de encontramos ante un recurso de amparo mixto (arts. 43 y 44 LOTC), lo estamos ante un típico recurso de amparo ex art. 43 LOTC. Y ello porque la vulneración de derechos imputada a las Sentencias del Tribunal Supremo ha de reconducirse a aquel Acuerdo, toda vez que la falta de motivación sólo se predica de la decisión del Consejo de Ministros y no del Tribunal Supremo que, motivadamente y en su exclusiva función de interpretación de la legalidad, ha considerado ajustado a Derecho el Acuerdo impugnado.</w:t>
      </w:r>
    </w:p>
    <w:p w:rsidR="00FA0779" w:rsidRDefault="00FA0779" w:rsidP="00FA0779">
      <w:pPr>
        <w:pStyle w:val="TextoNormal"/>
      </w:pPr>
      <w:r>
        <w:t>Siendo ello así, es claro que no pueden desvincularse, como pretende la Asociación demandante y el propio Ministerio Fiscal, la eventual concurrencia de una pérdida sobrevenida del objeto de este proceso, por satisfacción extraprocesal de la pretensión, de la denunciada vulneración del derecho a una tutela judicial efectiva. En efecto, la falta de motivación y, por ende, la eventual lesión del derecho a la tutela es imputable exclusivamente al Acuerdo del Consejo de Ministros, por lo que, si por decisión posterior de ese mismo órgano se reparó la lesión inicialmente ocasionada al Sr. Barrenechea, alcanzando de este modo una satisfacción extraprocesal de su pretensión, sólo cabe concluir que la queja relativa a la vulneración del derecho a la tutela pierde toda consistencia y autonomía para poder subsistir independientemente de todo ello en el presente proceso constitucional.</w:t>
      </w:r>
    </w:p>
    <w:p w:rsidR="00FA0779" w:rsidRDefault="00FA0779" w:rsidP="00FA0779">
      <w:pPr>
        <w:pStyle w:val="TextoNormal"/>
      </w:pPr>
    </w:p>
    <w:p w:rsidR="00FA0779" w:rsidRDefault="00FA0779" w:rsidP="00FA0779">
      <w:pPr>
        <w:pStyle w:val="TextoNormal"/>
      </w:pPr>
      <w:r w:rsidRPr="00FA0779">
        <w:rPr>
          <w:rStyle w:val="NumeroAFNegritaCaracter"/>
        </w:rPr>
        <w:t>3</w:t>
      </w:r>
      <w:r>
        <w:t>. La cuestión se contrae, de este modo, a determinar si el posterior nombramiento del Sr. Barrenechea puede ser considerado como una satisfacción extraprocesal de su pretensión en relación con la alegada lesión de su derecho a la igualdad en los cargos públicos con arreglo a lo dispuesto en las leyes.</w:t>
      </w:r>
    </w:p>
    <w:p w:rsidR="00FA0779" w:rsidRDefault="00FA0779" w:rsidP="00FA0779">
      <w:pPr>
        <w:pStyle w:val="TextoNormal"/>
      </w:pPr>
      <w:r>
        <w:t>En este sentido, hemos de reconocer en línea con lo manifestado por la Asociación actora y por el propio Ministerio Fiscal que, en puridad, no ha existido una pérdida sobrevenida del objeto del presente proceso constitucional, pues, el posterior nombramiento del Sr. Barrenechea fue el resultado de un procedimiento de designación distinto y plenamente independiente del anterior.</w:t>
      </w:r>
    </w:p>
    <w:p w:rsidR="00FA0779" w:rsidRDefault="00FA0779" w:rsidP="00FA0779">
      <w:pPr>
        <w:pStyle w:val="TextoNormal"/>
      </w:pPr>
    </w:p>
    <w:p w:rsidR="00FA0779" w:rsidRDefault="00FA0779" w:rsidP="00FA0779">
      <w:pPr>
        <w:pStyle w:val="TextoNormal"/>
      </w:pPr>
      <w:r w:rsidRPr="00FA0779">
        <w:rPr>
          <w:rStyle w:val="NumeroAFNegritaCaracter"/>
        </w:rPr>
        <w:t>4</w:t>
      </w:r>
      <w:r>
        <w:t>. Sin embargo, la demanda carece de contenido en su dimensión estrictamente material. En efecto, cumple recordar que el derecho del art. 23.2 C.E., concreción del derecho a la igualdad que, con carácter general, reconoce el art. 14 C.E., «no ampara un pretendido derecho fundamental al estricto cumplimiento de la legalidad en el acceso a los cargos públicos, ya que sólo cuando la infracción (de la legalidad) implique, a su vez, una vulneración de la igualdad... cabe entender que se ha vulnerado... el derecho fundamental que reconoce el art. 23.2 C.E.» (STC 115/1996, fundamento jurídico 4.º).</w:t>
      </w:r>
    </w:p>
    <w:p w:rsidR="00FA0779" w:rsidRDefault="00FA0779" w:rsidP="00FA0779">
      <w:pPr>
        <w:pStyle w:val="TextoNormal"/>
      </w:pPr>
      <w:r>
        <w:t xml:space="preserve">Desde esta perspectiva, es evidente que la Asociación demandante no impetra nuestro amparo frente al trato desigual ocasionado a uno de sus asociados, puesto que ni se reacciona frente a un acto o contra unas resoluciones judiciales que se hubiesen apartado arbitrariamente de sus precedentes, ni se aporta término alguno de comparación sobre el que articular un eventual juicio de igualdad que justifique el trato discriminatorio del que hipotéticamente fue objeto uno de sus miembros. Antes bien, a través del presente proceso de amparo constitucional, pretende la recurrente defender un determinado entendimiento de la legalidad en relación con la denominada «Carrera Fiscal».  Cuestión ésta, ajena al derecho fundamental invocado y a la propia jurisdicción de este Tribunal, a quien no corresponde decidir si, con arreglo a lo dispuesto en las leves, un acto de nombramiento como el </w:t>
      </w:r>
      <w:r>
        <w:lastRenderedPageBreak/>
        <w:t>que originó las presentes actuaciones ha de ser o no considerado como un acto discrecional ni el control de legalidad de dicho acto administrativo.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todo lo expuesto, la Sección acuerda inadmitir la presente demanda de amparo por concurrir la causa de inadmisión prevista en el art.  50.1 c) LOTC.</w:t>
      </w:r>
    </w:p>
    <w:p w:rsidR="00FA0779" w:rsidRDefault="00FA0779" w:rsidP="00FA0779">
      <w:pPr>
        <w:pStyle w:val="TextoNormal"/>
      </w:pPr>
    </w:p>
    <w:p w:rsidR="00FA0779" w:rsidRDefault="00FA0779" w:rsidP="00FA0779">
      <w:pPr>
        <w:pStyle w:val="TextoNormal"/>
      </w:pPr>
      <w:r>
        <w:t>Madrid, a ocho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8" w:name="AUTO_1997_255"/>
      <w:r>
        <w:lastRenderedPageBreak/>
        <w:t>AUTO 255/1997, de 1 de julio de 1997</w:t>
      </w:r>
    </w:p>
    <w:bookmarkEnd w:id="188"/>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ECLI:ES:TC:1997:255A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Acuerda el desistimiento en el recurso de amparo 3.280/1996, promovido en litigio social.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89" w:name="AUTO_1997_256"/>
      <w:r>
        <w:lastRenderedPageBreak/>
        <w:t>AUTO 256/1997, de 9 de julio de 1997</w:t>
      </w:r>
    </w:p>
    <w:bookmarkEnd w:id="189"/>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ECLI:ES:TC:1997:256A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en el recurso de amparo 699/1997.</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0" w:name="AUTO_1997_257"/>
      <w:r>
        <w:lastRenderedPageBreak/>
        <w:t>AUTO 257/1997, de 9 de julio de 1997</w:t>
      </w:r>
    </w:p>
    <w:bookmarkEnd w:id="190"/>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ECLI:ES:TC:1997:257A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del actor en el recurso de amparo 1.145/1997.</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1" w:name="AUTO_1997_258"/>
      <w:r>
        <w:lastRenderedPageBreak/>
        <w:t>AUTO 258/1997, de 14 de julio de 1997</w:t>
      </w:r>
    </w:p>
    <w:bookmarkEnd w:id="191"/>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ECLI:ES:TC:1997:258A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y don Carles Viver Pi-Sunyer.</w:t>
      </w:r>
    </w:p>
    <w:p w:rsidR="00FA0779" w:rsidRDefault="00FA0779" w:rsidP="00FA0779">
      <w:pPr>
        <w:pStyle w:val="SntesisDescriptiva"/>
      </w:pPr>
    </w:p>
    <w:p w:rsidR="00FA0779" w:rsidRDefault="00FA0779" w:rsidP="00FA0779">
      <w:pPr>
        <w:pStyle w:val="SntesisDescriptiva"/>
      </w:pPr>
      <w:r>
        <w:t>Desestimando recurso de súplica contra providencia de 17 de abril de 1997 dictada en el recurso de amparo 3.157/1992.</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Esta Sala, en providencia de 17 de abril del corriente año, señaló el siguiente día 21, para deliberación y votación del recurso de amparo núm. 3.157/92, designando como ponente al Magistrado don Rafael de Mendizábal Allende. La notificación de esta resolución fue cursada al Procurador que había comparecido en el recurso de amparo en nombre de la Asociación Cultural y Representativa «Alternativa Universitaria», don Luis Suárez Migoyo. El 29 de abril, el funcionario de este Tribunal encargado de notificaciones, extendió diligencia haciendo constar que la providencia en cuestión y los documentos que se adjuntaban con ella le habían sido devueltos en el Salón de Procuradores del Tribunal Supremo y que en tal diligencia de notificación aparecía escrita a lápiz la frase «Baja en la Profesión».</w:t>
      </w:r>
    </w:p>
    <w:p w:rsidR="00FA0779" w:rsidRDefault="00FA0779" w:rsidP="00FA0779">
      <w:pPr>
        <w:pStyle w:val="TextoNormal"/>
      </w:pPr>
    </w:p>
    <w:p w:rsidR="00FA0779" w:rsidRDefault="00FA0779" w:rsidP="00FA0779">
      <w:pPr>
        <w:pStyle w:val="TextoNormal"/>
      </w:pPr>
      <w:r w:rsidRPr="00FA0779">
        <w:rPr>
          <w:rStyle w:val="NumeroAFNegritaCaracter"/>
        </w:rPr>
        <w:t>2</w:t>
      </w:r>
      <w:r>
        <w:t>. En STC 95/1997 fue otorgado a la Universidad de Valencia el amparo que solicitaba frente a las Sentencias que estimaron el recurso contencioso-administrativo que en su día interpuso la indicada Asociación Cultural y Representativa «Alternativa Universitaria».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26 de abril fue presentado en el Registro General de este Tribunal un escrito encabezado por el Procurador de los Tribunales don Antonio Albaladejo Martínez, donde en nombre de «Alternativa Universitaria», cuya representación ostentaba, según decía, por designación apud acta, solicitaba le fuese notificada la providencia de señalamiento para votación y fallo, adoptada el 17 de abril. En Providencia de 29 de abril, se acordó requerirle para que acreditase la representación en la que decía actuar. </w:t>
      </w:r>
    </w:p>
    <w:p w:rsidR="00FA0779" w:rsidRDefault="00FA0779" w:rsidP="00FA0779">
      <w:pPr>
        <w:pStyle w:val="TextoNormal"/>
      </w:pPr>
      <w:r>
        <w:t>El 9 de mayo compareció en la Secretaría de la Sala Segunda de este Tribunal don Juan García Santandreu, en representación de la Asociación Cultural y Representativa «Alternativa Universitaria», al objeto de otorgar apoderamiento apud acta a favor del mencionado Procurador don Antonio Albaladejo Martínez. En providencia de 14 de mayo se tuvo a dicho Procurador por personado y parte en la representación que acreditó y, acto seguido, se le notificó la providencia de 17 de abril, así como la Sentencia y el voto particular formulado a ella por el Presidente de la Sala.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El 21 de mayo tuvo entrada en el Registro General de este Tribunal un escrito donde el representante de «Alternativa Universitaria», tras manifestar que en el Magistrado don Tomás S. Vives Antón concurría una causa de abstención, interponía recurso de súplica; contra la providencia de 17 de abril, instaba acción de nulidad de las actuaciones a partir de la misma y solicitaba que quedase sin efecto la deliberación y votación del recurso de amparo núm. 3.157/92, producida el 21 de abril, por habérsele privado del derecho a recusar a dicho Magistrado.</w:t>
      </w:r>
    </w:p>
    <w:p w:rsidR="00FA0779" w:rsidRDefault="00FA0779" w:rsidP="00FA0779">
      <w:pPr>
        <w:pStyle w:val="TextoNormal"/>
      </w:pPr>
    </w:p>
    <w:p w:rsidR="00FA0779" w:rsidRDefault="00FA0779" w:rsidP="00FA0779">
      <w:pPr>
        <w:pStyle w:val="TextoNormal"/>
      </w:pPr>
      <w:r w:rsidRPr="00FA0779">
        <w:rPr>
          <w:rStyle w:val="NumeroAFNegritaCaracter"/>
        </w:rPr>
        <w:t>5</w:t>
      </w:r>
      <w:r>
        <w:t>. El 26 de mayo, el Magistrado don Tomás S. Vives Antón dirigió escrito al Presidente de esta Sala comunicándole su abstención para intervenir en el recurso de súplica. El Presidente de la Sala comunicó la abstención al Presidente del Tribunal el 2 de junio. Transcurrido el plazo de cinco días que establece el art. 222.1 L.O.P.J. sin haberse recibido comunicación del Pleno, ha de tenérsele por abstenido.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Procurador Sr. Suárez Migoyo fue, en su momento, tenido por parte en este proceso constitucional en representación de la Asociación Cultural y Representativa «Alternativa Universitaria», en virtud del Poder General para Pleitos que presento al efecto. Todas las decisiones que ha ido adoptando la sala en el recurso de amparo fueron notificadas a dicha Asociación en la persona de quien, por su elección, era su representante en juicio.</w:t>
      </w:r>
    </w:p>
    <w:p w:rsidR="00FA0779" w:rsidRDefault="00FA0779" w:rsidP="00FA0779">
      <w:pPr>
        <w:pStyle w:val="TextoNormal"/>
      </w:pPr>
      <w:r>
        <w:t>De la misma forma se practicó la notificación de la providencia haciendo el señalamiento para deliberación y votación así como de la Sentencia otorgando el amparo, aun cuando, al parecer, el Procurador en cuestión había causado baja en la profesión, sin que nadie hubiera participado a este Tribunal tal circunstancia y sin que, como era obligado (arts. 9 L.E.C. y 80 LOTC), la Asociación a quien representaba así lo hiciera saber, designando nuevo representante. Por otra parte, según aquel precepto, mientras no se le tenga por desistido, el Procurador no podrá abandonar la representación que tuviere.  Por tanto, las notificaciones han de considerarse bien practicadas y cualquier consecuencia desfavorable de lo sucedido sólo es imputable a «Alternativa Universitaria», o a su representante a la sazón, por ser bien sabido que no puede lamentarse de indefensión quien con su actitud pasiva ha sido, al fin y a la postre, el causante de la misma (SSTC 65/1994 y 137/1996).</w:t>
      </w:r>
    </w:p>
    <w:p w:rsidR="00FA0779" w:rsidRDefault="00FA0779" w:rsidP="00FA0779">
      <w:pPr>
        <w:pStyle w:val="TextoNormal"/>
      </w:pPr>
    </w:p>
    <w:p w:rsidR="00FA0779" w:rsidRDefault="00FA0779" w:rsidP="00FA0779">
      <w:pPr>
        <w:pStyle w:val="TextoNormal"/>
      </w:pPr>
      <w:r w:rsidRPr="00FA0779">
        <w:rPr>
          <w:rStyle w:val="NumeroAFNegritaCaracter"/>
        </w:rPr>
        <w:t>2</w:t>
      </w:r>
      <w:r>
        <w:t>. A mayor abundamiento, ninguna virtualidad puede tener tampoco la otra parte del razonamiento en el cual «Alternativa Universitaria», funda su queja, esto es, el que como consecuencia de no haber llegado a su conocimiento la providencia de 17 de abril desconocía la composición de la Sala y, por ello, no tuvo la oportunidad de recusar al Magistrado don Tomás S. Vives Antón. En efecto, además del conocimiento que presumiblemente puede derivarse de la antes citada notificación de la providencia de señalamiento, esa composición fue hecha pública y pudo ser conocida desde los días 26 y 27 de abril de 1995, en que apareció en el «Boletín Oficial del Estado» núms. 99 y 100 el Acuerdo adoptado el 25 por el Pleno del Tribunal Constitucional reorganizando sus Salas y Secciones, con indicación individualizada de los Magistrados y su adscripción a cada una.</w:t>
      </w:r>
    </w:p>
    <w:p w:rsidR="00FA0779" w:rsidRDefault="00FA0779" w:rsidP="00FA0779">
      <w:pPr>
        <w:pStyle w:val="TextoNormal"/>
      </w:pPr>
    </w:p>
    <w:p w:rsidR="00FA0779" w:rsidRDefault="00FA0779" w:rsidP="00FA0779">
      <w:pPr>
        <w:pStyle w:val="TextoNormal"/>
      </w:pPr>
      <w:r w:rsidRPr="00FA0779">
        <w:rPr>
          <w:rStyle w:val="NumeroAFNegritaCaracter"/>
        </w:rPr>
        <w:t>3</w:t>
      </w:r>
      <w:r>
        <w:t>. El Magistrado Sr. Vives Antón se ha abstenido de intervenir en la tramitación y decisión de este recurso de súplica solamente por aparecer mencionado nominati en el escri</w:t>
      </w:r>
      <w:r>
        <w:lastRenderedPageBreak/>
        <w:t>to de interposición con el propósito anunciado de recusarle como componente de la Sala sentenciadora. La abstención no tiene más alcance que éste y en ningún caso se extiende a la providencia impugnada y menos aún a la Sentencia dictada. Este incidente procesal ha sido suscitado por «Alternativa Universitaria», a pesar de que pudo conocer, como antes dijimos, que el Magistrado a quien pretende recusar formaba parte de la Sala, a la cual había correspondido el recurso de amparo. Razón ésta suficiente para desestimar su recurso que con olvido del principio de buena fe procesal pretende reabrir extemporáneamente la posibilidad de recusación de dicho Magistrado.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Sala acuerda desestimar el presente recurso de súplica.</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2" w:name="AUTO_1997_259"/>
      <w:r>
        <w:lastRenderedPageBreak/>
        <w:t>AUTO 259/1997, de 14 de julio de 1997</w:t>
      </w:r>
    </w:p>
    <w:bookmarkEnd w:id="192"/>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ECLI:ES:TC:1997:259A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Declarando la extinción, por satisfacción extraprocesal, del recurso de amparo 3.511/1996.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3" w:name="AUTO_1997_260"/>
      <w:r>
        <w:lastRenderedPageBreak/>
        <w:t>AUTO 260/1997, de 14 de julio de 1997</w:t>
      </w:r>
    </w:p>
    <w:bookmarkEnd w:id="193"/>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ECLI:ES:TC:1997:260A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Desestimando recurso de súplica contra providencia de 26 de mayo de 1997, dictada en el recurso de amparo 3.701/1996.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2 de junio de 1997 el Procurador de los Tribunales don José Castillo Ruiz interpuso recurso de súplica contra la providencia de la Sección Tercera de este Tribunal, de fecha 26 de mayo de 1997, por la que se declaró la falta de jurisdicción de este Tribunal en el expediente de jura de cuentas instado por el recurrente en razón de la representación ejercitada en el recurso de amparo núm. 3.701/96.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más relevantes que fundamentan el recurso de súplica son, en síntesis, los siguientes: </w:t>
      </w:r>
    </w:p>
    <w:p w:rsidR="00FA0779" w:rsidRDefault="00FA0779" w:rsidP="00FA0779">
      <w:pPr>
        <w:pStyle w:val="TextoNormal"/>
      </w:pPr>
      <w:r>
        <w:t xml:space="preserve">a) El recurso de amparo núm. 3.701/96 fue promovido por «Inmobiliaria Constructora Ávila Rojas, S.A.», contra el Auto de la Sala de lo Contencioso-Administrativo del Tribunal Superior de Justicia de Andalucía, de fecha 20 de septiembre de 1996, por el que se desestimaba la pretensión de declaración de inejecutabilidad de una Sentencia de la Sección Primera de la misma Sala. El recurrente de amparo fue representado por el Procurador de los Tribunales don José Castillo Ruiz. </w:t>
      </w:r>
    </w:p>
    <w:p w:rsidR="00FA0779" w:rsidRDefault="00FA0779" w:rsidP="00FA0779">
      <w:pPr>
        <w:pStyle w:val="TextoNormal"/>
      </w:pPr>
      <w:r>
        <w:t xml:space="preserve">b) Mediante providencia de 9 de diciembre de 1996 la Sección Tercera de este Tribunal declaró la inadmisión del mencionado recurso de amparo. </w:t>
      </w:r>
    </w:p>
    <w:p w:rsidR="00FA0779" w:rsidRDefault="00FA0779" w:rsidP="00FA0779">
      <w:pPr>
        <w:pStyle w:val="TextoNormal"/>
      </w:pPr>
      <w:r>
        <w:t xml:space="preserve">c) Don José Castillo Ruiz presentó un escrito ante este Tribunal el 19 de mayo de 1997, por el que instaba el expediente de jura de cuentas, en el que reclamaba a su poderdante la cantidad de 918.800 pesetas más 100.000 pesetas de costas del expediente, solicitando que este Tribunal practicara el oportuno embargo si el poderdante no abonara dicha cantidad en el plazo de diez días. Acompañaba a dicho escrito la cuenta detallada de suplidos y derechos devengados a su favor. </w:t>
      </w:r>
    </w:p>
    <w:p w:rsidR="00FA0779" w:rsidRDefault="00FA0779" w:rsidP="00FA0779">
      <w:pPr>
        <w:pStyle w:val="TextoNormal"/>
      </w:pPr>
      <w:r>
        <w:t>d) Por providencia de 26 de mayo de 1996 la Sección Tercera de este Tribunal decidió, conforme a lo acordado en el Auto del Pleno de 12 de febrero de 1997 (recurso de amparo núm. 885/91), declarar la falta de jurisdicción de este Tribunal para conocer el procedimiento planteado, dado que la competencia constitucional (especificada en el art. 2.1 LOTC) se extiende sólo a las materias recogidas en el art. 3 de su Ley Orgánica, que no comprende la jura de cuentas, procedimiento dirigido a resolver cuestiones económicas entre el Procurador y su cliente, cuyos preceptos reguladores no se hallan entre los incluidos como de aplicación supletoria en el art. 80 de la LOTC.</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el recurso de súplica contra la providencia que se acaba de mencionar, interpuesto con base en el art. 93.2 de la LOTC, se estima que tal resolución infringe el art. 81.1 de la LOTC, así como el art. 8 de la L.E.C. El razonamiento parte de que el art. 81.1 de la LOTC impone forzosamente la intervención del Procurador en un recurso de amparo constitucional. En consecuencia, el Procurador que representa al demandante de amparo puede instar el procedimiento de jura de cuentas, pues está previsto con carácter general en el art. 8 de la L.E.C. Ahora bien, según este precepto el mencionado procedimiento debe tramitarse «ante el Juzgado o Tribunal en que radicare el negocio», que por ello tiene, únicamente él, jurisdicción y competencia para entender y resolver dicho incidente. Ello implica que sea el Tribunal Constitucional el que tenga jurisdicción y competencia para la presente jura de cuentas. </w:t>
      </w:r>
    </w:p>
    <w:p w:rsidR="00FA0779" w:rsidRDefault="00FA0779" w:rsidP="00FA0779">
      <w:pPr>
        <w:pStyle w:val="TextoNormal"/>
      </w:pPr>
      <w:r>
        <w:t xml:space="preserve">Don José Castillo Ruiz: añade que la L.E.C. no es sólo de aplicación supletoria a la LOTC -en virtud de lo dispuesto por el art. 80 de esta última- sino también de aplicación analógica a las cuestiones no reguladas expresamente en la Ley Orgánica de este Tribunal. De manera que aunque no se cite expresamente la jura de cuentas ni en el art. 2.1 ni en el art. 80 de la LOTC, debe corresponderle a este Tribunal su conocimiento, pues tales preceptos no son exhaustivos sino «programáticos», en el sentido de que expresan los asuntos principales que, funcionalmente o por razón de la materia, competen a este Tribunal. En el ya citado art. 80 de la LOTC tampoco se mencionan cuestiones como la posibilidad de litigar con el beneficio de justicia gratuita, ni la acumulación de acciones (distinta a la de autos o procesos), ni la tramitación de la tasación de costas, ni en fin la forma en que se ha de practicar la prueba una vez acordada por el Tribunal. Para todo ello hay que acudir a la L.E.C., pues la LOTC no ofrece respuesta al tratarse de una disposición que no contiene un Código de procedimiento común, sino sólo las materias o asuntos principales de los que entiende este Tribunal. </w:t>
      </w:r>
    </w:p>
    <w:p w:rsidR="00FA0779" w:rsidRDefault="00FA0779" w:rsidP="00FA0779">
      <w:pPr>
        <w:pStyle w:val="TextoNormal"/>
      </w:pPr>
      <w:r>
        <w:t>A la misma conclusión se llega por la vía del art. 3 de la LOTC, pues aunque la jura de cuentas no es, rigurosamente hablando, una cuestión incidental, sí es un proceso independiente pero que forma parte del «enjuiciamiento constitucional» de la materia, que en el presente caso consiste en el recurso de amparo inadmitido a trámite. Luego este Tribunal debe conocer de ella porque deriva o trae su causa del procedimiento de amparo, que sí es una materia incluida en la relación de las que competen a este Tribunal en el art. 2.1 b) de la LOTC.</w:t>
      </w:r>
    </w:p>
    <w:p w:rsidR="00FA0779" w:rsidRDefault="00FA0779" w:rsidP="00FA0779">
      <w:pPr>
        <w:pStyle w:val="TextoNormal"/>
      </w:pPr>
    </w:p>
    <w:p w:rsidR="00FA0779" w:rsidRDefault="00FA0779" w:rsidP="00FA0779">
      <w:pPr>
        <w:pStyle w:val="TextoNormal"/>
      </w:pPr>
      <w:r w:rsidRPr="00FA0779">
        <w:rPr>
          <w:rStyle w:val="NumeroAFNegritaCaracter"/>
        </w:rPr>
        <w:t>4</w:t>
      </w:r>
      <w:r>
        <w:t>. Mediante providencia de 9 de junio de 1997 la Sección Tercera de este Tribunal acordó unir el escrito del recurso de súplica a las actuaciones del recurso de amparo núm. 3.701/96, y dar traslado de copia de aquél al Ministerio Fiscal a fin de que, en el plazo de tres días, alegara lo que estimase pertinente.</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formuló su escrito de alegaciones con fecha 20 de junio de 1997, en el que interesó la desestimación del recurso de súplica por falta de jurisdicción del Tribunal Constitucional para la tramitación del procedimiento de jura de cuentas, en aplicación de la doctrina contenida en el ATC 45/1997.</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la vía del art. 93.2 se interpone recurso de súplica contra nuestra providencia de 26 de mayo de 1997 por la que declaramos la falta de jurisdicción de este Tribunal para conocer del procedimiento de jura de cuentas instado por el Procurador don José Castillo Ruiz que representó al demandante del amparo que figura en el encabezamiento. Procede ahora confirmar dicha providencia y desestimar el recurso de súplica en aplicación de la doctrina recogida en el ATC 45/1997, cuyos fundamentos jurídicos se incluyen de forma resumida a continuación.</w:t>
      </w:r>
    </w:p>
    <w:p w:rsidR="00FA0779" w:rsidRDefault="00FA0779" w:rsidP="00FA0779">
      <w:pPr>
        <w:pStyle w:val="TextoNormal"/>
      </w:pPr>
    </w:p>
    <w:p w:rsidR="00FA0779" w:rsidRDefault="00FA0779" w:rsidP="00FA0779">
      <w:pPr>
        <w:pStyle w:val="TextoNormal"/>
      </w:pPr>
      <w:r w:rsidRPr="00FA0779">
        <w:rPr>
          <w:rStyle w:val="NumeroAFNegritaCaracter"/>
        </w:rPr>
        <w:t>2</w:t>
      </w:r>
      <w:r>
        <w:t>. La competencia de este Tribunal viene atribuida por los arts. 53.2, 95.2, 123.1, 161.1 y 2 y 163 de la C.E. Por su parte el art. 2.1 de la LOTC específica las materias de las que puede conocer, añadiendo únicamente el art.  3 de la misma disposición que dicha competencia «se extiende al conocimiento y decisión de las cuestiones prejudiciales e incidentales no pertenecientes al orden constitucional, directamente relacionadas con la materia de que conoce, a los solos efectos del enjuiciamiento constitucional de ésta».</w:t>
      </w:r>
    </w:p>
    <w:p w:rsidR="00FA0779" w:rsidRDefault="00FA0779" w:rsidP="00FA0779">
      <w:pPr>
        <w:pStyle w:val="TextoNormal"/>
      </w:pPr>
      <w:r>
        <w:t>En la STC 110/1993 ya declaramos que el procedimiento de jura de cuentas, previsto en los arts. 8 y 12 de la L.E.C., no supone una vulneración de los arts. 14 y 24 de la C.E., siempre que, respecto de este último precepto constitucional, se interpreten dichos artículos de la L.E.C. con determinadas cautelas. Tras recoger en el fundamento jurídico 3.º de dicha Sentencia el origen histórico de estos preceptos; lo caracterizábamos en el fundamento jurídico 4 como «un procedimiento, ciertamente no desarrollado, de naturaleza ejecutiva para hacer efectivos de forma sumaria y expeditiva los créditos derivados de la actuación profesional en un determinado proceso» y más adelante como «un procedimiento especial en virtud del cual y de forma rápida y sencilla puedan resarcirse de los gastos anticipados y de los trabajos realizados dentro del proceso», los Procuradores y Abogados. Concluíamos entonces que es razonable que pueda el legislador establecer mecanismos de reclamación distintos del juicio declarativo ordinario cuando sea diferente la situación en que se encuentran los acreedores respecto de sus deudores», como ocurre «con los procedimientos ejecutivos especiales que para Abogados y Procuradores establecen los arts 12 y 8 de la L.E.C.». Esta doctrina fue reiterada por las SSTC 157/1994, 167/1994, 79/1996, 12/1997 y 20/1997.</w:t>
      </w:r>
    </w:p>
    <w:p w:rsidR="00FA0779" w:rsidRDefault="00FA0779" w:rsidP="00FA0779">
      <w:pPr>
        <w:pStyle w:val="TextoNormal"/>
      </w:pPr>
    </w:p>
    <w:p w:rsidR="00FA0779" w:rsidRDefault="00FA0779" w:rsidP="00FA0779">
      <w:pPr>
        <w:pStyle w:val="TextoNormal"/>
      </w:pPr>
      <w:r w:rsidRPr="00FA0779">
        <w:rPr>
          <w:rStyle w:val="NumeroAFNegritaCaracter"/>
        </w:rPr>
        <w:t>3</w:t>
      </w:r>
      <w:r>
        <w:t>. Es evidente que ni la Constitución, ni la LOTC, ni ninguna otra Ley Orgánica atribuye a este Tribunal el conocimiento de este procedimiento ejecutivo especial. Esto sentado, es cierto que el art. 3 de la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tendrá lugar «a los solos efectos del enjuiciamiento constitucional de ésta».</w:t>
      </w:r>
    </w:p>
    <w:p w:rsidR="00FA0779" w:rsidRDefault="00FA0779" w:rsidP="00FA0779">
      <w:pPr>
        <w:pStyle w:val="TextoNormal"/>
      </w:pPr>
      <w:r>
        <w:t>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2.1). Proyectado el precepto sobre el procedimiento que nos ocupa, es claro que con la jura de cuentas no se pretende resolver cuestión incidental alguna direc</w:t>
      </w:r>
      <w:r>
        <w:lastRenderedPageBreak/>
        <w:t>tamente relacionada con el enjuiciamiento constitucional de la demanda de amparo en su día inadmitida a trámite. Como dijimos en el ATC 218/1996, el art. 3 de la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Mal puede ser considerado el cobro de un crédito nacido de una relación profesional -arrendamiento de servicios- como una cuestión directamente relacionada con materia constitucional alguna.</w:t>
      </w:r>
    </w:p>
    <w:p w:rsidR="00FA0779" w:rsidRDefault="00FA0779" w:rsidP="00FA0779">
      <w:pPr>
        <w:pStyle w:val="TextoNormal"/>
      </w:pPr>
    </w:p>
    <w:p w:rsidR="00FA0779" w:rsidRDefault="00FA0779" w:rsidP="00FA0779">
      <w:pPr>
        <w:pStyle w:val="TextoNormal"/>
      </w:pPr>
      <w:r w:rsidRPr="00FA0779">
        <w:rPr>
          <w:rStyle w:val="NumeroAFNegritaCaracter"/>
        </w:rPr>
        <w:t>4</w:t>
      </w:r>
      <w:r>
        <w:t>. La jura de cuentas no se halla entre las cuestiones relacionadas en el art.  80 de la LOTC que han de regirse por los preceptos de la L.O.P.J. y de la L.E.C. con carácter supletorio. No obstante, el Procurador que ha formulado el presente recurso de súplica aduce que el mencionado art. 80 de la LOTC no es exhaustivo, por lo que respecto de otras cuestiones no reguladas en la LOTC debe aplicarse analógicamente lo dispuesto en la L.E.C. Y menciona como materias carentes de tratamiento específico en nuestra Ley Orgánica la posibilidad de litigar con el beneficio de justicia gratuita; la acumulación de acciones (distinta a la de autos o procesos); la tramitación de la tasación de costas; y, finalmente, la forma en que se ha de practicar la prueba una vez acordada por el Tribunal.</w:t>
      </w:r>
    </w:p>
    <w:p w:rsidR="00FA0779" w:rsidRDefault="00FA0779" w:rsidP="00FA0779">
      <w:pPr>
        <w:pStyle w:val="TextoNormal"/>
      </w:pPr>
      <w:r>
        <w:t>Tal razonamiento no puede estimarse. Es cierto que en algún supuesto concreto hemos admitido la aplicación de un precepto de la L.E.C. a un proceso constitucional en materia no contemplada en el art. 80 de la LOTC, por vía de analogía (ATC 288/1984). Pero hemos declarado con carácter general que la Ley procesal civil será aplicable en la medida en que no vaya contra la Ley Orgánica de este Tribunal y sus principios inspiradores (STC 86/1982). Y en aplicación de esta regla hemos dicho que «la prueba en los procesos constitucionales ha de articularse desde unos principios que no pueden surgir de un automático traslado de los que rigen los procesos ordinarios» (ATC 223/1984), o que no es posible excluir los días hábiles del mes de agosto en el cómputo del plazo para interponer el recurso de amparo, a pesar de lo dispuesto en el art. 183 L.O.P.J. y en aplicación del Acuerdo del Pleno de 15 de junio de 1982 (ATC 228/1991). En el fundamento jurídico anterior ya hemos expresado las razones materiales por las que el expediente de la jura de cuentas -que el propio recurrente no califica de incidente ni de cuestión prejudicial, como presupone el art. 3 de la LOTC, sino como proceso independiente- no guarda conexión con el enjuiciamiento del recurso de amparo promovido por el poderdante. En consecuencia, no hay razón para que esta concreta materia que no entraña enjuiciamiento constitucional alguno (art. 3 LOTC), sea objeto de una aplicación analógica de la L.E.C., en atención a la finalidad que persigue nuestra Ley Orgánica y los principios que la inspiran, que implican siempre un juicio de constitucíonalidad.</w:t>
      </w:r>
    </w:p>
    <w:p w:rsidR="00FA0779" w:rsidRDefault="00FA0779" w:rsidP="00FA0779">
      <w:pPr>
        <w:pStyle w:val="TextoNormal"/>
      </w:pPr>
      <w:r>
        <w:t>Por lo demás, no es cierto que todas las cuestiones mencionadas en el recurso de súplica requieran necesariamente una aplicación analógica de la Ley rituaria civil. Y no lo es respecto de la forma de la práctica de la prueba, dado que el art. 89.1 de la LOTC dispone tajantemente que el Tribunal «resolverá libremente sobre la forma y el tiempo de su realización». Y tampoco lo es respecto al beneficio de la justicia gratuita, materia que en la actualidad se rige por el Acuerdo del Pleno de 18 de junio de 1996.</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En virtud de lo anteriormente expuesto, la Sección acuerda desestimar el recurso de súplica interpuesto por el Procurador don José Castillo Ruiz contra la providencia de fecha 26 de mayo de 1997.</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4" w:name="AUTO_1997_261"/>
      <w:r>
        <w:lastRenderedPageBreak/>
        <w:t>AUTO 261/1997, de 14 de julio de 1997</w:t>
      </w:r>
    </w:p>
    <w:bookmarkEnd w:id="194"/>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ECLI:ES:TC:1997:261A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4.227/1996.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el Juzgado de Guardia de Madrid el 19 de noviembre de 1996, doña Fátima Muñoz Rey, Procuradora de los Tribunales y de don Francisco Javier Núñez Arroyo interpone demanda de amparo contra la Sentencia de la Audiencia Provincial de Madrid, de 24 de octubre de 1996, recaída en apelación contra la dictada por el Juzgado de lo Penal núm. 7 de esta misma capital, en autos de procedimiento abreviado. En esta última, confirmada en apelación, se condenó al recurrente en amparo como autor de un delito de utilización ilegítima de un vehículo de motor ajeno, de dos delitos de robo con violencia en las personas en grado de consumación, de otro de este tipo en grado de tentativa y de un delito de imprudencia temeraria con resultado de lesiones.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síntesis, en los siguientes antecedentes de hecho: </w:t>
      </w:r>
    </w:p>
    <w:p w:rsidR="00FA0779" w:rsidRDefault="00FA0779" w:rsidP="00FA0779">
      <w:pPr>
        <w:pStyle w:val="TextoNormal"/>
      </w:pPr>
      <w:r>
        <w:t xml:space="preserve">a) El 10 de junio de 1996 el Juzgado de lo Penal núm. 7 de Madrid dictó Sentencia condenando al ahora recurrente en amparo como autor de un delito de utilización ilegítima de un vehículo de motor ajeno, de dos delitos de robo con violencia en las personas en grado de consumación, de otro de este tipo en grado de tentativa y de un delito de imprudencia temeraria con resultado de lesiones. </w:t>
      </w:r>
    </w:p>
    <w:p w:rsidR="00FA0779" w:rsidRDefault="00FA0779" w:rsidP="00FA0779">
      <w:pPr>
        <w:pStyle w:val="TextoNormal"/>
      </w:pPr>
      <w:r>
        <w:t xml:space="preserve">b) Contra dicha Sentencia interpuso recurso de apelación fijándose el 23 de octubre de 1996, a las diez horas y diez minutos, la vista del mismo. </w:t>
      </w:r>
    </w:p>
    <w:p w:rsidR="00FA0779" w:rsidRDefault="00FA0779" w:rsidP="00FA0779">
      <w:pPr>
        <w:pStyle w:val="TextoNormal"/>
      </w:pPr>
      <w:r>
        <w:t>e) La vista del recurso de apelación se celebró sin la presencia de dos Letrados que acudieron a la Audiencia Provincial y que no fueron llamados, ni por el Agente Judicial ni por megafonía. Según certificación del Secretario de la Presidencia de la Audiencia no fueron llamados debido a la gran cantidad de público existente.</w:t>
      </w:r>
    </w:p>
    <w:p w:rsidR="00FA0779" w:rsidRDefault="00FA0779" w:rsidP="00FA0779">
      <w:pPr>
        <w:pStyle w:val="TextoNormal"/>
      </w:pPr>
    </w:p>
    <w:p w:rsidR="00FA0779" w:rsidRDefault="00FA0779" w:rsidP="00FA0779">
      <w:pPr>
        <w:pStyle w:val="TextoNormal"/>
      </w:pPr>
      <w:r w:rsidRPr="00FA0779">
        <w:rPr>
          <w:rStyle w:val="NumeroAFNegritaCaracter"/>
        </w:rPr>
        <w:t>3</w:t>
      </w:r>
      <w:r>
        <w:t>. Considera el recurrente que se ha lesionado su derecho a la tutela judicial efectiva y a no sufrir indefensión (art. 24.1 C.E.) ya que por razones sólo imputables al órgano judicial se le privó del derecho a la defensa en la vista de la segunda instancia. Solicita la suspensión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La Sección Tercera por sendas providencias de 21 de marzo de 1997,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Por escrito presentado en los Juzgados de Guardia de Madrid el 26 de marzo de 1997, el recurrente solicita la suspensión de la Sentencia impugnada por entender que devino firme por no haberse podido defender en el recurso de apelación por un error no imputable a esta parte, es decir, alega el recurrente, no se puede considerar firme una Sentencia, y por lo tanto ejecutable, si no ha podido ser defendida.</w:t>
      </w:r>
    </w:p>
    <w:p w:rsidR="00FA0779" w:rsidRDefault="00FA0779" w:rsidP="00FA0779">
      <w:pPr>
        <w:pStyle w:val="TextoNormal"/>
      </w:pPr>
    </w:p>
    <w:p w:rsidR="00FA0779" w:rsidRDefault="00FA0779" w:rsidP="00FA0779">
      <w:pPr>
        <w:pStyle w:val="TextoNormal"/>
      </w:pPr>
      <w:r w:rsidRPr="00FA0779">
        <w:rPr>
          <w:rStyle w:val="NumeroAFNegritaCaracter"/>
        </w:rPr>
        <w:t>6</w:t>
      </w:r>
      <w:r>
        <w:t>. El Ministerio Fiscal por escrito que tuvo entrada en este Tribunal el 9 de abril de 1997, manifiesta que no se opone a la suspensión de las penas privativas de libertad, así como la de privación del permiso de conducir, pero no las costas; en lo que se refiere a las indemnizaciones considera que dado su carácter pecuniario no procede la suspensión.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Objeto del presente Auto es resolver acerca de la solicitada suspensión de la ejecución de la Sentencia de la Sección Tercera de la Audiencia Provincial de Madrid, de 24 de octubre de 1996, que condenaba al recurrente como autor responsable penal y civilmente de un delito de utilización ilegítima de un vehículo de motor ajeno en grado de consumación y sin fuerza en las cosas, de dos delitos de robo con violencia en las personas en grado de consumación, de un delito de robo con violencia en las personas, en grado de tentativa, y de un delito de imprudencia temeraria con resultado de lesiones. Se trata de dos penas de dos años de prisión menor, dos penas de cinco meses de arresto mayor, así como la de privación del permiso de conducir, indemnízaciones y costas.</w:t>
      </w:r>
    </w:p>
    <w:p w:rsidR="00FA0779" w:rsidRDefault="00FA0779" w:rsidP="00FA0779">
      <w:pPr>
        <w:pStyle w:val="TextoNormal"/>
      </w:pPr>
    </w:p>
    <w:p w:rsidR="00FA0779" w:rsidRDefault="00FA0779" w:rsidP="00FA0779">
      <w:pPr>
        <w:pStyle w:val="TextoNormal"/>
      </w:pPr>
      <w:r w:rsidRPr="00FA0779">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FA0779" w:rsidRDefault="00FA0779" w:rsidP="00FA0779">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FA0779" w:rsidRDefault="00FA0779" w:rsidP="00FA0779">
      <w:pPr>
        <w:pStyle w:val="TextoNormal"/>
      </w:pPr>
      <w:r>
        <w:t xml:space="preserve">De ahí que en esta materia el criterio del Tribunal venga distinguiendo entre resoluciones judiciales con efectos reparables y aquellas otras que por privar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w:t>
      </w:r>
      <w:r>
        <w:lastRenderedPageBreak/>
        <w:t>la condena hasta que se resuelva el recurso de amparo, salvo en los supuestos en los que la duración de la pena aconsejen lo contrario.</w:t>
      </w:r>
    </w:p>
    <w:p w:rsidR="00FA0779" w:rsidRDefault="00FA0779" w:rsidP="00FA0779">
      <w:pPr>
        <w:pStyle w:val="TextoNormal"/>
      </w:pPr>
    </w:p>
    <w:p w:rsidR="00FA0779" w:rsidRDefault="00FA0779" w:rsidP="00FA0779">
      <w:pPr>
        <w:pStyle w:val="TextoNormal"/>
      </w:pPr>
      <w:r w:rsidRPr="00FA0779">
        <w:rPr>
          <w:rStyle w:val="NumeroAFNegritaCaracter"/>
        </w:rPr>
        <w:t>3</w:t>
      </w:r>
      <w:r>
        <w:t>. Aplicada la doctrina expuesta al presente caso, ha de accederse a la suspensión solicitada por el recurrente dada la corta duración de las penas privativas de libertad impuestas. Precisamente el que éstas no sean de excesiva duración implica que de no concederse la suspensión de su ejecución sería ineficaz el amparo en el caso de que se otorgara. Debe, pues, respecto de las mismas y de sus accesorias, que siguen la misma suerte que la principal (AATC 202/1992 y 6/1996, entre otros), así como de la de privación del permiso de conducir, acordarse su suspensión.</w:t>
      </w:r>
    </w:p>
    <w:p w:rsidR="00FA0779" w:rsidRDefault="00FA0779" w:rsidP="00FA0779">
      <w:pPr>
        <w:pStyle w:val="TextoNormal"/>
      </w:pPr>
      <w:r>
        <w:t>En cuanto a los pronunciamientos de contenido económico de la Sentencia impugnada, es decir, las costas y las indemnizaciones de responsabilidad civil no procede la suspensión pues se trata de un perjuicio que en caso de estimarse el amparo podría ser fácilmente reparado (AATC 88 y 103/1995).</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w:t>
      </w:r>
    </w:p>
    <w:p w:rsidR="00FA0779" w:rsidRDefault="00FA0779" w:rsidP="00FA0779">
      <w:pPr>
        <w:pStyle w:val="TextoNormal"/>
      </w:pPr>
      <w:r>
        <w:t>1.º Suspender la ejecución de la Sentencia, de 24 de octubre de 1996, de la Sección Tercera de la Audiencia Provincial de Madrid, tan sólo respecto a las penas privativas de libertad impuestas y sus accesorias legales y la de privación del permiso de</w:t>
      </w:r>
    </w:p>
    <w:p w:rsidR="00FA0779" w:rsidRDefault="00FA0779" w:rsidP="00FA0779">
      <w:pPr>
        <w:pStyle w:val="TextoNormal"/>
      </w:pPr>
      <w:r>
        <w:t>conducir.</w:t>
      </w:r>
    </w:p>
    <w:p w:rsidR="00FA0779" w:rsidRDefault="00FA0779" w:rsidP="00FA0779">
      <w:pPr>
        <w:pStyle w:val="TextoNormal"/>
      </w:pPr>
      <w:r>
        <w:t>2.º No suspender la ejecución de las indemnizaciones por responsabilidad civil ni el pago de las costas procesales impuestas.</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5" w:name="AUTO_1997_262"/>
      <w:r>
        <w:lastRenderedPageBreak/>
        <w:t>AUTO 262/1997, de 14 de julio de 1997</w:t>
      </w:r>
    </w:p>
    <w:bookmarkEnd w:id="195"/>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ECLI:ES:TC:1997:262A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TtuloResolucin"/>
      </w:pPr>
      <w:r>
        <w:t>*Este auto no incorpora doctrina constitucional.</w:t>
      </w:r>
    </w:p>
    <w:p w:rsidR="00FA0779" w:rsidRDefault="00FA0779">
      <w:pPr>
        <w:rPr>
          <w:rFonts w:ascii="Times New Roman" w:eastAsia="Times New Roman" w:hAnsi="Times New Roman" w:cs="Times New Roman"/>
          <w:b/>
          <w:sz w:val="24"/>
          <w:szCs w:val="24"/>
          <w:lang w:eastAsia="es-ES"/>
        </w:rPr>
      </w:pPr>
      <w:r>
        <w:br w:type="page"/>
      </w:r>
    </w:p>
    <w:p w:rsidR="00FA0779" w:rsidRDefault="00FA0779" w:rsidP="00FA0779">
      <w:pPr>
        <w:pStyle w:val="TtuloResolucin"/>
      </w:pPr>
      <w:bookmarkStart w:id="196" w:name="AUTO_1997_263"/>
      <w:r>
        <w:lastRenderedPageBreak/>
        <w:t>AUTO 263/1997, de 14 de julio de 1997</w:t>
      </w:r>
    </w:p>
    <w:bookmarkEnd w:id="196"/>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ECLI:ES:TC:1997:263A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Acordando la inadmisión a trámite del recurso de amparo 4.357/1996.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el Registro de este Tribunal el 29 de noviembre de 1996, el Procurador de los Tribunales don Emilio Álvarez Zancada, en nombre y representación de doña Antonia Requena Jiménez, don Rafael Álvarez Requena y de doña Catalina Martínez Lorenzo, interpuso recurso de amparo constitucional contra Sentencia de la Sección Octava de la Sala de lo Penal de la Audiencia Provincial de Barcelona de fecha 5 de octubre de 1996, recaída en el recurso de apelación núm. 3.067/96 de la Sentencia dictada por el Juzgado de Instrucción núm. 3 de Arenys de Mar en el juicio de faltas 263/94; y ello por la violación del derecho fundamental a utilizar los medios de prueba pertinentes para la defensa, por la incongruencia omisiva de la mencionada Sentencia y por la reformatio in peius, en que incurrió dicha resolución judicial vulnerando así el derecho fundamental a la tutela judicial efectiva, protegidos ambos derechos por art. 24.1 y 2 de la Constitución.</w:t>
      </w:r>
    </w:p>
    <w:p w:rsidR="00FA0779" w:rsidRDefault="00FA0779" w:rsidP="00FA0779">
      <w:pPr>
        <w:pStyle w:val="TextoNormal"/>
      </w:pPr>
    </w:p>
    <w:p w:rsidR="00FA0779" w:rsidRDefault="00FA0779" w:rsidP="00FA0779">
      <w:pPr>
        <w:pStyle w:val="TextoNormal"/>
      </w:pPr>
      <w:r w:rsidRPr="00FA0779">
        <w:rPr>
          <w:rStyle w:val="NumeroAFNegritaCaracter"/>
        </w:rPr>
        <w:t>2</w:t>
      </w:r>
      <w:r>
        <w:t>. Seguido el recurso por sus trámites, la Sección por providencia de 3 de marzo de 1997 acordó oír por un plazo común de diez días, al Ministerio Fiscal y al solicitante de amparo, a tenor de lo dispuesto en el art. 50.3 de la Ley Orgánica del Tribunal, para que alegaren lo que estimasen pertinente en relación con la posible existencia del motivo de inadmisión consistente en carecer la demanda manifiestamente de contenido constitucional [(art. 50.1 e) de la citada Ley Orgánica)].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Procurador señor Álvarez Zancada, por escrito presentado en el Tribunal el día 13 de marzo siguiente, alegó la vulneración del derecho fundamental a la tutela judicial efectiva reconocida en el art. 24 de la Constitución, que, en síntesis argumenta así: </w:t>
      </w:r>
    </w:p>
    <w:p w:rsidR="00FA0779" w:rsidRDefault="00FA0779" w:rsidP="00FA0779">
      <w:pPr>
        <w:pStyle w:val="TextoNormal"/>
      </w:pPr>
      <w:r>
        <w:t xml:space="preserve">a) Derecho a obtener una resolución fundada: </w:t>
      </w:r>
    </w:p>
    <w:p w:rsidR="00FA0779" w:rsidRDefault="00FA0779" w:rsidP="00FA0779">
      <w:pPr>
        <w:pStyle w:val="TextoNormal"/>
      </w:pPr>
      <w:r>
        <w:t xml:space="preserve">Se ha vulnerado por la Sentencia del Juzgado en cuanto incurre en falta de valoración de la prueba practicada, incurre en omisión respecto de los gastos médicos acreditados y no indica las bases sobre las que acuerda reducir la indemnización que corresponde a los herederos de la víctima. </w:t>
      </w:r>
    </w:p>
    <w:p w:rsidR="00FA0779" w:rsidRDefault="00FA0779" w:rsidP="00FA0779">
      <w:pPr>
        <w:pStyle w:val="TextoNormal"/>
      </w:pPr>
      <w:r>
        <w:t xml:space="preserve">Se quebranta por la Sentencia de la Audiencia Provincial al incurrir en confusión entre apelantes y apelados en su antecedente de hecho segundo, por falta de valoración de la prueba, que no hace caso a las argumentaciones de la parte sobre los errores en la prueba </w:t>
      </w:r>
      <w:r>
        <w:lastRenderedPageBreak/>
        <w:t xml:space="preserve">practicada e incurre en reforma peyorativa al olvidar señalar indemnización para la madre de la víctima. </w:t>
      </w:r>
    </w:p>
    <w:p w:rsidR="00FA0779" w:rsidRDefault="00FA0779" w:rsidP="00FA0779">
      <w:pPr>
        <w:pStyle w:val="TextoNormal"/>
      </w:pPr>
      <w:r>
        <w:t xml:space="preserve">b) Derecho a obtener una Sentencia congruente: </w:t>
      </w:r>
    </w:p>
    <w:p w:rsidR="00FA0779" w:rsidRDefault="00FA0779" w:rsidP="00FA0779">
      <w:pPr>
        <w:pStyle w:val="TextoNormal"/>
      </w:pPr>
      <w:r>
        <w:t xml:space="preserve">Las Sentencias impugnadas omitieron diversos aspectos del objeto del debate, tales como la capacidad del acusado para conducir, lugar donde se hallaba la víctima y punto del impacto, fijación de cuantía por los gastos médicos e incremento en concepto de daño moral para la viuda, además de la reforma peyorativa antes citada. </w:t>
      </w:r>
    </w:p>
    <w:p w:rsidR="00FA0779" w:rsidRDefault="00FA0779" w:rsidP="00FA0779">
      <w:pPr>
        <w:pStyle w:val="TextoNormal"/>
      </w:pPr>
      <w:r>
        <w:t xml:space="preserve">c) Error en la norma aplicable: </w:t>
      </w:r>
    </w:p>
    <w:p w:rsidR="00FA0779" w:rsidRDefault="00FA0779" w:rsidP="00FA0779">
      <w:pPr>
        <w:pStyle w:val="TextoNormal"/>
      </w:pPr>
      <w:r>
        <w:t xml:space="preserve">La Sentencia de instancia no hace referencia normativa alguna al decidir el quantum de la indemnización. Además señala la procedencia de aplicación del baremo publicado por Orden de 4 de marzo de 1991 en su versión actualizada para el año 1994 por Resolución de 20 de enero de dicho año y luego aplica otra norma bien distinta por la que atenta al derecho fundamental invocado. </w:t>
      </w:r>
    </w:p>
    <w:p w:rsidR="00FA0779" w:rsidRDefault="00FA0779" w:rsidP="00FA0779">
      <w:pPr>
        <w:pStyle w:val="TextoNormal"/>
      </w:pPr>
      <w:r>
        <w:t xml:space="preserve">d) Derecho a utilizar todos los medios de prueba: </w:t>
      </w:r>
    </w:p>
    <w:p w:rsidR="00FA0779" w:rsidRDefault="00FA0779" w:rsidP="00FA0779">
      <w:pPr>
        <w:pStyle w:val="TextoNormal"/>
      </w:pPr>
      <w:r>
        <w:t>También se vulnera este aspecto de la tutela judicial efectiva en cuanto no fue permitida la práctica de pruebas que podían arrojar luz sobre las circunstancias en las que se produjeron los hechos.</w:t>
      </w:r>
    </w:p>
    <w:p w:rsidR="00FA0779" w:rsidRDefault="00FA0779" w:rsidP="00FA0779">
      <w:pPr>
        <w:pStyle w:val="TextoNormal"/>
      </w:pPr>
    </w:p>
    <w:p w:rsidR="00FA0779" w:rsidRDefault="00FA0779" w:rsidP="00FA0779">
      <w:pPr>
        <w:pStyle w:val="TextoNormal"/>
      </w:pPr>
      <w:r w:rsidRPr="00FA0779">
        <w:rPr>
          <w:rStyle w:val="NumeroAFNegritaCaracter"/>
        </w:rPr>
        <w:t>4</w:t>
      </w:r>
      <w:r>
        <w:t>. El Ministerio Fiscal por dictamen presentado en el Registro del Tribunal el 21 de marzo último entiende que la posible carencia de contenido constitucional de la demanda no es manifiesta,, por lo que procede su admisión a trámite y la resolución del recurso por Sentencia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En el presente recurso se alega la vulneración del derecho a la tutela judicial efectiva (art. 24.1 C.E.)  asociado a una incongruencia omisiva como consecuencia de no haberse reconocido en la Sentencia dictada por la Sección Octava de la</w:t>
      </w:r>
    </w:p>
    <w:p w:rsidR="00FA0779" w:rsidRDefault="00FA0779" w:rsidP="00FA0779">
      <w:pPr>
        <w:pStyle w:val="TextoNormal"/>
      </w:pPr>
      <w:r>
        <w:t>Audiencia Provincial de Barcelona el 5 de octubre de 1996 (rollo 3.068/96) la correspondiente indemnización que fue concedida en el Juzgado de Primera Instancia e Instrucción núm. 3 de Arenys de Mar a doña Catalina Martínez Lorenzo.</w:t>
      </w:r>
    </w:p>
    <w:p w:rsidR="00FA0779" w:rsidRDefault="00FA0779" w:rsidP="00FA0779">
      <w:pPr>
        <w:pStyle w:val="TextoNormal"/>
      </w:pPr>
      <w:r>
        <w:t>Pese a las manifestaciones que en este orden de cosas hacen los recurrentes en amparo, tal violación no se produjo tomando en cuenta que la apelación, al no hacer referencia alguna a dicha señora -la parte obligada al pago no discutió su procedencia, sino su cantidad-, mantiene la condena en los términos señalados en la Sentencia de instancia, esto es, en cuantía de 500.000 pesetas.</w:t>
      </w:r>
    </w:p>
    <w:p w:rsidR="00FA0779" w:rsidRDefault="00FA0779" w:rsidP="00FA0779">
      <w:pPr>
        <w:pStyle w:val="TextoNormal"/>
      </w:pPr>
      <w:r>
        <w:t>El resto de las invocaciones que los recurrentes en amparo hacen son problemas que no inciden en vulneraciones constitucionales. En efecto, las consecuencias que de la prueba practicada obtuvo el juzgador, es algo que no corresponde revisar a este Tribunal salvo cuando se trata de decisiones arbitrarias, que no es el caso. Otro tanto sucede en relación con la normativa aplicada en relación con la cuantía indemnizatoria.</w:t>
      </w:r>
    </w:p>
    <w:p w:rsidR="00FA0779" w:rsidRDefault="00FA0779" w:rsidP="00FA0779">
      <w:pPr>
        <w:pStyle w:val="TextoNormal"/>
      </w:pPr>
      <w:r>
        <w:t>Respecto de la prueba denegada en la segunda instancia, referida a la declaración de los Guardias Civiles que ya lo hicieron en la primera y a la declaración de la viuda del fallecido que no presenció directamente el atropello, se trata de una decisión que en función de las circunstancias existentes, ha de estimarse conforme a lo establecido en el ordenamiento jurídico a efectos constitucionales.</w:t>
      </w:r>
    </w:p>
    <w:p w:rsidR="00FA0779" w:rsidRDefault="00FA0779" w:rsidP="00FA0779">
      <w:pPr>
        <w:pStyle w:val="TextoNormal"/>
      </w:pPr>
      <w:r>
        <w:lastRenderedPageBreak/>
        <w:t>Finalmente, en orden a la ampliación de la demanda de amparo respecto de un Auto aclaratorio de la Sentencia, es extemporánea al haber transcurrido con exceso el plazo de 20 días establecido en la LOTC contados a partir de la notificación del mismo.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la inadmisión a trámite del recurso de amparo, y el archivo de las presentes actuaciones.</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7" w:name="AUTO_1997_264"/>
      <w:r>
        <w:lastRenderedPageBreak/>
        <w:t>AUTO 264/1997, de 14 de julio de 1997</w:t>
      </w:r>
    </w:p>
    <w:bookmarkEnd w:id="197"/>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ECLI:ES:TC:1997:264A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Acordando la inadmisión a trámite del recurso de amparo 4.532/1996.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presentado en el Registro de este Tribunal el 13 de diciembre de 1996, la Procuradora de los Tribunales doña María Angustias del Barrio León, en nombre y representación de don José Francisco Luque Sánchez, interpone recurso de amparo constitucional contra Sentencia dictada el 13 de noviembre de 1996 por la Sala Quinta del Tribunal Supremo, recaída en el recurso de casación 2/22/96 por la que se desestima en su integridad el recurso interpuesto contra la Sentencia dictada el 20 de octubre de 1995 por el Tribunal Militar Central que a su vez desestimó el recurso contencioso-disciplinario militar, ordinario, núm. 11/94 deducido contra la sanción disciplinaria de un mes y quince días de arresto que por falta grave le impuso el General Jefe de la Agrupación de Tráfico de la Guardia Civil.</w:t>
      </w:r>
    </w:p>
    <w:p w:rsidR="00FA0779" w:rsidRDefault="00FA0779" w:rsidP="00FA0779">
      <w:pPr>
        <w:pStyle w:val="TextoNormal"/>
      </w:pPr>
    </w:p>
    <w:p w:rsidR="00FA0779" w:rsidRDefault="00FA0779" w:rsidP="00FA0779">
      <w:pPr>
        <w:pStyle w:val="TextoNormal"/>
      </w:pPr>
      <w:r w:rsidRPr="00FA0779">
        <w:rPr>
          <w:rStyle w:val="NumeroAFNegritaCaracter"/>
        </w:rPr>
        <w:t>2</w:t>
      </w:r>
      <w:r>
        <w:t>. El recurso de casación se fundamenta jurídicamente, entre otros motivos, según manifiesta la parte recurrente, en la falta de tipicidad de la conducta de su representado, así como en que la sanción impuesta era contraria, por ende, al principio de legalidad, vulnerándose, de este modo por el Tribunal Supremo, el derecho a la obtención de la tutela judicial efectiva y provocando una clara situación de indefensión por cuanto el actor ha sido sancionado por una conducta no reglada en la Ley Orgánica 11/1991, siendo por ello por lo que solicita el amparo ante este Tribunal.</w:t>
      </w:r>
    </w:p>
    <w:p w:rsidR="00FA0779" w:rsidRDefault="00FA0779" w:rsidP="00FA0779">
      <w:pPr>
        <w:pStyle w:val="TextoNormal"/>
      </w:pPr>
    </w:p>
    <w:p w:rsidR="00FA0779" w:rsidRDefault="00FA0779" w:rsidP="00FA0779">
      <w:pPr>
        <w:pStyle w:val="TextoNormal"/>
      </w:pPr>
      <w:r w:rsidRPr="00FA0779">
        <w:rPr>
          <w:rStyle w:val="NumeroAFNegritaCaracter"/>
        </w:rPr>
        <w:t>3</w:t>
      </w:r>
      <w:r>
        <w:t>. Se apoya también el amparo en el voto particular formulado por el Presidente de la Sala Quinta del Tribunal Supremo al que se adhiere otro Magistrado, que entiende que debió estimarse el séptimo motivo del recurso consistente en la falta de tipicidad de la conducta del sancionado. Afirma dicho voto que, en rigor, ninguno de los elementos del tipo disciplinario apreciado es fácilmente discernible en los hechos que han sido declarados probados.</w:t>
      </w:r>
    </w:p>
    <w:p w:rsidR="00FA0779" w:rsidRDefault="00FA0779" w:rsidP="00FA0779">
      <w:pPr>
        <w:pStyle w:val="TextoNormal"/>
      </w:pPr>
    </w:p>
    <w:p w:rsidR="00FA0779" w:rsidRDefault="00FA0779" w:rsidP="00FA0779">
      <w:pPr>
        <w:pStyle w:val="TextoNormal"/>
      </w:pPr>
      <w:r w:rsidRPr="00FA0779">
        <w:rPr>
          <w:rStyle w:val="NumeroAFNegritaCaracter"/>
        </w:rPr>
        <w:t>4</w:t>
      </w:r>
      <w:r>
        <w:t>. Considera el solicitante de amparo que la tutela judicial efectiva vincula en su totalidad a Jueces y Tribunales por aplicación del art. 11.3 de la Ley Orgánica del Poder Judicial en relación con el art. 24.1 de la Constitución Española. Ambos preceptos han sido vulnerados por la Sentencia frente a la que se solicita el amparo al pronunciarse en contra del principio de legalidad por cuanto sanciona conductas no tipificadas en la ley sanciona</w:t>
      </w:r>
      <w:r>
        <w:lastRenderedPageBreak/>
        <w:t xml:space="preserve">dora, provocando una clara situación de indefensión como viene desarrollando la jurisprudencia constitucional. </w:t>
      </w:r>
    </w:p>
    <w:p w:rsidR="00FA0779" w:rsidRDefault="00FA0779" w:rsidP="00FA0779">
      <w:pPr>
        <w:pStyle w:val="TextoNormal"/>
      </w:pPr>
      <w:r>
        <w:t>Suplica el actor que se otorgue el amparo impetrado y en su virtud, se anule la Sentencia dictada por la Sala Quinta del Tribunal Supremo que se impugna, así como la resolución sancionadora dictada en vía administrativa, indenmizándose al recurrente con la cantidad, solicitada.</w:t>
      </w:r>
    </w:p>
    <w:p w:rsidR="00FA0779" w:rsidRDefault="00FA0779" w:rsidP="00FA0779">
      <w:pPr>
        <w:pStyle w:val="TextoNormal"/>
      </w:pPr>
    </w:p>
    <w:p w:rsidR="00FA0779" w:rsidRDefault="00FA0779" w:rsidP="00FA0779">
      <w:pPr>
        <w:pStyle w:val="TextoNormal"/>
      </w:pPr>
      <w:r w:rsidRPr="00FA0779">
        <w:rPr>
          <w:rStyle w:val="NumeroAFNegritaCaracter"/>
        </w:rPr>
        <w:t>5</w:t>
      </w:r>
      <w:r>
        <w:t>. Seguido el procedimiento por sus trámites, la Sección por providencia de 7 de abril de 1997, acordó conceder un plazo común de diez días al Ministerio Fiscal y al solicitante de amparo para que a tenor de lo dispuesto en el art. 50.3 y 50.1 c) de la LOTC alegaren lo que estimaren pertinente en relación con la posible carencia de contenido constitucional manifiesto de la demanda.</w:t>
      </w:r>
    </w:p>
    <w:p w:rsidR="00FA0779" w:rsidRDefault="00FA0779" w:rsidP="00FA0779">
      <w:pPr>
        <w:pStyle w:val="TextoNormal"/>
      </w:pPr>
    </w:p>
    <w:p w:rsidR="00FA0779" w:rsidRDefault="00FA0779" w:rsidP="00FA0779">
      <w:pPr>
        <w:pStyle w:val="TextoNormal"/>
      </w:pPr>
      <w:r w:rsidRPr="00FA0779">
        <w:rPr>
          <w:rStyle w:val="NumeroAFNegritaCaracter"/>
        </w:rPr>
        <w:t>6</w:t>
      </w:r>
      <w:r>
        <w:t>. El Ministerio Fiscal por dictamen presentado en el Registro del Tribunal el 22 de abril siguiente expresa que con los datos obrantes en este momento procesal, no es manifiesta la posible carencia de contenido constitucional de la demanda, por lo que solicita su admisión a trámite.</w:t>
      </w:r>
    </w:p>
    <w:p w:rsidR="00FA0779" w:rsidRDefault="00FA0779" w:rsidP="00FA0779">
      <w:pPr>
        <w:pStyle w:val="TextoNormal"/>
      </w:pPr>
    </w:p>
    <w:p w:rsidR="00FA0779" w:rsidRDefault="00FA0779" w:rsidP="00FA0779">
      <w:pPr>
        <w:pStyle w:val="TextoNormal"/>
      </w:pPr>
      <w:r w:rsidRPr="00FA0779">
        <w:rPr>
          <w:rStyle w:val="NumeroAFNegritaCaracter"/>
        </w:rPr>
        <w:t>7</w:t>
      </w:r>
      <w:r>
        <w:t>. La Procuradora Sra. Del Barrio León, en representación del actor, reitera al evacuar el trámite, que el recurso de casación se fundamentó, entre otros motivos, en la falta de tipicidad de la conducta de su representado, así como en que la sanción impuesta era, consiguientemente, contraria al principio de legalidad infringiendo el derecho a la tutela judicial efectiva y provocando una clara situación de indefensión a su patrocinado al ser sancionado por una conducta no reglada en la Ley Orgánica 11/1991 como reconoció el voto particular del Presidente de la Sala al que se adhirió otro Magistrado, por lo que acaba solicitando la admisión a trámite del recurso de amparo por vulneración del principio de tipicidad consagrado en el art. 25.1 C.E.</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El recurrente en amparo don José Francisco Luque Sánchez solicita la declaración de nulidad de la Sentencia dictada el 13 de noviembre de 1996 por la Sala Quinta (de lo Militar) del Tribunal Supremo por ser contraria a Derecho al entender que</w:t>
      </w:r>
    </w:p>
    <w:p w:rsidR="00FA0779" w:rsidRDefault="00FA0779" w:rsidP="00FA0779">
      <w:pPr>
        <w:pStyle w:val="TextoNormal"/>
      </w:pPr>
      <w:r>
        <w:t>vulnera el principio de legalidad.</w:t>
      </w:r>
    </w:p>
    <w:p w:rsidR="00FA0779" w:rsidRDefault="00FA0779" w:rsidP="00FA0779">
      <w:pPr>
        <w:pStyle w:val="TextoNormal"/>
      </w:pPr>
      <w:r>
        <w:t>En efecto, estima el recurrente que la conducta sancionada no está reglada en la Ley Orgánica 11/1991, pero tal invocación carece de consistencia, teniendo en cuenta que la citada Sentencia razona -se compartan o no sus argumentos, no puede tacharse de arbitraria- por qué la actuación del ahora demandante en amparo incurrió con su comportamiento en la conducta tipificada en el precepto que la Sala aplica, tarea ésta de subsunción o tipificación de la conducta en una norma jurídica -en este caso de naturaleza administrativa sancionadora- que es, fuera de los supuestos de irrazonabilidad, de carencia de lógica o de arbitrariedad, que aquí no se dan, competencia de los órganos de la jurisdicción ordinaria.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la inadmisión a trámite del recurso de amparo, y el archivo de las presentes actuaciones.</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8" w:name="AUTO_1997_265"/>
      <w:r>
        <w:lastRenderedPageBreak/>
        <w:t>AUTO 265/1997, de 14 de julio de 1997</w:t>
      </w:r>
    </w:p>
    <w:bookmarkEnd w:id="198"/>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ECLI:ES:TC:1997:265A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4.636/1996.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medio de escrito que tuvo entrada en el Registro de este Tribunal el 19 de diciembre de 1996, el Procurador de los Tribunales don Federico Pinilla Peco, en nombre y representación de doña Mónica Lucas Elio, interpuso recurso de amparo frente al Auto de la Sección Cuarta de la Sala Tercera del Tribunal Supremo de 25 de noviembre anterior, resolutorio de recurso de súplica interpuesto frente a providencia de 26 de marzo, asimismo impugnada, resoluciones, ambas recaídas en el marco del recurso de casación núm. 3/8.221/94, que tiene por objeto la Sentencia de la Sala de lo Contencioso-Administrativo del Tribunal Superior de Justicia de Murcia de 28 de marzo de 1994, en recursos acumulados núms. 241/88 y 446/88.</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en que se fundamenta la demanda de amparo, brevemente expuestos, son los siguientes: </w:t>
      </w:r>
    </w:p>
    <w:p w:rsidR="00FA0779" w:rsidRDefault="00FA0779" w:rsidP="00FA0779">
      <w:pPr>
        <w:pStyle w:val="TextoNormal"/>
      </w:pPr>
      <w:r>
        <w:t xml:space="preserve">A) Por la Sala de lo Contencioso Administrativo del Tribunal Superior de Justicia (T.S.J.) de Murcia, fue dictada Sentencia, ya referenciada, por la que se excluía de la relación de solicitantes interesados en la autorización de una oficina de farmacia a don José María Elio Membrado y sus causahabientes, entre los que, al parecer, se encuentra la recurrente en amparo. </w:t>
      </w:r>
    </w:p>
    <w:p w:rsidR="00FA0779" w:rsidRDefault="00FA0779" w:rsidP="00FA0779">
      <w:pPr>
        <w:pStyle w:val="TextoNormal"/>
      </w:pPr>
      <w:r>
        <w:t xml:space="preserve">B) Dicha Sentencia fue objeto de recurso de casación, interpuesto en tiempo y forma por la ahora demandante de amparo. En este estado las cosas, los autos remitidos por el Tribunal de Murcia se extraviaron, al parecer, al llegar al Tribunal Supremo, siendo la consecuencia de esta anomalía que el nuevo Letrado de la recurrente, encargado de la casación, no pudo examinar el expediente para formalizar el recurso en el plazo legalmente concedido, circunstancia, que, un día antes del vencimiento, hizo saber al Tribunal; esto no obstante, el recurso fue formalizado provisionalmente, con arreglo a los datos hasta entonces disponibles. </w:t>
      </w:r>
    </w:p>
    <w:p w:rsidR="00FA0779" w:rsidRDefault="00FA0779" w:rsidP="00FA0779">
      <w:pPr>
        <w:pStyle w:val="TextoNormal"/>
      </w:pPr>
      <w:r>
        <w:t xml:space="preserve">C) Transcurridos dieciséis meses, fue por fin hallado el expediente; entretanto, la Sala, mediante providencia de 26 de marzo de 1996, acordó admitir a trámite el recurso declarando a la vez no haber lugar a dar nuevo traslado del expediente a la representación de la recurrente para que ampliase su escrito de interposición del recurso de casación. </w:t>
      </w:r>
    </w:p>
    <w:p w:rsidR="00FA0779" w:rsidRDefault="00FA0779" w:rsidP="00FA0779">
      <w:pPr>
        <w:pStyle w:val="TextoNormal"/>
      </w:pPr>
      <w:r>
        <w:lastRenderedPageBreak/>
        <w:t>Frente a esta providencia se interpuso recurso de súplica que dio lugar al Auto de 30 de octubre, objeto de este proceso, confirmatorio de la providencia anterior. La recurrente acompañó al escrito de súplica un escrito complementario de formalización del recurso de casación, añadiendo seis nuevos motivos de impugnación casacional.</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Alega la recurrente la violación del art. 24.1 C.E. que se habría producido al no poder el nuevo Letrado designado consultar el expediente, de más de 2.000 folios, por causa ajena a la diligencia de la recurrente e imputable únicamente a la mala organización del servicio de archivo del Tribunal Supremo. </w:t>
      </w:r>
    </w:p>
    <w:p w:rsidR="00FA0779" w:rsidRDefault="00FA0779" w:rsidP="00FA0779">
      <w:pPr>
        <w:pStyle w:val="TextoNormal"/>
      </w:pPr>
      <w:r>
        <w:t xml:space="preserve">La complejidad del expediente, y su voluminosidad, justifican para la recurrente que el nuevo Letrado designado por la parte para ejercer con mayor rigor y garantía su derecho de defensa pudiera consultar el expediente; al no haberlo podido hacer ha resultado, en su tesis, vulnerado su derecho a la tutela judicial efectiva. Asimismo se alega la vulneración por el Tribunal del art. 1.705 L.E.C., de aplicación supletoria, que dispone que al recurrente en casación se le deben comunicar los autos como trámite previo para formalizar el recurso. Esta infracción procesal adquiere relevancia constitucional, según se alega, en la medida en que al no poder examinar su Letrado el expediente se vieron menoscabados sus derechos de defensa, citando en apoyo de sus tesis la doctrina constitucional que entiende de aplicación al caso. </w:t>
      </w:r>
    </w:p>
    <w:p w:rsidR="00FA0779" w:rsidRDefault="00FA0779" w:rsidP="00FA0779">
      <w:pPr>
        <w:pStyle w:val="TextoNormal"/>
      </w:pPr>
      <w:r>
        <w:t xml:space="preserve">Finalmente, se argumenta en la demanda la equivocación del juzgador al afirmar que los motivos de casación alegados por el recurrente se limitaban a pedir una revisión de la prueba, ya que con los mismos se denunciaba una infracción de normas Jurídicas motivo casacional admitido sin género de dudas por la jurisprudencia y doctrina. </w:t>
      </w:r>
    </w:p>
    <w:p w:rsidR="00FA0779" w:rsidRDefault="00FA0779" w:rsidP="00FA0779">
      <w:pPr>
        <w:pStyle w:val="TextoNormal"/>
      </w:pPr>
      <w:r>
        <w:t>En definitiva, se fundamenta la demanda de amparo en que las resoluciones impugnadas desplazan al recurrente los efectos de una mala organización del sistema judicial, estableciendo una injustificada desproporción y una clara desigualdad procesal de las partes, ya que no basta con la mera comunicación de la documentación entre Abogados para tener por resuelta la cuestión, puesto que la parte tiene derecho a que su asistencia técnica pueda consultar personalmente los documentos.</w:t>
      </w:r>
    </w:p>
    <w:p w:rsidR="00FA0779" w:rsidRDefault="00FA0779" w:rsidP="00FA0779">
      <w:pPr>
        <w:pStyle w:val="TextoNormal"/>
      </w:pPr>
    </w:p>
    <w:p w:rsidR="00FA0779" w:rsidRDefault="00FA0779" w:rsidP="00FA0779">
      <w:pPr>
        <w:pStyle w:val="TextoNormal"/>
      </w:pPr>
      <w:r w:rsidRPr="00FA0779">
        <w:rPr>
          <w:rStyle w:val="NumeroAFNegritaCaracter"/>
        </w:rPr>
        <w:t>4</w:t>
      </w:r>
      <w:r>
        <w:t>. Con fecha 10 de marzo de 1996, la Sección Tercera del Tribunal acordó conceder a la recurrente y al Ministerio Fiscal plazo común de diez días para que presentaran las alegaciones oportunas en orden a la posible concurrencia de la causa de inadmisión prevista en el art. 50.1 c) LOTC. Evacuado el trámite -en el que recurrente y Fiscal concuerdan en no estimar concurrente tal causa de inadmisión-, por nuevo proveído de 29 de abril la Sección Tercera acordó la admisión a trámite del recurso, con los demás pronunciamientos previstos en el art. 51 LOTC.</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igual fecha a la anterior, se acordó la apertura de pieza separada para la tramitación del incidente de suspensión de la resolución recurrida, otorgando a la recurrente y al Fiscal plazo común de tres días para que alegaren cuanto estimasen conveniente a este fin.</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Tales alegaciones tuvieron entrada con fecha 8 y 12 de mayo del corriente, coincidiéndose en ambas en que la no suspensión de la resolución recurrida haría perder al amparo su finalidad, por lo que se solicita por el recurrente, sin que el Fiscal se oponga, se </w:t>
      </w:r>
      <w:r>
        <w:lastRenderedPageBreak/>
        <w:t>acuerde la suspensión de las resoluciones impugnadas y, consecuentemente, del proceso en el que fueron adoptadas.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Establece el art. 56.1 de la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FA0779" w:rsidRDefault="00FA0779" w:rsidP="00FA0779">
      <w:pPr>
        <w:pStyle w:val="TextoNormal"/>
      </w:pPr>
      <w:r>
        <w:t>De ello resulta, como regla general, que la interposición de un recurso de amparo no suspende la ejecución de los actos recurridos más que en el supuesto excepcional de la pérdida de la finalidad del amparo, y aun en este caso condicionada a que no se produzcan las perturbaciones aludidas en dicho precepto.</w:t>
      </w:r>
    </w:p>
    <w:p w:rsidR="00FA0779" w:rsidRDefault="00FA0779" w:rsidP="00FA0779">
      <w:pPr>
        <w:pStyle w:val="TextoNormal"/>
      </w:pPr>
    </w:p>
    <w:p w:rsidR="00FA0779" w:rsidRDefault="00FA0779" w:rsidP="00FA0779">
      <w:pPr>
        <w:pStyle w:val="TextoNormal"/>
      </w:pPr>
      <w:r w:rsidRPr="00FA0779">
        <w:rPr>
          <w:rStyle w:val="NumeroAFNegritaCaracter"/>
        </w:rPr>
        <w:t>2</w:t>
      </w:r>
      <w:r>
        <w:t>. Dado el carácter de las resoluciones recurridas y la pretensión de amparo formulada, llevan razón tanto el recurrente como el Ministerio Fiscal al poner de relieve que la no suspensión del procedimiento donde, se adoptaron haría, muy probablemente, perder al amparo su finalidad, pues si llegara a dictarse Sentencia en el recurso de casación sin que la recurrente fuera restablecida en los derechos que se alegan vulnerados, el eventual otorgamiento del amparo pretendido resultaría a todas luces inútil. De otra parte, y pese a que la doctrina constante de este Tribunal entiende que toda suspensión de resoluciones judiciales genera de por sí cierta perturbación de los intereses generales, el momento procesal en que se encuentra el recurso de casación hace que dicha perturbación deba considerarse mínima, sin que llegue a compensar la más que probable inutilidad del amparo de no accederse a la solicitud de suspensión.</w:t>
      </w:r>
    </w:p>
    <w:p w:rsidR="00FA0779" w:rsidRDefault="00FA0779" w:rsidP="00FA0779">
      <w:pPr>
        <w:pStyle w:val="TextoNormal"/>
      </w:pPr>
      <w:r>
        <w:t>Cabe, por último, observar, que la suspensión solicitada en ningún caso supone otorgamiento anticipado del amparo pretendido, pues tal suspensión no tiene más contenido que evitar se dicte un pronunciamiento en condiciones procesales hipotéticamente vulneradoras de derechos fundamentales. Siendo contenido esencial de la demanda de amparo poder acceder, y con tiempo suficiente para su examen, al expediente administrativo origen del proceso contencioso, en nada resulta favorecida ni impedida esa pretensión por la suspensión que ahora acordamos.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atención a todo lo expuesto, la Sala acuerda acceder a la suspensión de las resoluciones impugnadas, así como del procedimiento en que fueron dictadas, en tanto no se dicte resolución sobre el fondo de la pretensión de amparo.</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199" w:name="AUTO_1997_266"/>
      <w:r>
        <w:lastRenderedPageBreak/>
        <w:t>AUTO 266/1997, de 14 de julio de 1997</w:t>
      </w:r>
    </w:p>
    <w:bookmarkEnd w:id="199"/>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ECLI:ES:TC:1997:266A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parcial de la ejecución del acto que origina el recurso de amparo 115/1997.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11 de enero de 1997, doña Adela Gilsanz Madroño, Procuradora de los Tribunales, en nombre y representación de don Antonio Ivorra Climent, interpuso, recurso de amparo contra la Sentencia de 30 de noviembre de 1996, dictada por la Sección Primera de la Audiencia Provincial de Alicante en el recurso de apelación núm. 354/96, contra la Sentencia dictada por Juzgado de Instrucción núm. 3 de San Vicente del Raspeig, el 13 de septiembre de 1996, enjuicio de faltas.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en que se fundamenta la demanda, sucintamente expuestos, son los siguientes: </w:t>
      </w:r>
    </w:p>
    <w:p w:rsidR="00FA0779" w:rsidRDefault="00FA0779" w:rsidP="00FA0779">
      <w:pPr>
        <w:pStyle w:val="TextoNormal"/>
      </w:pPr>
      <w:r>
        <w:t xml:space="preserve">El Juzgado de Instrucción núm. 3 de San Vicente del Raspeig, incoó diligencias previas para el esclarecimiento de los hechos denunciados por don Francisco Navarro Gosálvez, el 7 de julio de 1995, ante la Guardia Civil. </w:t>
      </w:r>
    </w:p>
    <w:p w:rsidR="00FA0779" w:rsidRDefault="00FA0779" w:rsidP="00FA0779">
      <w:pPr>
        <w:pStyle w:val="TextoNormal"/>
      </w:pPr>
      <w:r>
        <w:t xml:space="preserve">Por Auto de 18 de marzo de 1996, el Juzgado acordó la transformación de las referidas diligencias previas en juicio de faltas, por considerar los hechos denunciados como constitutivos de una falta de hurto. </w:t>
      </w:r>
    </w:p>
    <w:p w:rsidR="00FA0779" w:rsidRDefault="00FA0779" w:rsidP="00FA0779">
      <w:pPr>
        <w:pStyle w:val="TextoNormal"/>
      </w:pPr>
      <w:r>
        <w:t xml:space="preserve">Por providencia de 20 de junio de 1996 se acordó la ampliación de la denuncia contra el hoy recurrente. Celebrado el juicio oral, el Juzgado dictó Sentencia, el 13 de septiembre de 1996, absolviendo a todos los denunciados de la falta imputada. </w:t>
      </w:r>
    </w:p>
    <w:p w:rsidR="00FA0779" w:rsidRDefault="00FA0779" w:rsidP="00FA0779">
      <w:pPr>
        <w:pStyle w:val="TextoNormal"/>
      </w:pPr>
      <w:r>
        <w:t xml:space="preserve">Interpuesto recurso de apelación por el denunciante, fue impugnado por el demandante de amparo que alegó, entre otros extremos, prescripción de la falta. </w:t>
      </w:r>
    </w:p>
    <w:p w:rsidR="00FA0779" w:rsidRDefault="00FA0779" w:rsidP="00FA0779">
      <w:pPr>
        <w:pStyle w:val="TextoNormal"/>
      </w:pPr>
      <w:r>
        <w:t xml:space="preserve">La Audiencia Provincial de Alicante dictó Sentencia el 30 de noviembre de 1996 por la que, revocando la del Juzgado de Instrucción, condenó a don Antonio Ivorra Climent, como autor criminalmente responsable de una falta de hurto, a la pena de arresto de tres fines de semana y a indemnizar al perjudicado en la cantidad que se acreditare en fase de ejecución, omitiendo cualquier pronunciamiento acerca de la prescripción alegada. </w:t>
      </w:r>
    </w:p>
    <w:p w:rsidR="00FA0779" w:rsidRDefault="00FA0779" w:rsidP="00FA0779">
      <w:pPr>
        <w:pStyle w:val="TextoNormal"/>
      </w:pPr>
      <w:r>
        <w:t>En la demanda de amparo se alega vulneración del derecho a la tutela judicial efectiva (art. 24.1), por incongruencia omisiva y vulneración del principio de legalidad penal (art. 25.1 C.E.).</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La Sección Primera de este Tribunal, por providencia de 2 de junio de 1997, acordó la admisión a trámite de la demanda, sin perjuicio de lo que resultare de los antecedentes, y, a tenor de lo dispuesto en el art. 51 LOTC, requerir a la Sección Primera de la Audiencia Provincial de Alicante y al Juzgado de Instrucción núm. 3 de San Vicente del Raspeig, para que, respectivamente, remitiesen testimonio del rollo de apelación núm. 354/96 y del juicio de faltas 117/96. Se interesó también que se emplazase, a quienes fueron parte en el procedimiento penal mencionado, excepto al recurrente en amparo para que en el plazo de diez días pudiesen comparecer en el presente proceso constitucional.</w:t>
      </w:r>
    </w:p>
    <w:p w:rsidR="00FA0779" w:rsidRDefault="00FA0779" w:rsidP="00FA0779">
      <w:pPr>
        <w:pStyle w:val="TextoNormal"/>
      </w:pPr>
    </w:p>
    <w:p w:rsidR="00FA0779" w:rsidRDefault="00FA0779" w:rsidP="00FA0779">
      <w:pPr>
        <w:pStyle w:val="TextoNormal"/>
      </w:pPr>
      <w:r w:rsidRPr="00FA0779">
        <w:rPr>
          <w:rStyle w:val="NumeroAFNegritaCaracter"/>
        </w:rPr>
        <w:t>4</w:t>
      </w:r>
      <w:r>
        <w:t>. Por otra providencia de la misma fecha se acordó formar pieza separada de suspensión y, de conformidad con lo prevenido en el art. 56 de la Ley Orgánica de este Tribunal, conceder un plazo común de tres días al Ministerio Fiscal y al solicitante de amparo, para que, dentro de dicho término, alegaren lo que estimasen pertinente en relación con la medida cautelar de suspensión de la ejecución de la Sentencia impugnada.</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en su escrito de 19 de junio de 1997, interesó la suspensión de la ejecución de la pena privativa de libertad impuesta al recurrente, por entender que de estimarse el presente recurso, su objeto quedaría desprovisto de virtualidad; no así del pronunciamiento relativo al pago de la cantidad en concepto de responsabilidad civil que, por tratarse de una condena de contenido exclusivamente económico, no produciría al recurrente ningún perjuicio irreparable, de conformidad con la ya consolidada doctrina de este Tribunal.</w:t>
      </w:r>
    </w:p>
    <w:p w:rsidR="00FA0779" w:rsidRDefault="00FA0779" w:rsidP="00FA0779">
      <w:pPr>
        <w:pStyle w:val="TextoNormal"/>
      </w:pPr>
    </w:p>
    <w:p w:rsidR="00FA0779" w:rsidRDefault="00FA0779" w:rsidP="00FA0779">
      <w:pPr>
        <w:pStyle w:val="TextoNormal"/>
      </w:pPr>
      <w:r w:rsidRPr="00FA0779">
        <w:rPr>
          <w:rStyle w:val="NumeroAFNegritaCaracter"/>
        </w:rPr>
        <w:t>6</w:t>
      </w:r>
      <w:r>
        <w:t>. El recurrente dejó transcurrir el plazo sin presentar alegaciones.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de la LOTC dispone que sólo procede la suspensión de los actos de los poderes públicos a los que se impute una vulneración de derechos fundamentales cuando la ejecución hubiere de ocasionar un perjuicio que hiciese perder al amparo su finalidad.</w:t>
      </w:r>
    </w:p>
    <w:p w:rsidR="00FA0779" w:rsidRDefault="00FA0779" w:rsidP="00FA0779">
      <w:pPr>
        <w:pStyle w:val="TextoNormal"/>
      </w:pPr>
      <w:r>
        <w:t>No obstante, permite denegar la suspensión cuando de ésta pueda seguirse perturbación grave de los intereses generales o de los derechos fundamentales de un tercero.</w:t>
      </w:r>
    </w:p>
    <w:p w:rsidR="00FA0779" w:rsidRDefault="00FA0779" w:rsidP="00FA0779">
      <w:pPr>
        <w:pStyle w:val="TextoNormal"/>
      </w:pPr>
    </w:p>
    <w:p w:rsidR="00FA0779" w:rsidRDefault="00FA0779" w:rsidP="00FA0779">
      <w:pPr>
        <w:pStyle w:val="TextoNormal"/>
      </w:pPr>
      <w:r w:rsidRPr="00FA0779">
        <w:rPr>
          <w:rStyle w:val="NumeroAFNegritaCaracter"/>
        </w:rPr>
        <w:t>2</w:t>
      </w:r>
      <w:r>
        <w:t>. Ante supuestos de penas privativas de libertad o de derechos, el Tribunal ha entendido que la ejecución de la Sentencia condenatoria podría hacer perder, total o parcialmente, su finalidad al amparo, por lo que la regla general ha sido conceder la suspensión, una vez admitida la demanda, aunque eso significase paralizar la ejecución de una Sentencia firme (AATC 98/1983, 144/1984, 179/1984, 174/1985, 116/1990 y 120/1993, entre otros).</w:t>
      </w:r>
    </w:p>
    <w:p w:rsidR="00FA0779" w:rsidRDefault="00FA0779" w:rsidP="00FA0779">
      <w:pPr>
        <w:pStyle w:val="TextoNormal"/>
      </w:pPr>
      <w:r>
        <w:t>Contrariamente, se ha entendido que las resoluciones judiciales con efectos meramente económicos, en principio, no causan perjuicios irreparables, por lo que no procede su suspensión (AATC 275/1990 y 66/1991).</w:t>
      </w:r>
    </w:p>
    <w:p w:rsidR="00FA0779" w:rsidRDefault="00FA0779" w:rsidP="00FA0779">
      <w:pPr>
        <w:pStyle w:val="TextoNormal"/>
      </w:pPr>
    </w:p>
    <w:p w:rsidR="00FA0779" w:rsidRDefault="00FA0779" w:rsidP="00FA0779">
      <w:pPr>
        <w:pStyle w:val="TextoNormal"/>
      </w:pPr>
      <w:r w:rsidRPr="00FA0779">
        <w:rPr>
          <w:rStyle w:val="NumeroAFNegritaCaracter"/>
        </w:rPr>
        <w:t>3</w:t>
      </w:r>
      <w:r>
        <w:t>. En este caso, de conformidad con lo interesado por el Ministerio Fiscal, y sin que ello suponga en modo alguno prejuzgar el sentido de la resolución que sobre el fondo habrá de dictar este Tribunal, procede acordar la suspensión parcial de la Sentencia recurri</w:t>
      </w:r>
      <w:r>
        <w:lastRenderedPageBreak/>
        <w:t>da, esto es, debe suspenderse la ejecución de la pena de arresto de tres fines de semana, puesto que de no concederse la suspensión de su ejecución, podría no tener eficacia práctica el amparo.</w:t>
      </w:r>
    </w:p>
    <w:p w:rsidR="00FA0779" w:rsidRDefault="00FA0779" w:rsidP="00FA0779">
      <w:pPr>
        <w:pStyle w:val="TextoNormal"/>
      </w:pPr>
      <w:r>
        <w:t>En cambio, dado su carácter meramente pecuniario, no procede la suspensión de la condena impuesta en concepto de responsabilidad civil, por lo que debe prevalecer el interés general insito en el cumplimiento de las resoluciones judiciales, que dota de efectividad a la tutela judicial.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suspender parcialmente la ejecución de la Sentencia de 30 de noviembre de 1996 de la Sección Primera de la Audiencia Provincial de Alicante, sólo en lo relativo a la imposición de la pena de arresto de tres fines de</w:t>
      </w:r>
    </w:p>
    <w:p w:rsidR="00FA0779" w:rsidRDefault="00FA0779" w:rsidP="00FA0779">
      <w:pPr>
        <w:pStyle w:val="TextoNormal"/>
      </w:pPr>
      <w:r>
        <w:t>semana.</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0" w:name="AUTO_1997_267"/>
      <w:r>
        <w:lastRenderedPageBreak/>
        <w:t>AUTO 267/1997, de 14 de julio de 1997</w:t>
      </w:r>
    </w:p>
    <w:bookmarkEnd w:id="200"/>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ECLI:ES:TC:1997:267A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1.028/1997.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12 de marzo de 1997, el Procurador de los Tribunales don Pedro Rodríguez Rodríguez, en nombre y representación de don Carlos Fanlo Malagarriga, Magistrado, interpuso demanda de amparo constitucional contra la Sentencia de la Sala Tercera (Sección Primera) del Tribunal Supremo de 18 de febrero de 1997, que desestimó el recurso promovido por el actor contra el Acuerdo del Pleno del Consejo General del Poder Judicial (C.G.P.J.), de 27 de abril de 1994, por el que, estimando parcialmente su recurso administrativo ordinario frente al anterior Acuerdo de la Comisión Disciplinaría del propio C.G.P.J., se le sancionó con suspensión de seis meses como autor de una falta disciplinaria muy grave del art. 417.2 L.O.P.J. (intromisión en la jurisdicción de otro partido judicial) y se revocó y dejó sin efecto otra sanción (acordada por la Comisión Disciplinaria) por la comisión de la también falta muy grave consistente en el abandono de la función judicial (art. 417.3 L.O.P.J.).</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en que se fundamenta la demanda de amparo, brevemente expuestos, son los siguientes: </w:t>
      </w:r>
    </w:p>
    <w:p w:rsidR="00FA0779" w:rsidRDefault="00FA0779" w:rsidP="00FA0779">
      <w:pPr>
        <w:pStyle w:val="TextoNormal"/>
      </w:pPr>
      <w:r>
        <w:t xml:space="preserve">A) El hoy recurrente en amparo y anteriormente titular del Juzgado de Primera Instancia e Instrucción de Priego de Córdoba (Córdoba), recibió declaración de una persona detenida en relación con la presunta comisión de un delito sobre tráfico de drogas. De modo confidencial éste le informa sobre un supuesto lugar perteneciente al Partido Judicial de Cabra en el que pretendidamente iba a realizarse aquella misma madrugada una importante operación de narcotráfico. El detenido se ofrece a identificar con mayor detalle el lugar si es acompañado del Juez y de la autoridad policial. A tal fin el Juez ordenó el traslado del detenido a aquella localidad e informó telefónicamente al titular del Juzgado de Cabra de sus intenciones. Cuando Regaron a la sede de la Policía Local de Cabra, ambas autoridades judiciales mantuvieron una conversación a resultas de la cual el hoy demandante de amparo desistió de su propósito y regresó con el detenido a la localidad de Priego. </w:t>
      </w:r>
    </w:p>
    <w:p w:rsidR="00FA0779" w:rsidRDefault="00FA0779" w:rsidP="00FA0779">
      <w:pPr>
        <w:pStyle w:val="TextoNormal"/>
      </w:pPr>
      <w:r>
        <w:t xml:space="preserve">B) Tales hechos dieron lugar a las diligencias informativas correspondientes y, ulteriormente, al nombramiento por la Comisión Disciplinaria del C.G.P.J. de un Instructor para que incoase, a la luz de los hechos, el correspondiente expediente disciplinario y elevase la consiguiente propuesta a la Comisión. </w:t>
      </w:r>
    </w:p>
    <w:p w:rsidR="00FA0779" w:rsidRDefault="00FA0779" w:rsidP="00FA0779">
      <w:pPr>
        <w:pStyle w:val="TextoNormal"/>
      </w:pPr>
      <w:r>
        <w:lastRenderedPageBreak/>
        <w:t xml:space="preserve">Tras los trámites oportunos el Instructor elevó propuesta de imposición de dos sanciones, una por la falta grave de intromisión ex art. 417.3 L.O.P.J., y otra por la falta grave de abandono de funciones judiciales ex art. 417.2 L.O.P.J. De la propuesta se dio traslado al Ministerio Fiscal y, al interesado al objeto de que presentasen las pertinentes alegaciones. En lo que ahora importa, el Ministerio Fiscal consideró correcta la calificación realizada por el Instructor; no propuso, en consecuencia, una tipificación más grave de los hechos. </w:t>
      </w:r>
    </w:p>
    <w:p w:rsidR="00FA0779" w:rsidRDefault="00FA0779" w:rsidP="00FA0779">
      <w:pPr>
        <w:pStyle w:val="TextoNormal"/>
      </w:pPr>
      <w:r>
        <w:t xml:space="preserve">C) No obstante, la Comisión Disciplinaría, a la vista de lo actuado consideró que esos mismos hechos eran merecedores de ser calificados como faltas muy graves. A tal efecto, ordenó al Instructor que procediese a una nueva calificación de los mismos. El Instructor, utilizando expresamente la fórmula «en acatamiento del Acuerdo adoptado por la Comisión Disciplinaria» ajustó sus calificaciones a las indicadas por la Comisión. Posteriormente se abrió un nuevo plazo de alegaciones en el que el Ministerio Fiscal consideró acertada la nueva calificación de los hechos. Concluido este trámite la Comisión Disciplinaria dictó su Acuerdo imponiendo las referidas sanciones por la comisión de dos faltas muy graves. </w:t>
      </w:r>
    </w:p>
    <w:p w:rsidR="00FA0779" w:rsidRDefault="00FA0779" w:rsidP="00FA0779">
      <w:pPr>
        <w:pStyle w:val="TextoNormal"/>
      </w:pPr>
      <w:r>
        <w:t xml:space="preserve">D) Dicho Acuerdo fue recurrido ante el Pleno del Consejo General del Poder Judicial que, estimando parcialmente el recurso, revocó una de las sanciones, confirmando, sin embargo, la relativa a la falta muy grave de intromisión ex art. 417.2 L.O.P.J. </w:t>
      </w:r>
    </w:p>
    <w:p w:rsidR="00FA0779" w:rsidRDefault="00FA0779" w:rsidP="00FA0779">
      <w:pPr>
        <w:pStyle w:val="TextoNormal"/>
      </w:pPr>
      <w:r>
        <w:t>E) Este último Acuerdo fue recurrido ante la Sala Tercera del Tribunal Supremo que, desestimando el recurso interpuesto, lo consideró ajustado a Derecho.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carácter mixto del presente recurso se deduce con claridad del análisis de la queja del actor. En efecto, la demanda se dirige contra la Sentencia del Tribunal Supremo en tanto que ésta no reparó la supuesta vulneración de derechos fundamentales originada por la actuación del C.G.P.J. y, en especial, por la Comisión Disciplinaria del mismo, asimismo objeto de la demanda. </w:t>
      </w:r>
    </w:p>
    <w:p w:rsidR="00FA0779" w:rsidRDefault="00FA0779" w:rsidP="00FA0779">
      <w:pPr>
        <w:pStyle w:val="TextoNormal"/>
      </w:pPr>
      <w:r>
        <w:t xml:space="preserve">Sostiene el recurrente que en la tramitación del expediente disciplinario se ha vulnerado su derecho a una tutela judicial efectiva sin indefensión y a un proceso con todas las garantías, puesto que se ha desconocido la garantía típica del proceso penal que obliga a separar las funciones instructoras de las juzgadoras y que también ha de proyectarse -según reiterada doctrina constitucional- al ámbito del procedimiento administrativo-sancionador. En efecto, al ordenar la Comisión Disciplinaria que por el Instructor se formulase nueva calificación de los hechos en los términos por ella establecidos, este órgano decisorio se convirtió en Instructor y Juez, vulnerando además lo dispuesto en la propia L.O.P.J., cuyo art. 424.5 únicamente permitía la devolución de lo instruido cuando fuese necesario para completar los hechos. De hecho, este precepto fue modificado con posterioridad añadiéndose expresamente la posibilidad de que incluya una nueva calificación jurídica de los hechos, circunstancia que demuestra claramente la ilegalidad de la actuación de la Comisión Disciplinaria. Ilegalidad que, en la tesis del recurrente, deviene en conducta vulneradora de derechos fundamentales al confundirse en un mismo órgano sancionador las funciones decisorias e instructoras, convirtiéndose en Juez y parte. </w:t>
      </w:r>
    </w:p>
    <w:p w:rsidR="00FA0779" w:rsidRDefault="00FA0779" w:rsidP="00FA0779">
      <w:pPr>
        <w:pStyle w:val="TextoNormal"/>
      </w:pPr>
      <w:r>
        <w:t>Pero, además, ese incumplimiento de la legalidad ocasionó también, a juicio del recurrente, una violación del principio de legalidad que garantiza el art. 25.1 C.E., pues no sólo se confundieron las funciones instructoras y juzgadoras, sino que, por otra parte, el incumplimiento de lo dispuesto en la L.O.P.J. se hizo en perjuicio del administrado y con el fin de permitir indirectamente un efecto retroactivo de la norma sancionadora más grave.</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Por providencia de la Sección Tercera de 2 de junio de 1997, se acordó conceder al recurrente y al Ministerio Fiscal plazo común de diez días para que formularan cuantas alegaciones estimasen convenientes en orden a la posible concurrencia de la causa de inadmisión consistente en la manifiesta carencia de contenido constitucional de la demanda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siguiente día 24 tuvo entrada en el Registro del Tribunal el escrito de alegaciones del Fiscal, en el que se postula la procedencia de inadmitir a trámite la demanda por la causa señalada. </w:t>
      </w:r>
    </w:p>
    <w:p w:rsidR="00FA0779" w:rsidRDefault="00FA0779" w:rsidP="00FA0779">
      <w:pPr>
        <w:pStyle w:val="TextoNormal"/>
      </w:pPr>
      <w:r>
        <w:t xml:space="preserve">Tras exponer los antecedentes del caso, entiende el Fiscal que el actor parte de un error de base, la aplicación indiscriminada de garantías propias del proceso penal al procedimiento administrativo sancionador. Ahora bien, ya desde sus primeras resoluciones (STC 18/1981), este Tribunal ha venido afirmando que tal traslación sólo resulta posible «con ciertas matizaciones», derivadas de la distinta naturaleza de uno y otro procedimientos, llegando a afirmar la exclusiva aplicabilidad al proceso penal de alguna de las garantías contenidas en el art. 24.2 como por ejemplo el derecho al Juez imparcial (STC 76/1990, por todas). </w:t>
      </w:r>
    </w:p>
    <w:p w:rsidR="00FA0779" w:rsidRDefault="00FA0779" w:rsidP="00FA0779">
      <w:pPr>
        <w:pStyle w:val="TextoNormal"/>
      </w:pPr>
      <w:r>
        <w:t>Así las cosas, a juicio del Fiscal, resulta patente que la primera alegación del recurrente no puede prosperar. Tampoco la segunda, que bajo la invocación del art. 25.1 C.E. reproduce parcialmente la anterior: Si no es aplicable el derecho al Juez imparcial, tal derecho no puede ser vulnerado por su falta de aplicación retroactiva (antes de la reforma de la L.O.P.J. de 1994); y de existir alguna quiebra de este texto legal, no por ello se sigue necesariamente la vulneración de derecho fundamental alguno, debiendo recordarse que el Tribunal Constitucional carece de jurisdicción para el conocimiento de cuestiones de pura legalidad ordinaria.</w:t>
      </w:r>
    </w:p>
    <w:p w:rsidR="00FA0779" w:rsidRDefault="00FA0779" w:rsidP="00FA0779">
      <w:pPr>
        <w:pStyle w:val="TextoNormal"/>
      </w:pPr>
    </w:p>
    <w:p w:rsidR="00FA0779" w:rsidRDefault="00FA0779" w:rsidP="00FA0779">
      <w:pPr>
        <w:pStyle w:val="TextoNormal"/>
      </w:pPr>
      <w:r w:rsidRPr="00FA0779">
        <w:rPr>
          <w:rStyle w:val="NumeroAFNegritaCaracter"/>
        </w:rPr>
        <w:t>6</w:t>
      </w:r>
      <w:r>
        <w:t>. Por diligencia de 30 de junio se hace constar haber transcurrido sobradamente el plazo concedido al recurrente sin que se haya recibido escrito alguno evacuando el traslado conferido.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escrito de alegaciones del Ministerio Fiscal no hace sino confirmamos en nuestra inicial conclusión de que la demanda carece manifiestamente de contenido constitucional.</w:t>
      </w:r>
    </w:p>
    <w:p w:rsidR="00FA0779" w:rsidRDefault="00FA0779" w:rsidP="00FA0779">
      <w:pPr>
        <w:pStyle w:val="TextoNormal"/>
      </w:pPr>
      <w:r>
        <w:t>Puede, en efecto, afirmarse que la pretensión actora gravita sobre una idea matriz: Que las garantías constitucionales propias del proceso penal han de trasladarse también al ámbito del procedimiento administrativo sancionador, pues estos dos ámbitos presentan el denominador común de ser cauces para la aplicación del ius puniendi del Estado. Más en concreto, lo que se postula en el presente proceso supondría que en el procedimiento disciplinario debiera observarse -como si de un proceso penal se tratase- una obligada separación entre funciones instructoras y juzgadoras.</w:t>
      </w:r>
    </w:p>
    <w:p w:rsidR="00FA0779" w:rsidRDefault="00FA0779" w:rsidP="00FA0779">
      <w:pPr>
        <w:pStyle w:val="TextoNormal"/>
      </w:pPr>
      <w:r>
        <w:t>Pero tal pretensión plantea, por sí misma y en primer lugar, una cierta contradicción lógica, pues en el procedimiento administrativo la Administración es, por definición, Juez y parte. Podrá garantizarse la imparcialidad subjetiva de quienes integran los distintos órganos decisorios e intervinientes en el procedimiento pero, en modo alguno, es posible garantizar una imparcialidad objetiva o estructural.</w:t>
      </w:r>
    </w:p>
    <w:p w:rsidR="00FA0779" w:rsidRDefault="00FA0779" w:rsidP="00FA0779">
      <w:pPr>
        <w:pStyle w:val="TextoNormal"/>
      </w:pPr>
    </w:p>
    <w:p w:rsidR="00FA0779" w:rsidRDefault="00FA0779" w:rsidP="00FA0779">
      <w:pPr>
        <w:pStyle w:val="TextoNormal"/>
      </w:pPr>
      <w:r w:rsidRPr="00FA0779">
        <w:rPr>
          <w:rStyle w:val="NumeroAFNegritaCaracter"/>
        </w:rPr>
        <w:t>2</w:t>
      </w:r>
      <w:r>
        <w:t>. De otro lado, la propuesta del Instructor o cualquier otro acto procedimental intermedio es, desde la óptica de su eventual control jurisdiccional, un mero acto de trámite y, por tanto, judicialmente irrelevante. Desde una perspectiva constitucional, lo relevante a estos efectos es que frente a la sanción definitivamente impuesta por la Administración, la persona sancionada pueda acudir a los Tribunales y hacer valer sus derechos, esta vez sí, ante un Tribunal imparcial y en un proceso con todas las garantías. Así ha ocurrido en el caso presente, en el que la decisión sancionadora del C.G.P.J. fue sometida a la fiscalización jurisdiccional de la Sala Tercera del Tribunal Supremo.</w:t>
      </w:r>
    </w:p>
    <w:p w:rsidR="00FA0779" w:rsidRDefault="00FA0779" w:rsidP="00FA0779">
      <w:pPr>
        <w:pStyle w:val="TextoNormal"/>
      </w:pPr>
      <w:r>
        <w:t>En este mismo sentido cumple recordar, como nos indica el Ministerio Fiscal, que este Tribunal ha insistido en la idea de que la traslación de esas garantías contenidas en el art. 24 C.E. al procedimiento sancionador no puede ser mimética, literal o inmediata, en razón de la distinta naturaleza de ambos procedimientos, no obstante la común identidad de ser manifestación del ius puniendi del Estado (STC 145/1993 y 97/1995, entre las más recientes). Más concretamente, y en relación con el tema que ahora nos ocupa, en la STC 76/1990 se declaró que «por la naturaleza misma de los procedimientos administrativos, en ningún caso puede exigirse una separación entre la instrucción y la resolución equivalentes a la que respecto de los Jueces ha de darse en los procesos constitucionales» (fundamento jurídico 8.º). Esta misma línea de razonamiento fue, por otra parte, la sostenida por la Sentencia del Tribunal Supremo recaída en la vía previa a este proceso constitucional.</w:t>
      </w:r>
    </w:p>
    <w:p w:rsidR="00FA0779" w:rsidRDefault="00FA0779" w:rsidP="00FA0779">
      <w:pPr>
        <w:pStyle w:val="TextoNormal"/>
      </w:pPr>
    </w:p>
    <w:p w:rsidR="00FA0779" w:rsidRDefault="00FA0779" w:rsidP="00FA0779">
      <w:pPr>
        <w:pStyle w:val="TextoNormal"/>
      </w:pPr>
      <w:r w:rsidRPr="00FA0779">
        <w:rPr>
          <w:rStyle w:val="NumeroAFNegritaCaracter"/>
        </w:rPr>
        <w:t>3</w:t>
      </w:r>
      <w:r>
        <w:t>. De otra parte, la conclusión desestimatoria se refuerza si se atiende a la peculiar estructura del concreto procedimiento disciplinario de que aquí se trata, pues no estamos propiamente ante un procedimiento administrativo sancionador común, sino ante un procedimiento disciplinario que reviste perfiles propios y perfectamente diferenciados. Un procedimiento, por así decir, en el que la Administración (en nuestro caso el C.G.P.J.)  -a diferencia de lo que ocurre en los propiamente administrativos- no es, en puridad, Juez y parte.</w:t>
      </w:r>
    </w:p>
    <w:p w:rsidR="00FA0779" w:rsidRDefault="00FA0779" w:rsidP="00FA0779">
      <w:pPr>
        <w:pStyle w:val="TextoNormal"/>
      </w:pPr>
      <w:r>
        <w:t>La intervención obligada del Ministerio Fiscal, por sólo resaltar una de las peculiaridades de este procedimiento, responde a la necesidad de garantizar la independencia del Juez objeto del mismo; pues cabe recordar que el aquí sancionado no es un administrado común, sino un Juez; esto es, un titular de uno de los poderes del Estado, investido como tal de plena independencia en ejercicio de sus funciones, incluso frente al propio Consejo General del Poder Judicial. El valor constitucionalmente objetivado «independencia del Juez» no puede, por ello, ser desconocido en el ejercicio de la potestad sancionadora que ejerce el Consejo con arreglo a la L.O.P.J.</w:t>
      </w:r>
    </w:p>
    <w:p w:rsidR="00FA0779" w:rsidRDefault="00FA0779" w:rsidP="00FA0779">
      <w:pPr>
        <w:pStyle w:val="TextoNormal"/>
      </w:pPr>
      <w:r>
        <w:t>De suerte que la garantía de la independencia del órgano judicial se refuerza aún más, si cabe, no ya a través de la traslación de la obligada separación entre funciones instructoras y juzgadoras en el proceso penal, sino, precisamente, por la propia naturaleza del C.G.P.J. en tanto que órgano constitucional específico.</w:t>
      </w:r>
    </w:p>
    <w:p w:rsidR="00FA0779" w:rsidRDefault="00FA0779" w:rsidP="00FA0779">
      <w:pPr>
        <w:pStyle w:val="TextoNormal"/>
      </w:pPr>
    </w:p>
    <w:p w:rsidR="00FA0779" w:rsidRDefault="00FA0779" w:rsidP="00FA0779">
      <w:pPr>
        <w:pStyle w:val="TextoNormal"/>
      </w:pPr>
      <w:r w:rsidRPr="00FA0779">
        <w:rPr>
          <w:rStyle w:val="NumeroAFNegritaCaracter"/>
        </w:rPr>
        <w:t>4</w:t>
      </w:r>
      <w:r>
        <w:t>. Cabe, finalmente, señalar que la queja formulada por el actor en relación con la eventual conculcación del principio de legalidad penal ex art. 25.1 C.E. carece de toda consistencia, pues la sanción impuesta al recurrente se encontraba claramente tipificada en la L.O.P.J. al tiempo de cometerse los hechos. Por lo demás, es conveniente recordar que el principio de irretroactividad de las disposiciones sancionadoras o desfavorables conte</w:t>
      </w:r>
      <w:r>
        <w:lastRenderedPageBreak/>
        <w:t>nido en el art. 9.3 C.E. no es susceptible de protección a través del proceso de amparo constitucional.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atención a todo lo expuesto, la Sección acuerda la inadmisión a trámite del presente recurso, y el archivo de las actuaciones.</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1" w:name="AUTO_1997_268"/>
      <w:r>
        <w:lastRenderedPageBreak/>
        <w:t>AUTO 268/1997, de 14 de julio de 1997</w:t>
      </w:r>
    </w:p>
    <w:bookmarkEnd w:id="201"/>
    <w:p w:rsidR="00FA0779" w:rsidRDefault="00FA0779" w:rsidP="00FA0779">
      <w:pPr>
        <w:pStyle w:val="TtuloResolucin"/>
      </w:pPr>
      <w:r>
        <w:t>Sección Primera</w:t>
      </w:r>
    </w:p>
    <w:p w:rsidR="00FA0779" w:rsidRDefault="00FA0779" w:rsidP="00FA0779">
      <w:pPr>
        <w:pStyle w:val="TtuloResolucin"/>
      </w:pPr>
    </w:p>
    <w:p w:rsidR="00FA0779" w:rsidRDefault="00FA0779" w:rsidP="00FA0779">
      <w:pPr>
        <w:pStyle w:val="SntesisDescriptiva"/>
      </w:pPr>
      <w:r>
        <w:t>ECLI:ES:TC:1997:268A</w:t>
      </w:r>
    </w:p>
    <w:p w:rsidR="00FA0779" w:rsidRDefault="00FA0779" w:rsidP="00FA0779">
      <w:pPr>
        <w:pStyle w:val="SntesisDescriptiva"/>
      </w:pPr>
    </w:p>
    <w:p w:rsidR="00FA0779" w:rsidRDefault="00FA0779" w:rsidP="00FA0779">
      <w:pPr>
        <w:pStyle w:val="SntesisDescriptiva"/>
      </w:pPr>
      <w:r>
        <w:t>Excms. Srs. don Álvaro Rodríguez Bereijo, don Pedro Cruz Villalón y don Enrique Ruiz Vadillo.</w:t>
      </w:r>
    </w:p>
    <w:p w:rsidR="00FA0779" w:rsidRDefault="00FA0779" w:rsidP="00FA0779">
      <w:pPr>
        <w:pStyle w:val="SntesisDescriptiva"/>
      </w:pPr>
    </w:p>
    <w:p w:rsidR="00FA0779" w:rsidRDefault="00FA0779" w:rsidP="00FA0779">
      <w:pPr>
        <w:pStyle w:val="SntesisDescriptiva"/>
      </w:pPr>
      <w:r>
        <w:t>Acordando la inadmisión a trámite del recurso de amparo 1.146/1997.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la solicitante de amparo se interpuso la correspondiente damanda en reclamación del mismo, la cual tenía como Antecedentes los hechos que a continuación se describen: </w:t>
      </w:r>
    </w:p>
    <w:p w:rsidR="00FA0779" w:rsidRDefault="00FA0779" w:rsidP="00FA0779">
      <w:pPr>
        <w:pStyle w:val="TextoNormal"/>
      </w:pPr>
      <w:r>
        <w:t xml:space="preserve">A) La Universidad de Murcia sacó a concurso una plaza de Profesor titular, la núm. 52/91 del Cuerpo de Profesores Titulares de Universidad, Area de conocimiento de Ciencias Morfológicas el día 20 de marzo de 1991, a la que se presentaron el ahora recurrente en amparo, y Don Juan Francisco Madrid Cuevas. </w:t>
      </w:r>
    </w:p>
    <w:p w:rsidR="00FA0779" w:rsidRDefault="00FA0779" w:rsidP="00FA0779">
      <w:pPr>
        <w:pStyle w:val="TextoNormal"/>
      </w:pPr>
      <w:r>
        <w:t xml:space="preserve">B) Tras la tramitación legal oportuna, y designación del Tribunal Calificador, cuyos miembros no son recusados por ninguno de los aspirantes, se celebran las pruebas, y en la primera de ellas, sobre experiencia docente en biología para médicos, méritos personales en investigación, e interés científico de la línea de investigación, (criterios de valoración hechos públicos, todo ello con arreglo a la documentación presentada, ambos concursantes superan la indicada prueba por unanimidad y con idéntica puntuación. </w:t>
      </w:r>
    </w:p>
    <w:p w:rsidR="00FA0779" w:rsidRDefault="00FA0779" w:rsidP="00FA0779">
      <w:pPr>
        <w:pStyle w:val="TextoNormal"/>
      </w:pPr>
      <w:r>
        <w:t xml:space="preserve">C) En la segunda de las pruebas, la Comisión Juzgadora resuelve la provisión de la plaza a favor de la recurrente. </w:t>
      </w:r>
    </w:p>
    <w:p w:rsidR="00FA0779" w:rsidRDefault="00FA0779" w:rsidP="00FA0779">
      <w:pPr>
        <w:pStyle w:val="TextoNormal"/>
      </w:pPr>
      <w:r>
        <w:t xml:space="preserve">El Tribunal de Oposiciones, el 21 de octubre de 1992, valoró el contenido, claridad didáctica y dificultad profesional (criterios de valoración del segundo ejercicio) en el desarrollo de las intervenciones de ambos concursantes y votó por mayoría a favor de Doña María Caballero Bleda (3 votos a su favor, 1 abstención y 1 en contra). </w:t>
      </w:r>
    </w:p>
    <w:p w:rsidR="00FA0779" w:rsidRDefault="00FA0779" w:rsidP="00FA0779">
      <w:pPr>
        <w:pStyle w:val="TextoNormal"/>
      </w:pPr>
      <w:r>
        <w:t xml:space="preserve">D) El Sr. Cuevas Madrid interpuso reclamación contra tal acuerdo ante la Comisión de Reclamaciones de la misma Universidad, acusando a los miembros del Tribunal que no le votaron de incompetencia para calificar el conocimiento y capacidad de los concursantes, y de realizar una incorrecta valoración de sus méritos de investigación, que en su opinión, debían ser meramente contabilizados y multiplicados por un factor de impacto. Dicho «factor de impacto» es un índice publicado anualmente por el «Institute, for Scientific Information» (Palo Alto, California) y se refiere a la tasa acumulativa de citaciones que reciben cada año las diferentes revistas científicas. No se refiere al mérito concreto de los artículos individuales que éstas publican menos aún, al mérito científico personal de los autores. </w:t>
      </w:r>
    </w:p>
    <w:p w:rsidR="00FA0779" w:rsidRDefault="00FA0779" w:rsidP="00FA0779">
      <w:pPr>
        <w:pStyle w:val="TextoNormal"/>
      </w:pPr>
      <w:r>
        <w:t xml:space="preserve">E) La Comisión de Reclamaciones, en 11 de diciembre de 1992, no ratificó la propuesta de la Comisión Juzgadora y declaró desierta la plaza. En su actuación, dicha Comisión de Reclamaciones no requirió informes de los miembros del Tribunal Calificador y consta </w:t>
      </w:r>
      <w:r>
        <w:lastRenderedPageBreak/>
        <w:t xml:space="preserve">en su Resolución de 11 de diciembre de 1992 que decidió no contemplar un informe presentado voluntariamente por el Presidente del Tribunal Calificador. </w:t>
      </w:r>
    </w:p>
    <w:p w:rsidR="00FA0779" w:rsidRDefault="00FA0779" w:rsidP="00FA0779">
      <w:pPr>
        <w:pStyle w:val="TextoNormal"/>
      </w:pPr>
      <w:r>
        <w:t xml:space="preserve">F) Doña María Caballero Bleda recurrió en reposición contra tal acuerdo por entender que los criterios de valoración de la Comisión Juzgadora eran legalmente los únicos autorizados y ser además más imparciales y objetivos para estimar el mérito personal y el interés científico de unas publicaciones concretas, y han de prevalecer sobre los criterios de las Comisiones de Reclamaciones, que no pueden sustituir las valoraciones científicas de los Tribunales Calificadores de la plaza sacada a concurso por una mera puntuación arbitraria realizada sobre una lista de méritos en ausencia de discusión. </w:t>
      </w:r>
    </w:p>
    <w:p w:rsidR="00FA0779" w:rsidRDefault="00FA0779" w:rsidP="00FA0779">
      <w:pPr>
        <w:pStyle w:val="TextoNormal"/>
      </w:pPr>
      <w:r>
        <w:t xml:space="preserve">G) Dicho recurso se desestimó, formulándose recurso contencioso-administrativo por la recurrente en amparo (autos 1.218/93). Tras el período de alegaciones de las partes se recibió el proceso a prueba, mediante providencia de 2 de marzo de 1995. </w:t>
      </w:r>
    </w:p>
    <w:p w:rsidR="00FA0779" w:rsidRDefault="00FA0779" w:rsidP="00FA0779">
      <w:pPr>
        <w:pStyle w:val="TextoNormal"/>
      </w:pPr>
      <w:r>
        <w:t xml:space="preserve">La solicitante propuso prueba el 16 de marzo de 1995, de las que, salvo la documental obrante en el expediente, sólo se admitió la confesión judicial de la parte coadyuvante con la Administración demandada, por «falta material de tiempo». La providencia es de 29 de abril de 1995. </w:t>
      </w:r>
    </w:p>
    <w:p w:rsidR="00FA0779" w:rsidRDefault="00FA0779" w:rsidP="00FA0779">
      <w:pPr>
        <w:pStyle w:val="TextoNormal"/>
      </w:pPr>
      <w:r>
        <w:t xml:space="preserve">H) El día 17 de octubre se declaró concluso el período de prueba. La Sala de Murcia acuerda como diligencia para mejor proveer la práctica de las pruebas de la parte coadyuvante, más las propuestas por la recurrente, a excepción de un documento que había de ser solicitado de la Universidad de Murcia sobre los criterios de valoración utilizados en otros concursos, que a la postre no fue entregado por esta Administración alegando falta de tiempo. </w:t>
      </w:r>
    </w:p>
    <w:p w:rsidR="00FA0779" w:rsidRDefault="00FA0779" w:rsidP="00FA0779">
      <w:pPr>
        <w:pStyle w:val="TextoNormal"/>
      </w:pPr>
      <w:r>
        <w:t xml:space="preserve">I) Se recurrió la providencia mediante recurso de súplica, por entender que ello afectaba al derecho de defensa de la recurrente y el recurso es desestimado por providencia de 6 de febrero de 1996. </w:t>
      </w:r>
    </w:p>
    <w:p w:rsidR="00FA0779" w:rsidRDefault="00FA0779" w:rsidP="00FA0779">
      <w:pPr>
        <w:pStyle w:val="TextoNormal"/>
      </w:pPr>
      <w:r>
        <w:t xml:space="preserve">J) La Sala de lo Contencioso-Administrativo del Tribunal Superior de Justicia de Murcia dictó Sentencia desestimando el recurso con fecha 28 de marzo de 1996. </w:t>
      </w:r>
    </w:p>
    <w:p w:rsidR="00FA0779" w:rsidRDefault="00FA0779" w:rsidP="00FA0779">
      <w:pPr>
        <w:pStyle w:val="TextoNormal"/>
      </w:pPr>
      <w:r>
        <w:t>K) Contra esta Sentencia se formuló recurso de casación ante la Sala de lo Contencioso-Administrativo del Tribunal Supremo, que por Auto de fecha 3 de febrero de 1997, se declaró la inadmisión del recurso.</w:t>
      </w:r>
    </w:p>
    <w:p w:rsidR="00FA0779" w:rsidRDefault="00FA0779" w:rsidP="00FA0779">
      <w:pPr>
        <w:pStyle w:val="TextoNormal"/>
      </w:pPr>
    </w:p>
    <w:p w:rsidR="00FA0779" w:rsidRDefault="00FA0779" w:rsidP="00FA0779">
      <w:pPr>
        <w:pStyle w:val="TextoNormal"/>
      </w:pPr>
      <w:r w:rsidRPr="00FA0779">
        <w:rPr>
          <w:rStyle w:val="NumeroAFNegritaCaracter"/>
        </w:rPr>
        <w:t>2</w:t>
      </w:r>
      <w:r>
        <w:t>. La recurrente en amparo alega la vulneración producida en el procedimiento judicial de referencia, de su derecho a la tutela judicial efectiva (art. 24.1 C.E.) y del derecho a la prueba (art. 24.2 C.E.) en la forma y modo en que se ha desarrollado el período de proposición y práctica de la prueba, alegando la existencia de indefensión.</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21 de abril de 1997 se acordó tener por personada a doña Teresa Castro Rodríguez, Procuradora de los Tribunales, en nombre y representación de doña María Caballero Bleda, y a tenor de lo dispuesto en el art. 50.3 LOTC, la Sección acordó conceder un plazo común de diez días al Ministerio Fiscal y a la representación de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Por el Ministerio Fiscal mediante escrito registrado el día 21 de mayo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00FA0779" w:rsidRDefault="00FA0779" w:rsidP="00FA0779">
      <w:pPr>
        <w:pStyle w:val="TextoNormal"/>
      </w:pPr>
    </w:p>
    <w:p w:rsidR="00FA0779" w:rsidRDefault="00FA0779" w:rsidP="00FA0779">
      <w:pPr>
        <w:pStyle w:val="TextoNormal"/>
      </w:pPr>
      <w:r w:rsidRPr="00FA0779">
        <w:rPr>
          <w:rStyle w:val="NumeroAFNegritaCaracter"/>
        </w:rPr>
        <w:t>5</w:t>
      </w:r>
      <w:r>
        <w:t>. Por la representación procesal de la demandante de amparo, el día 8 de mayo de 1997 se formularon alegaciones, en el mismo sentido que las ya contenidas en el escrito de demanda.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la recurrente se alega la lesión producida de su derecho a la tutela judicial efectiva (art. 24.1 C.E.)  así como del derecho a la práctica de las pruebas pertinentes para su defensa (art. 24.2 C.E.), y finalmente a un proceso sin dilaciones indebidas (art. 24.2 C.E.), como consecuencia de la Sentencia dictada por la Sala de lo Contencioso-Administrativo del Tribunal Supremo, al inadmitir el recurso de casación contra la decisión administrativa, confirmada en vía judicial, de adjudicar la plaza de Profesor titular del Área de conocimiento de Ciencias Morfológicas a otro candidato, y no a la recurrente.</w:t>
      </w:r>
    </w:p>
    <w:p w:rsidR="00FA0779" w:rsidRDefault="00FA0779" w:rsidP="00FA0779">
      <w:pPr>
        <w:pStyle w:val="TextoNormal"/>
      </w:pPr>
    </w:p>
    <w:p w:rsidR="00FA0779" w:rsidRDefault="00FA0779" w:rsidP="00FA0779">
      <w:pPr>
        <w:pStyle w:val="TextoNormal"/>
      </w:pPr>
      <w:r w:rsidRPr="00FA0779">
        <w:rPr>
          <w:rStyle w:val="NumeroAFNegritaCaracter"/>
        </w:rPr>
        <w:t>2</w:t>
      </w:r>
      <w:r>
        <w:t>. Si bien la demandante denuncia como vulnerado el derecho a la tutela judicial efectiva (art. 24.1 C.E.), dicha alegación no puede prosperar. Debe partirse de la consideración consistente en que la Sala limita su examen a la legalidad de la actuación de la Comisión de Reclamaciones de la citada Universidad de Murcia, analizando en primer término sus funciones y su concreta actividad en el caso de autos. Por ello, no puede ser acusada a la resolución ahora impugnada de haber invadido las competencias del Tribunal Calificador, cuando lo resuelto por la misma afecta únicamente al Acuerdo de la Comisión de Reclamaciones. La alegada invasión de la discrecionalidad técnica no ha existido, tal como señala el Ministerio Fiscal, compartiendo el criterio de la Sala, pues se concretan los criterios utilizados por dicha Comisión para no avalar la propuesta del Tribunal Calificador.</w:t>
      </w:r>
    </w:p>
    <w:p w:rsidR="00FA0779" w:rsidRDefault="00FA0779" w:rsidP="00FA0779">
      <w:pPr>
        <w:pStyle w:val="TextoNormal"/>
      </w:pPr>
      <w:r>
        <w:t>Tal valoración se efectúa de forma razonada y lógica, y desde luego no de manera arbitraria, satisfaciendo en cualquier caso las exigencias de motivación contempladas en el art. 24.1 C.E., por lo que finalmente hay que concluir que evidentemente nos encontramos ante una simple discrepancia de la actora, y ahora recurrente en amparo, con el criterio mantenido por la Sala casacional en su Sentencia, sin que ello implique la denunciada quiebra del derecho a la tutela judicial efectiva (art. 24.1 C.E.).</w:t>
      </w:r>
    </w:p>
    <w:p w:rsidR="00FA0779" w:rsidRDefault="00FA0779" w:rsidP="00FA0779">
      <w:pPr>
        <w:pStyle w:val="TextoNormal"/>
      </w:pPr>
    </w:p>
    <w:p w:rsidR="00FA0779" w:rsidRDefault="00FA0779" w:rsidP="00FA0779">
      <w:pPr>
        <w:pStyle w:val="TextoNormal"/>
      </w:pPr>
      <w:r w:rsidRPr="00FA0779">
        <w:rPr>
          <w:rStyle w:val="NumeroAFNegritaCaracter"/>
        </w:rPr>
        <w:t>3</w:t>
      </w:r>
      <w:r>
        <w:t>. Igualmente se alega por la recurrente la quiebra del derecho a la práctica de las pruebas pertinentes para su defensa (art. 24.2 C.E.). Por la solicitante, en su demanda de amparo, se afirma que las pruebas solicitadas oportunamente y cuya práctica no fue acordada por la Sala eran pertinentes, constituyendo ello, desde luego, en aplicación del art. 117.3 C.E., una facultad atribuida constitucional y legalmente a dicho órgano judicial. El Tribunal Constitucional, tal como afirma el Ministerio Fiscal, sólo puede efectuar su revisión cuando las pruebas hubieran podido resultar decisivas para el pleito, cambiando el sentido del fallo. Con relación a ello, la recurrente no concreta en qué extremos las pruebas que afirma se le han denegado hubieran podido cambiar el criterio y la decisión final</w:t>
      </w:r>
      <w:r>
        <w:lastRenderedPageBreak/>
        <w:t>mente adoptada por la Comisión de Reclamaciones, ni se acredita la producción, por la actuación de los órganos judiciales intervinientes, de una situación de indefensión material que conlleve la quiebra del artículo 24.2 de la Constitución, en el sentido expuesto por la recurrente.</w:t>
      </w:r>
    </w:p>
    <w:p w:rsidR="00FA0779" w:rsidRDefault="00FA0779" w:rsidP="00FA0779">
      <w:pPr>
        <w:pStyle w:val="TextoNormal"/>
      </w:pPr>
    </w:p>
    <w:p w:rsidR="00FA0779" w:rsidRDefault="00FA0779" w:rsidP="00FA0779">
      <w:pPr>
        <w:pStyle w:val="TextoNormal"/>
      </w:pPr>
      <w:r w:rsidRPr="00FA0779">
        <w:rPr>
          <w:rStyle w:val="NumeroAFNegritaCaracter"/>
        </w:rPr>
        <w:t>4</w:t>
      </w:r>
      <w:r>
        <w:t>. Con relación a la lesión constitucional referida al derecho a un proceso sin dilaciones indebidas (art. 24.2 C.E.), de acuerdo con el examen de lo actuado en autos, y lo manifestado por el Ministerio Fiscal, debe concluirse que no puede prosperar la aducida vulneración de dicho derecho fundamental, pues por la recurrente no se ha acreditado la denuncia de tal situación ante el Tribunal ante el que pendían las actuaciones judiciales, a los efectos de hacer posible la reparación del derecho fundamental ahora alegado. Tal omisión impide que este Tribunal, que debe respetar el carácter subsidiario y último del recurso de amparo, entre a revisar una actuación no invocada en la vía judicial procedente, conforme se establece en el art. 44.1 c) en relación con el art. 50.1 a), ambos de la LOTC, lo que conlleva finalmente a la inadmisión del presente recurso de amparo constitucional, al no haberse producido las lesiones constitucionales denunciadas por la recurrente en su demanda de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Sala acuerda la inadmisión a trámite del recurso de amparo, y el archivo de las presentes actuaciones.</w:t>
      </w:r>
    </w:p>
    <w:p w:rsidR="00FA0779" w:rsidRDefault="00FA0779" w:rsidP="00FA0779">
      <w:pPr>
        <w:pStyle w:val="TextoNormal"/>
      </w:pPr>
    </w:p>
    <w:p w:rsidR="00FA0779" w:rsidRDefault="00FA0779" w:rsidP="00FA0779">
      <w:pPr>
        <w:pStyle w:val="TextoNormal"/>
      </w:pPr>
      <w:r>
        <w:t>Madrid, a catorce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2" w:name="AUTO_1997_269"/>
      <w:r>
        <w:lastRenderedPageBreak/>
        <w:t>AUTO 269/1997, de 15 de julio de 1997</w:t>
      </w:r>
    </w:p>
    <w:bookmarkEnd w:id="202"/>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ECLI:ES:TC:1997:269A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acumulación de las cuestiones de inconstitucionalidad 2.820/1996, 4.626/1996, 4.646/1996 y 745/1997 a los recursos de inconstitucionalidad 572/1989, 587/1989, 591/1989 y a la cuestión de inconstitucionalidad 2.679/1996, ya acumulados.</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3" w:name="AUTO_1997_270"/>
      <w:r>
        <w:lastRenderedPageBreak/>
        <w:t>AUTO 270/1997, de 15 de julio de 1997</w:t>
      </w:r>
    </w:p>
    <w:bookmarkEnd w:id="203"/>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ECLI:ES:TC:1997:270A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Manteniendo la suspensión, previamente acordada, del art. 51 de la Ley del Parlamento de Canarias 5/1996, de Presupuestos Generales de Canarias para 1997, en el recurso de inconstitucionalidad 1.297/1997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Abogado del Estado, en nombre del Presidente del Gobierno, mediante escrito presentado el 26 de marzo de 1997, interpuso recurso de inconstitucionalidad contra el art. 51 y la Disposición adicional vigésima quinta de la Ley 5/1996, de 27 de diciembre, de Presupuestos Generales de la Comunidad Autónoma de Canarias. </w:t>
      </w:r>
    </w:p>
    <w:p w:rsidR="00FA0779" w:rsidRDefault="00FA0779" w:rsidP="00FA0779">
      <w:pPr>
        <w:pStyle w:val="TextoNormal"/>
      </w:pPr>
      <w:r>
        <w:t>Se hizo expresa invocación del art. 161.2 C.E., a efectos de la suspensión de la vigencia y aplicación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Tercera, mediante providencia de 8 de abril de 1997, acordó admitir a trámite el recurso, dando traslado de la demanda y documentos presentados, conforme establece el art. 34 LOTC, al Congreso, al Senado, así como al Gobierno y al Parlamento de Canarias, para que en el plazo de quince días pudieran personarse en el proceso y formular las alegaciones que estimaren convenientes. Al haber sido invocado por el Presidente del Gobierno el art. 161.2 de la C.E., y conforme establece el art. 30 de la LOTC, se acordó asimismo la suspensión de la vigencia y aplicación de los preceptos impugnados, para las partes desde la fecha de interposición del recurso y para los terceros desde el día en que apareciera la publicación en el «Boletín Oficial del Estado», de la incoación del recurso y la suspensión, cuya publicación también se dispuso en el «Boletín Oficial de Canarias».</w:t>
      </w:r>
    </w:p>
    <w:p w:rsidR="00FA0779" w:rsidRDefault="00FA0779" w:rsidP="00FA0779">
      <w:pPr>
        <w:pStyle w:val="TextoNormal"/>
      </w:pPr>
    </w:p>
    <w:p w:rsidR="00FA0779" w:rsidRDefault="00FA0779" w:rsidP="00FA0779">
      <w:pPr>
        <w:pStyle w:val="TextoNormal"/>
      </w:pPr>
      <w:r w:rsidRPr="00FA0779">
        <w:rPr>
          <w:rStyle w:val="NumeroAFNegritaCaracter"/>
        </w:rPr>
        <w:t>3</w:t>
      </w:r>
      <w:r>
        <w:t>. Mediante escrito presentado el 28 de abril de 1997, el Abogado del Estado, en la representación que legalmente ostenta, desiste parcialmente del recurso en relación con la Disposición adicional vigésima quinta de la Ley 5/1996 de Canarias, de cuya solicitud se dio traslado a las demás partes.</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Por Auto de 20 de mayo de 1997, el Pleno del Tribunal acuerda tener por desistido parcialmente al Gobierno de la Nación del recurso por lo que se refiere a la Disposición </w:t>
      </w:r>
      <w:r>
        <w:lastRenderedPageBreak/>
        <w:t>adicional vigésima quinta de la Ley 5/1996, de 27 de diciembre, de Presupuestos Generales de la Comunidad Autónoma de Canarias, y dejar sin efecto la suspensión de la vigencia de la citada disposición, acordada por providencia de 8 de abril de 1997, así como mantener el recurso de inconstitucionalidad interpuesto contra el art. 51 de la mencionada Ley 5/1996.</w:t>
      </w:r>
    </w:p>
    <w:p w:rsidR="00FA0779" w:rsidRDefault="00FA0779" w:rsidP="00FA0779">
      <w:pPr>
        <w:pStyle w:val="TextoNormal"/>
      </w:pPr>
    </w:p>
    <w:p w:rsidR="00FA0779" w:rsidRDefault="00FA0779" w:rsidP="00FA0779">
      <w:pPr>
        <w:pStyle w:val="TextoNormal"/>
      </w:pPr>
      <w:r w:rsidRPr="00FA0779">
        <w:rPr>
          <w:rStyle w:val="NumeroAFNegritaCaracter"/>
        </w:rPr>
        <w:t>5</w:t>
      </w:r>
      <w:r>
        <w:t>. Dentro de los plazos conferidos en la providencia de admisión a trámite, comparecieron el Gobierno y el Parlamento de Canarias formulando ambos escritos de alegaciones en solicitud de que en su día se dicte Sentencia por el Tribunal desestimando el recurso.</w:t>
      </w:r>
    </w:p>
    <w:p w:rsidR="00FA0779" w:rsidRDefault="00FA0779" w:rsidP="00FA0779">
      <w:pPr>
        <w:pStyle w:val="TextoNormal"/>
      </w:pPr>
    </w:p>
    <w:p w:rsidR="00FA0779" w:rsidRDefault="00FA0779" w:rsidP="00FA0779">
      <w:pPr>
        <w:pStyle w:val="TextoNormal"/>
      </w:pPr>
      <w:r w:rsidRPr="00FA0779">
        <w:rPr>
          <w:rStyle w:val="NumeroAFNegritaCaracter"/>
        </w:rPr>
        <w:t>6</w:t>
      </w:r>
      <w:r>
        <w:t>. La Sección Tercera, mediante providencia de 23 de junio de 1997, acuerda que, próximo a finalizar el plazo de cinco meses que señala el art. 161.2 de la Constitución desde que se produjo la suspensión de los preceptos impugnados -actualmente sólo del art. 51 de la Ley de Canarias 5/1996-, se oiga a las partes personadas en el proceso para que, en el plazo de cinco días, expongan lo que estimen oportuno acerca del mantenimiento o levantamiento de la suspensión.</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El Abogado del Estado, en escrito recibido el 30 de junio siguiente, solicita el mantenimiento de la suspensión, a cuyo efecto formula las siguientes alegaciones: </w:t>
      </w:r>
    </w:p>
    <w:p w:rsidR="00FA0779" w:rsidRDefault="00FA0779" w:rsidP="00FA0779">
      <w:pPr>
        <w:pStyle w:val="TextoNormal"/>
      </w:pPr>
      <w:r>
        <w:t xml:space="preserve">La suspensión del precepto recurrido debe mantenerse pues, desde la perspectiva privada, la vigencia del precepto recurrido supondría que en el territorio de la Comunidad de Canarias los beneficiarios del Sistema Nacional de Salud podrían ver reducida la financiación pública de las especialidades farmacéuticas que necesitasen si éstas tuviesen en ella un precio de referencia inferior al del resto del Estado. El mismo efecto se produciría respecto de aquellas especialidades en las cuales el Estado no haya establecido precio de referencia y la Comunidad Autónoma de Canarias sí; en este caso el beneficiario tendrá que financiar el resto del precio si éste supera al de referencia y en el resto del Estado se financiaría por el Sistema Nacional de Salud según su normativa general. Evidentemente, los supuestos citados en caso de producirse en sentido contrario, es decir, favoreciendo a los residentes en Canarias en relación con el resto de españoles, también supondrían un efecto discriminatorio inconstitucional, pues los primeros recibirían un mejor trato aun cuando la fuente de financiación tiene carácter estatal y única. Las consecuencias del distinto trato descrito serían irreparables, pues se agotarían en el momento del desembolso extraordinario de cada beneficiario. </w:t>
      </w:r>
    </w:p>
    <w:p w:rsidR="00FA0779" w:rsidRDefault="00FA0779" w:rsidP="00FA0779">
      <w:pPr>
        <w:pStyle w:val="TextoNormal"/>
      </w:pPr>
      <w:r>
        <w:t xml:space="preserve">Desde la perspectiva pública, el efecto perjudicial derivaría de la violación del principio de unidad en la disponibilidad directa de los fondos destinados a la financiación de productos farmacéuticos. Tal como tuvo ocasión de establecer el Tribunal en su STC 124/1989, «corresponde sólo al Estado distribuir con criterios homogéneos los fondos disponibles del entero y único sistema de la Seguridad Social, lo que permitirá además ponderar adecuadamente las repercusiones de las operaciones distributivas, en el tiempo y en el espacio sobre la totalidad del sistema». </w:t>
      </w:r>
    </w:p>
    <w:p w:rsidR="00FA0779" w:rsidRDefault="00FA0779" w:rsidP="00FA0779">
      <w:pPr>
        <w:pStyle w:val="TextoNormal"/>
      </w:pPr>
      <w:r>
        <w:t>Señala seguidamente el Abogado del Estado que el levantamiento de la suspensión que actualmente pesa sobre el art. 51 de la Ley de Presupuestos Generales de la Comunidad Autónoma de Canarias y la recuperación subsiguiente de la plena eficacia del precepto haría posible que, con base en simples informes de los facultativos del Servicio Canario de la Salud, con la posterior valoración que efectúen en ellos los órganos competentes de dicho Servicio, se amplíe en esa Comunidad Autónoma, de modo incontrolado e insolida</w:t>
      </w:r>
      <w:r>
        <w:lastRenderedPageBreak/>
        <w:t xml:space="preserve">rio, la prestación farmacéutíca de la Seguridad Social, pudiendo ir la misma más allá de lo establecido de modo general por el Gobierno para el resto del país. Esa ampliación, desconocida en principio e imposible de prever por la Tesorería General de la Seguridad Social, desvirtúa la condición de entero y único que debe corresponder al sistema de la Seguridad Social, puede impedir que a través de dicho sistema se lleve a cabo la necesaria labor de corrección de desajustes y de distribución homogénea de las disponibilidades dinerarias y, finalmente, puede ocasionar también desajustes importantes en el presupuesto y entorpecer la política de control del gasto público farmacéutico y general, con la consiguiente repercusión en la política de estabilidad y de, contención del déficit, tan cruciales e importantes para el país en este momento. </w:t>
      </w:r>
    </w:p>
    <w:p w:rsidR="00FA0779" w:rsidRDefault="00FA0779" w:rsidP="00FA0779">
      <w:pPr>
        <w:pStyle w:val="TextoNormal"/>
      </w:pPr>
      <w:r>
        <w:t>Finalmente, alega el Abogado del Estado que el mantenimiento de la suspensión no produciría ningún efecto negativo, ya que los beneficiarios canarios del Sistema Nacional de Salud quedarían cubiertos en cuanto a la financiación pública de especialidades farmacéuticas en las mismas condiciones que el resto de los españoles.</w:t>
      </w:r>
    </w:p>
    <w:p w:rsidR="00FA0779" w:rsidRDefault="00FA0779" w:rsidP="00FA0779">
      <w:pPr>
        <w:pStyle w:val="TextoNormal"/>
      </w:pPr>
    </w:p>
    <w:p w:rsidR="00FA0779" w:rsidRDefault="00FA0779" w:rsidP="00FA0779">
      <w:pPr>
        <w:pStyle w:val="TextoNormal"/>
      </w:pPr>
      <w:r w:rsidRPr="00FA0779">
        <w:rPr>
          <w:rStyle w:val="NumeroAFNegritaCaracter"/>
        </w:rPr>
        <w:t>8</w:t>
      </w:r>
      <w:r>
        <w:t xml:space="preserve">. El Letrado-Secretario General del Parlamento de Canarias, en escrito de 30 de junio de 1997, manifiesta, en cumplimiento del trámite abierto sobre levantamiento 0 mantenimiento de la suspensión, que la norma del art. 51 consiste en una medida legislativa encaminada a orientar la actuación del Gobierno de Canarias en el ejercicio de la función ejecutiva para propiciar la contención del gasto público derivado de las prestaciones farmacéuticas por el Servicio Canario de Salud. Para ello prevé el establecimiento de precios de referencia sobre especialidades farmacológicas equivalentes, una vez la Consejería de Sanidad y Consumo del Gobierno de Canarias dicte la normativa de desarrollo que corresponda (art. 51, apartados. 1 y 3). Medida análoga está prevista en el art. 169 de la Ley 13/1996, de 30 de diciembre, de Medidas Fiscales, Administrativas y de Orden Social, que modifica el art. 94 de la Ley 25/1990, de 20 de diciembre, del Medicamento. </w:t>
      </w:r>
    </w:p>
    <w:p w:rsidR="00FA0779" w:rsidRDefault="00FA0779" w:rsidP="00FA0779">
      <w:pPr>
        <w:pStyle w:val="TextoNormal"/>
      </w:pPr>
      <w:r>
        <w:t xml:space="preserve">Añade que la puesta en práctica de estas previsiones legislativas no comporta un recorte de las prestaciones que hayan de recibir los usuarios, ya que el establecimiento de precios de referencia sobre productos equivalentes no da lugar a la exclusión de una parte de éstos, pues los que supere en dichos precios podrán ser prescritos facultativamente en el Servicio Canario de Salud siempre que se cumplimenten los requisitos que se exigen en el apartado. 2 del citado art. 51. Por otra parte, habida cuenta la finalidad de la medida de procurar la contención del gasto farmacéutico, no podría sostenerse que el levantamiento de la suspensión de la vigencia del artículo recurrido habría de dar lugar a perjuicios irreparables; antes al contrario, el aplazamiento de la aplicación de la medida repercutiría sobre el gasto público. </w:t>
      </w:r>
    </w:p>
    <w:p w:rsidR="00FA0779" w:rsidRDefault="00FA0779" w:rsidP="00FA0779">
      <w:pPr>
        <w:pStyle w:val="TextoNormal"/>
      </w:pPr>
      <w:r>
        <w:t>Por todo ello, se solicita el levantamiento de la suspensión del art. 51 de la Ley 5/1996, de 27 de diciembre, de Presupuestos Generales de Canarias para 1997.</w:t>
      </w:r>
    </w:p>
    <w:p w:rsidR="00FA0779" w:rsidRDefault="00FA0779" w:rsidP="00FA0779">
      <w:pPr>
        <w:pStyle w:val="TextoNormal"/>
      </w:pPr>
    </w:p>
    <w:p w:rsidR="00FA0779" w:rsidRDefault="00FA0779" w:rsidP="00FA0779">
      <w:pPr>
        <w:pStyle w:val="TextoNormal"/>
      </w:pPr>
      <w:r w:rsidRPr="00FA0779">
        <w:rPr>
          <w:rStyle w:val="NumeroAFNegritaCaracter"/>
        </w:rPr>
        <w:t>9</w:t>
      </w:r>
      <w:r>
        <w:t xml:space="preserve">. El escrito de alegaciones del Gobierno de Canarias se presentó en el Juzgado de Guardia el 7 de julio de 1997, registrándose en este Tribunal el día 10 siguiente. En él se sostiene que con el levantamiento de la suspensión no se irrogaría ningún perjuicio irreparable al interés general. Limitándose el precepto recurrido a imponer un deber de motivación terapéutica para la prescripción de aquellos medicamentos cuyo precio exceda del fijado como de referencia por la Administración autonómica, no se producirá la consolidación de situaciones irreversibles y tampoco resultará perjuicio alguno, aún temporal, en su ámbito objetivo de aplicación, al no afectar directamente ni a relaciones con terceros, ni al </w:t>
      </w:r>
      <w:r>
        <w:lastRenderedPageBreak/>
        <w:t xml:space="preserve">precio de los productos farmacéuticos, ni al sistema de financiación pública de la Sanidad, ni, por último, a la libertad de prescripción de los facultativos. </w:t>
      </w:r>
    </w:p>
    <w:p w:rsidR="00FA0779" w:rsidRDefault="00FA0779" w:rsidP="00FA0779">
      <w:pPr>
        <w:pStyle w:val="TextoNormal"/>
      </w:pPr>
      <w:r>
        <w:t xml:space="preserve">A lo anterior debe añadirse, continúa el Gobierno canario, la presunción de constitucionalidad de la norma recurrida, lo que, de acuerdo con la jurisprudencia del Tribunal, ha llevado a considerar el mantenimiento de la suspensión como una medida excepcional (ATC 871199l). </w:t>
      </w:r>
    </w:p>
    <w:p w:rsidR="00FA0779" w:rsidRDefault="00FA0779" w:rsidP="00FA0779">
      <w:pPr>
        <w:pStyle w:val="TextoNormal"/>
      </w:pPr>
      <w:r>
        <w:t>Por lo expuesto, se interesa de este Tribunal el levantamiento de la suspensión de la vigencia del art. 51 de la Ley 5/1996.</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Dentro del plazo de cinco meses establecido en el art. 161.2 de la Constitución procede ratificar o levantar la suspensión de la vigencia de los preceptos impugnados de la Ley del Parlamento de Canarias 5/1996, de 27 de diciembre, de Presupuestos Generales de Canarias para 1997, suspensión acordada por la Sección Tercera de este Tribunal mediante providencia de 8 de abril de 1997.</w:t>
      </w:r>
    </w:p>
    <w:p w:rsidR="00FA0779" w:rsidRDefault="00FA0779" w:rsidP="00FA0779">
      <w:pPr>
        <w:pStyle w:val="TextoNormal"/>
      </w:pPr>
      <w:r>
        <w:t>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w:t>
      </w:r>
    </w:p>
    <w:p w:rsidR="00FA0779" w:rsidRDefault="00FA0779" w:rsidP="00FA0779">
      <w:pPr>
        <w:pStyle w:val="TextoNormal"/>
      </w:pPr>
      <w:r>
        <w:t>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(AATC 329/1992, 103/1993 y 46/1994).</w:t>
      </w:r>
    </w:p>
    <w:p w:rsidR="00FA0779" w:rsidRDefault="00FA0779" w:rsidP="00FA0779">
      <w:pPr>
        <w:pStyle w:val="TextoNormal"/>
      </w:pPr>
    </w:p>
    <w:p w:rsidR="00FA0779" w:rsidRDefault="00FA0779" w:rsidP="00FA0779">
      <w:pPr>
        <w:pStyle w:val="TextoNormal"/>
      </w:pPr>
      <w:r w:rsidRPr="00FA0779">
        <w:rPr>
          <w:rStyle w:val="NumeroAFNegritaCaracter"/>
        </w:rPr>
        <w:t>2</w:t>
      </w:r>
      <w:r>
        <w:t>. El art. 51 de la Ley canaria 5/1996, de 27 de diciembre, de Presupuestos Generales de la Comunidad Autónoma de Canarias 1997, dispone, en su apartado 1, que el Gobierno de esa Comunidad Autónoma podrá regular gradualmente y por grupos de medicamentos, en el ámbito del Servicio Canario de Salud, la fijación de precios de referencia en especialidades farmacéuticas, en relación a las especialidades farmacológicas equivalentes. Por su parte, en el apartado 2 se establece que, publicadas esas normas de regulación y en relación a los medicamentos en ellas incluidas, la prescripción por los facultativos del Servicio Canario de Salud de especialidades farmacéuticas cuyo importe exceda de los precios de referencia requerirá de un informe complementario emitido por el facultativo en el que ha de justificarse, desde el punto de vista terapéutico, la elección de la especialidad prescrita con preferencia al resto de los productos registrados que contengan idéntico principio activo y cuyo importe sea igual o inferior al precio de referencia; dicho informe deberá ser aprobado por el Servicio Canario de Salud como requisito para la financiación pública de la especialidad prescrita en cuanto al exceso de su importe sobre el precio de referencia.</w:t>
      </w:r>
    </w:p>
    <w:p w:rsidR="00FA0779" w:rsidRDefault="00FA0779" w:rsidP="00FA0779">
      <w:pPr>
        <w:pStyle w:val="TextoNormal"/>
      </w:pPr>
      <w:r>
        <w:t xml:space="preserve">A juicio del Abogado del Estado, el levantamiento de la suspensión de la vigencia del precepto impugnado podría poner en peligro, además del principio de unidad por el que hoy se rige el sistema de Seguridad Social, la efectividad de medidas de política económica general adoptadas por el Gobierno en el marco del programa de contención del déficit, </w:t>
      </w:r>
      <w:r>
        <w:lastRenderedPageBreak/>
        <w:t>afectándose a un componente relevante del gasto público como es el gasto farmacéutico; se vería afectado, también, el principio de igualdad, por cuanto se haría posible un tratamiento diferenciado en materia de asistencia sanitaria entre los residentes en la Comunidad canaria y el resto de los ciudadanos. El Parlamento de Canarias, por su parte, sostiene que el precepto impugnado tiene como objetivo, precisamente, contribuir a la contención del gasto público, de manera que no habrá de perjudicarse la política general del Gobierno en la materia; de otro lado, queda enteramente garantizado el derecho de los ciudadanos residentes en la Comunidad Autónoma a las prestaciones farmacológicas con cargo a fondos públicos, pues no se excluye la financiación pública del precio en lo que exceda del límite fijado por el Gobierno canario, sino que simplemente se condiciona a la satisfacción de los requisitos establecidos en el apartado. 2 del art. 51. Esta misma posición mantiene el Gobierno de Canarias en sus alegaciones, para solicitar el levantamiento de la suspensión, añadiendo que el precepto recurrido no causaría perjuicio irreparable al interés general, toda vez que se limita a imponer un deber de motivación terapéutica para aquellos medicamentos cuyo precio exceda del de referencia. Alega también la presunción de constitucionalidad de la norma y la excepcionalidad de su suspensión.</w:t>
      </w:r>
    </w:p>
    <w:p w:rsidR="00FA0779" w:rsidRDefault="00FA0779" w:rsidP="00FA0779">
      <w:pPr>
        <w:pStyle w:val="TextoNormal"/>
      </w:pPr>
    </w:p>
    <w:p w:rsidR="00FA0779" w:rsidRDefault="00FA0779" w:rsidP="00FA0779">
      <w:pPr>
        <w:pStyle w:val="TextoNormal"/>
      </w:pPr>
      <w:r w:rsidRPr="00FA0779">
        <w:rPr>
          <w:rStyle w:val="NumeroAFNegritaCaracter"/>
        </w:rPr>
        <w:t>3</w:t>
      </w:r>
      <w:r>
        <w:t>. El levantamiento de la suspensión de la vigencia del art. 51 de la Ley del Parlamento de Canarias 5/1996 habría de suponer, como alega el Abogado del Estado, la posibilidad de que en el ámbito de la Comunidad Autónoma, ejerciendo el Gobierno de ésta la facultad que le otorga el precepto impugnado para la fijación de precios de referencia, impusiera un régimen de financiación pública de las prestaciones farmacológicas distinto del que rige en el resto del territorio nacional. Ello podría poner en peligro el conjunto de la política estatal de contención del gasto público, por cuanto se vería afectado un componente esencial del mismo como es el relativo al gasto farmacéutico. Ponderada esta circunstancia, procede acordar el mantenimiento de la suspensión del precepto recurrido,: pues de lo contrario, su vigencia podría irrogar perjuicios de difícil reparación en el ámbito de la política estatal de contención del déficit.</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del Tribunal acuerda mantener la suspensión del art.  51 de la Ley 5/1996, de 27 de diciembre, de Presupuestos Generales de la Comunidad Autónoma de Canarias para 1997.</w:t>
      </w:r>
    </w:p>
    <w:p w:rsidR="00FA0779" w:rsidRDefault="00FA0779" w:rsidP="00FA0779">
      <w:pPr>
        <w:pStyle w:val="TextoNormal"/>
      </w:pPr>
    </w:p>
    <w:p w:rsidR="00FA0779" w:rsidRDefault="00FA0779" w:rsidP="00FA0779">
      <w:pPr>
        <w:pStyle w:val="TextoNormal"/>
      </w:pPr>
      <w:r>
        <w:t>Publíquese en el «Boletín Oficial del Estado» y en el «Boletín Oficial de Canarias».</w:t>
      </w:r>
    </w:p>
    <w:p w:rsidR="00FA0779" w:rsidRDefault="00FA0779" w:rsidP="00FA0779">
      <w:pPr>
        <w:pStyle w:val="TextoNormal"/>
      </w:pPr>
      <w:r>
        <w:t>Madrid, a quince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4" w:name="AUTO_1997_271"/>
      <w:r>
        <w:lastRenderedPageBreak/>
        <w:t>AUTO 271/1997, de 15 de julio de 1997</w:t>
      </w:r>
    </w:p>
    <w:bookmarkEnd w:id="204"/>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ECLI:ES:TC:1997:271A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Manteniendo la suspensión, previamente acordada, de determinados preceptos de la Ley del Parlamento Vaso 10/1996, de Presupuestos Generales del País Vasco para 1997, en el recurso de inconstitucionalidad 1.298/1997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Abogado del Estado presentó en este Tribunal el 26 de marzo de 1997 escrito por el que interponía, en nombre del Presidente del Gobierno, recurso de inconstitucionalidad contra los apartados 4 y 9 del art. 17 de la Ley del Parlamento Vasco 10/1996, de 27 de diciembre, de Presupuestos Generales de la Comunidad Autónoma del País Vasco para 1997, y por razón de la omisión en la misma de la cuantía de las retribuciones. </w:t>
      </w:r>
    </w:p>
    <w:p w:rsidR="00FA0779" w:rsidRDefault="00FA0779" w:rsidP="00FA0779">
      <w:pPr>
        <w:pStyle w:val="TextoNormal"/>
      </w:pPr>
      <w:r>
        <w:t>Se hizo expresa invocación del art. 161.2 C.E., a efectos de la suspensión de la vigencia y aplicación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recurso interpuesto fue admitido a trámite mediante providencia de la Sección Tercera de 8 de abril de 1997, dándose traslado de la demanda y documentos presentados, conforme establece el art. 34 LOTC, al Congreso de los Diputados y al Senado, así como al Gobierno y al Parlamento Vascos para que pudiesen personarse en el proceso y formular alegaciones dentro de los plazos y prórrogas concedidos. </w:t>
      </w:r>
    </w:p>
    <w:p w:rsidR="00FA0779" w:rsidRDefault="00FA0779" w:rsidP="00FA0779">
      <w:pPr>
        <w:pStyle w:val="TextoNormal"/>
      </w:pPr>
      <w:r>
        <w:t>Comparecieron y formularon escritos de alegaciones las representaciones del Gobierno y Parlamento Vascos.</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23 de junio de 1997, dictada por la Sección Tercera, se acordó oír a las partes personadas para que expusieran lo que estimasen oportuno acerca del mantenimiento o levantamiento de la suspensión acordada de los preceptos recurridos.</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Abogado del Estado, mediante escrito recibido el 30 de junio siguiente, pide el mantenimiento de la suspensión, con apoyo en las siguientes alegaciones: </w:t>
      </w:r>
    </w:p>
    <w:p w:rsidR="00FA0779" w:rsidRDefault="00FA0779" w:rsidP="00FA0779">
      <w:pPr>
        <w:pStyle w:val="TextoNormal"/>
      </w:pPr>
      <w:r>
        <w:t xml:space="preserve">El objeto del presente recurso de inconstitucionalidad fue hacer efectiva una medida económica general de carácter presupuestario dirigida a contener la expansión relativa de uno de los componentes del gasto público, como es el relativo a las retribuciones funcionariales y de altos cargos, y establecida a través de la Ley de Presupuestos Generales del </w:t>
      </w:r>
      <w:r>
        <w:lastRenderedPageBreak/>
        <w:t xml:space="preserve">Estado. Esta medida se amparó en el título competencial contenido en los arts. 149.1.13 y 156.1 C.E. </w:t>
      </w:r>
    </w:p>
    <w:p w:rsidR="00FA0779" w:rsidRDefault="00FA0779" w:rsidP="00FA0779">
      <w:pPr>
        <w:pStyle w:val="TextoNormal"/>
      </w:pPr>
      <w:r>
        <w:t xml:space="preserve">En caso de levantarse la suspensión de la entrada en vigor de las normas recurridas, resultaría que ese objetivo no podría cumplirse y, como consecuencia de ello, la competencia señalada quedaría de hecho anulada. En este caso no cabría la posibilidad de reparar los efectos producidos por la entrada en vigor de la norma autonómica, puesto que durante el tiempo de su vigencia el aumento del gasto público impediría directamente el objetivo de política económica general establecido por el Gobierno en su Ley de Presupuestos Generales del Estado. De modo que la posible devolución de retribuciones excesivas por parte de los funcionarios y autoridades perceptores de las mismas impediría que el objetivo de política económica general pudiera recuperar su eficacia. </w:t>
      </w:r>
    </w:p>
    <w:p w:rsidR="00FA0779" w:rsidRDefault="00FA0779" w:rsidP="00FA0779">
      <w:pPr>
        <w:pStyle w:val="TextoNormal"/>
      </w:pPr>
      <w:r>
        <w:t>Añade el representante del Gobierno que, a mayor abundamiento, el carácter básico de la competencia ejercitada por el Estado y la obligatoriedad para las Comunidades Autónomas de someterse a las mismas ha sido ratificada recientemente por el Tribunal en su Sentencia de 22 de mayo de 1997, en la que se afirma que la imposición de topes máximos por parte del Estado en las retribuciones de los funcionarios es constitucional porque sin duda constituye una medida económica eficaz para la contención del gasto público y tiene plena cobertura en los títulos competenciales anteriormente citados.</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Letrado del Gobierno Vasco, en cumplimiento de la audiencia conferida acerca del mantenimiento o levantamiento de la suspensión, formula las siguientes alegaciones: </w:t>
      </w:r>
    </w:p>
    <w:p w:rsidR="00FA0779" w:rsidRDefault="00FA0779" w:rsidP="00FA0779">
      <w:pPr>
        <w:pStyle w:val="TextoNormal"/>
      </w:pPr>
      <w:r>
        <w:t xml:space="preserve">El mantenimiento de la suspensión automática requiere que el Gobierno, a quien se debe la iniciativa determinante de esa medida excepcional, aporte argumentos o razones que la justifiquen (AATC 1268/1988, 356/1985, 385/1985, 466/1984, y 139/1981), razones que deben ser desarrolladas convincentemente por quien las alega. (AATC 70/1986, 283/1984, 166/1982 y 375/1982) y ha de llevar a la conclusión de que si no se mantuviera la suspensión se producirían previsiblemente graves perjuicios para el interés general y, en su caso, para los sujetos afectados por la misma (AATC 1241/1988, 1242/1988, 674/1988 y 15/1990). Señala que, no obstante no conocer las alegaciones que en este incidente haya formulado el Ahogado del Estado -lo que merma su capacidad de defensa-, formula sus alegatos, recordando en primer lugar la doctrina del Tribunal con cita del ATC 36/1990. </w:t>
      </w:r>
    </w:p>
    <w:p w:rsidR="00FA0779" w:rsidRDefault="00FA0779" w:rsidP="00FA0779">
      <w:pPr>
        <w:pStyle w:val="TextoNormal"/>
      </w:pPr>
      <w:r>
        <w:t xml:space="preserve">A la vista de la doctrina constitucional, expresa las razones por las que considera que debe levantarse la suspensión de los preceptos recurridos. </w:t>
      </w:r>
    </w:p>
    <w:p w:rsidR="00FA0779" w:rsidRDefault="00FA0779" w:rsidP="00FA0779">
      <w:pPr>
        <w:pStyle w:val="TextoNormal"/>
      </w:pPr>
      <w:r>
        <w:t xml:space="preserve">En relación con el art. 17.4 de la Ley recurrida, alega que nos encontramos ante una norma que no establece incremento porcentual de clase alguna, ni por ende vulnera, por sí misma, el limite retributivo impuesto por el artículo 17 de la Ley 12/1996, de 30 de diciembre, de Presupuestos Generales del Estado para 1997. Tampoco confiere un apoderamiento incondicionado al Gobierno para aprobar las variaciones que estime oportunas en las retribuciones anuales íntegras de los funcionarios autonómicos. Por el contrario, cuando proceda a la «actualización» de las retribuciones básicas o a la «determinación» de las cuantías de las retribuciones complementarias, tendrá que ajustarse a las previsiones de la propia Ley de Presupuestos, en concreto a lo establecido en los apartados 1 y 3 del mismo artículo (de conformidad con el principio de jerarquía normativa), así como al resto del ordenamiento jurídico, en particular, a lo dispuesto en el art. 24 de la Ley 30/1984, de 2 de agosto, de Medidas para la Reforma de la Función Pública (de carácter básico y, por tanto, aplicable al personal de todas las Administraciones públicas. </w:t>
      </w:r>
    </w:p>
    <w:p w:rsidR="00FA0779" w:rsidRDefault="00FA0779" w:rsidP="00FA0779">
      <w:pPr>
        <w:pStyle w:val="TextoNormal"/>
      </w:pPr>
      <w:r>
        <w:t xml:space="preserve">En todo caso, las causantes directas de los perjuicios serán aquellas medidas que el Gobierno adopte. Ante lo cual indica que para acordar la suspensión los daños y perjuicios </w:t>
      </w:r>
      <w:r>
        <w:lastRenderedPageBreak/>
        <w:t xml:space="preserve">alegados han de ser efectivos, y la efectividad excluye por su propia naturaleza la eventualidad, la posibilidad, la contingencia; y que lo que el Gobierno acuerde podrá ser asimismo recurrido instándose la adopción de la pertinente medida precautoria (ex art. 122 de la Ley Jurisdiccional). </w:t>
      </w:r>
    </w:p>
    <w:p w:rsidR="00FA0779" w:rsidRDefault="00FA0779" w:rsidP="00FA0779">
      <w:pPr>
        <w:pStyle w:val="TextoNormal"/>
      </w:pPr>
      <w:r>
        <w:t xml:space="preserve">En tanto que para la efectividad de lo dispuesto en el precepto sería indispensable esa actuación del Gobierno, introduciendo a través de un Reglamento el incremento retributivo lesivo, ningún daño o perjuicio irroga su simple vigencia. </w:t>
      </w:r>
    </w:p>
    <w:p w:rsidR="00FA0779" w:rsidRDefault="00FA0779" w:rsidP="00FA0779">
      <w:pPr>
        <w:pStyle w:val="TextoNormal"/>
      </w:pPr>
      <w:r>
        <w:t xml:space="preserve">Desde el punto de vista de la Comunidad Autónoma, la paralización dispuesta impide llevar a la práctica lo dispuesto en el apartado 3 del art. 17 de la Ley de Presupuestos Autonómica si el Gobierno no puede alterar en absoluto las retribuciones del año 1996. Salvo que deba entenderse, con el riesgo inherente a toda interpretación, que lo que la suspensión impide no es otra cosa que la aplicación de un incremento porcentual de las retribuciones íntegras anuales del personal de la Administración General de la Comunidad Autónoma del País Vasco, pero no limita ni restringe, por no afectar a las mismas, las facultades del Gobierno para proceder a la correspondiente adecuación retributiva en desarrollo y ejecución del mencionado apartado 3 (cuya constitucionalidad el Abogado del Estado no ha puesto en duda, ni, por tanto, es objeto de controversia en este recurso). </w:t>
      </w:r>
    </w:p>
    <w:p w:rsidR="00FA0779" w:rsidRDefault="00FA0779" w:rsidP="00FA0779">
      <w:pPr>
        <w:pStyle w:val="TextoNormal"/>
      </w:pPr>
      <w:r>
        <w:t xml:space="preserve">Adecuación que, de no poder llevarse a cabo, llevaría implícita una paralización o anquilosamiento en la organización interna de sus unidades administrativas, pues no podrían modificarse las relaciones de puestos de trabajo, ni, obviamente, las tareas asignadas a las mismas. </w:t>
      </w:r>
    </w:p>
    <w:p w:rsidR="00FA0779" w:rsidRDefault="00FA0779" w:rsidP="00FA0779">
      <w:pPr>
        <w:pStyle w:val="TextoNormal"/>
      </w:pPr>
      <w:r>
        <w:t xml:space="preserve">Por lo que hace referencia al art. 17.9, señala que es claro y notorio que el levantamiento de la suspensión acordada no pone ni puede poner en peligro la efectividad da la medida de política económica a cuya efectividad se endereza la denominada congelación salarial. Su número, relativamente escaso, hace que no pueda tener trascendencia en el conjunto de la economía. </w:t>
      </w:r>
    </w:p>
    <w:p w:rsidR="00FA0779" w:rsidRDefault="00FA0779" w:rsidP="00FA0779">
      <w:pPr>
        <w:pStyle w:val="TextoNormal"/>
      </w:pPr>
      <w:r>
        <w:t xml:space="preserve">Asimismo alega que el mismo está. conectado y en directa relación con el apartado 3 del art. 17 de la Ley Presupuestaria Autonómica. Si las retribuciones complementarias de carácter fijo y periódico van a sufrir una adecuación, a la luz de una valoración de su «dificultad técnica, dedicación, responsabilidad, peligrosidad o penosidad» (ex art. 17.3), resultaría del todo punto injustificado que no pudiera ser adecuada, en la misma medida, la «única retribución» (Ley autonómica 14/1988) que por todos los conceptos reciben los altos cargos. </w:t>
      </w:r>
    </w:p>
    <w:p w:rsidR="00FA0779" w:rsidRDefault="00FA0779" w:rsidP="00FA0779">
      <w:pPr>
        <w:pStyle w:val="TextoNormal"/>
      </w:pPr>
      <w:r>
        <w:t xml:space="preserve">Continúa el escrito indicando que los Presupuestos del País Vasco no producen automáticamente un incremento retributivo. No obstante, a los solos efectos dialécticos, aun admitiendo que pudiera derivarse de la normativa recurrida un incremento retributivo, ello no pone en peligro la consecución de los aspectos de política económica general (inflación y déficit público) que invoca el Preámbulo de la Ley de Presupuestos Generales del Estado para 1997, porque ninguna incidencia negativa tiene sobre los mismos, tal y como de forma fehaciente lo prueba el informe elaborado por la Dirección de Programación del Departamento de Hacienda y Finanzas del Gobierno Vasco y que se acompañó a la contestación. </w:t>
      </w:r>
    </w:p>
    <w:p w:rsidR="00FA0779" w:rsidRDefault="00FA0779" w:rsidP="00FA0779">
      <w:pPr>
        <w:pStyle w:val="TextoNormal"/>
      </w:pPr>
      <w:r>
        <w:t>Por último, se alega que la propia Administración del Estado estima que un incremento retributivo que supere el tope salarial dispuesto en la Ley de Presupuestos del Estado no siempre causa daños o perjuicios irreparables para la ordenación general de la economía y para los objetivos de política económica a lograr en un determinado ejercicio presupuestario. Así lo ha entendido con el Decreto Foral 22/1997, de 10 de febrero, por el que se determinan las retribuciones de los funcionarios de las Administraciones Públicas de Nava</w:t>
      </w:r>
      <w:r>
        <w:lastRenderedPageBreak/>
        <w:t xml:space="preserve">rra, así como las cuantías de los conceptos retributivos con incidencia en los derechos pasivos, en aplicación de lo dispuesto en la Ley Foral de Presupuestos Generales de Navarra para el ejercicio de 1997. </w:t>
      </w:r>
    </w:p>
    <w:p w:rsidR="00FA0779" w:rsidRDefault="00FA0779" w:rsidP="00FA0779">
      <w:pPr>
        <w:pStyle w:val="TextoNormal"/>
      </w:pPr>
      <w:r>
        <w:t>Por lo expuesto, se solicita que se dicte Auto por el que se resuelva levantar la suspensión cautelar de los preceptos impugnados.</w:t>
      </w:r>
    </w:p>
    <w:p w:rsidR="00FA0779" w:rsidRDefault="00FA0779" w:rsidP="00FA0779">
      <w:pPr>
        <w:pStyle w:val="TextoNormal"/>
      </w:pPr>
    </w:p>
    <w:p w:rsidR="00FA0779" w:rsidRDefault="00FA0779" w:rsidP="00FA0779">
      <w:pPr>
        <w:pStyle w:val="TextoNormal"/>
      </w:pPr>
      <w:r w:rsidRPr="00FA0779">
        <w:rPr>
          <w:rStyle w:val="NumeroAFNegritaCaracter"/>
        </w:rPr>
        <w:t>6</w:t>
      </w:r>
      <w:r>
        <w:t>. El Letrado de Parlamento Vasco, en escrito que se recibe el 2 de julio de 1997, manifiesta, en cumplimiento de la audiencia conferida, que la ratificación o levantamiento de La suspensión debe resolverse ponderando los perjuicios o repercusiones negativas que para los intereses públicos y de los particulares podrían derivarse de adoptar una u otra medida, todo ello a partir de la presunción de validez que juega en favor de la Ley autonómica. Señala que, habida cuenta de las alegaciones que formuló al contestar el recurso instado por el Presidente del Gobierno, cabe deducir la inexistencia de perjuicios para dichos intereses públicos o de los particulares que pudieran derivarse de la no ratificación de la suspensión. Por todo ello, solicita el levantamiento de la misma.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Dentro del plazo de cinco meses establecido en el art. 161.2 de la Constitución procede ratificar o levantar la suspensión de la vigencia de los preceptos impugnados de la Ley del Parlamento Vasco 10/1996, de 27 diciembre, de Presupuestos Generales de la Comunidad Autónoma del País Vasco para 1997, suspensión acordada por la Sección Tercera de este Tribunal mediante providencia de 8 de abril de 1997.</w:t>
      </w:r>
    </w:p>
    <w:p w:rsidR="00FA0779" w:rsidRDefault="00FA0779" w:rsidP="00FA0779">
      <w:pPr>
        <w:pStyle w:val="TextoNormal"/>
      </w:pPr>
      <w:r>
        <w:t>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en cuanto excepción a la regla general, que debe ser el mantenimiento de la vigencia y eficacia que toda norma posee-requiere que el Gobierno, a quien se debe la iniciativa, aporte y razone con detalle los argumentos que la justifiquen (AATC 329/1992, 103/1993 y 46/1994).</w:t>
      </w:r>
    </w:p>
    <w:p w:rsidR="00FA0779" w:rsidRDefault="00FA0779" w:rsidP="00FA0779">
      <w:pPr>
        <w:pStyle w:val="TextoNormal"/>
      </w:pPr>
    </w:p>
    <w:p w:rsidR="00FA0779" w:rsidRDefault="00FA0779" w:rsidP="00FA0779">
      <w:pPr>
        <w:pStyle w:val="TextoNormal"/>
      </w:pPr>
      <w:r w:rsidRPr="00FA0779">
        <w:rPr>
          <w:rStyle w:val="NumeroAFNegritaCaracter"/>
        </w:rPr>
        <w:t>2</w:t>
      </w:r>
      <w:r>
        <w:t>. El art. 17 de la Ley del Parlamento Vasco 10/1996, de 27 de diciembre, de Presupuestos Generales de la Comunidad Autónoma para 1997, dispone en sus apartados 4 y 9 la actualización de las retribuciones básicas de los funcionarios sujetos al ámbito de la Ley 6/1989, de 6 de julio, de Función Pública Vasca, así como de las percibidas por el Lehendakari, Vicepresidente, Consejeros, altos cargos y asimilados y personal eventual. La Ley, de otro lado, no contiene, según se alega en el escrito de interposición del presente recurso de inconstitucionalidad, ningún precepto que incluya las cuantías de las retribuciones básicas, de los complementos de destino asignados a cada puesto de trabajo y de los complementos específicos y de productividad.</w:t>
      </w:r>
    </w:p>
    <w:p w:rsidR="00FA0779" w:rsidRDefault="00FA0779" w:rsidP="00FA0779">
      <w:pPr>
        <w:pStyle w:val="TextoNormal"/>
      </w:pPr>
      <w:r>
        <w:t xml:space="preserve">El levantamiento de la suspensión de la vigencia de los preceptos impugnados podría poner en peligro, como señala el Abogado del Estado, la efectividad de una medida de política económica general (retribuciones de los funcionarios) que afecta a uno de los </w:t>
      </w:r>
      <w:r>
        <w:lastRenderedPageBreak/>
        <w:t>componentes esenciales del gasto público. De otro lado, si el recurso de inconstitucionalidad termina siendo desestimado, los posibles perjuicios derivados del mantenimiento de la suspensión podrían repararse sin dificultad mediante el pago de los correspondientes haberes, mientras que, de prosperar el recurso, sería mayor el quebranto sufrido por el personal perceptor, que debería restituir lo cobrado en exceso.</w:t>
      </w:r>
    </w:p>
    <w:p w:rsidR="00FA0779" w:rsidRDefault="00FA0779" w:rsidP="00FA0779">
      <w:pPr>
        <w:pStyle w:val="TextoNormal"/>
      </w:pPr>
      <w:r>
        <w:t>En definitiva, siendo evidente que con el mantenimiento de la suspensión habrán de evitarse perjuicios para la eficacia de las medidas económicas generales adoptadas por el Estado en materia presupuestaria, al tiempo que los efectos perjudiciales que de la suspensión hayan de resultar podrán corregirse sin mayor quebranto en el caso de que el presente recurso sea desestimado, lo que no sería el caso señaladamente desde la perspectiva de los funcionarios beneficiados por los preceptos recurridos en el supuesto de que este procedimiento concluyera por medio de Sentencia desestimatoria, procede, debidamente ponderados los hechos e intereses en presencia, mantener la suspensión acordada en su día (igual decisión hemos adoptado, para casos similares, en los AATC 885/1988, 897/1988, 1083/1988, 1269/1988 y más recientemente, en el dictado el 17 de diciembre de 1996 en el recurso de inconstitucionalidad 3.079/96).</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consecuencia, apareciendo como más conveniente para los intereses generales mantener la suspensión, el Pleno del Tribunal acuerda mantener la suspensión de los preceptos impugnados de la Ley del Parlamento Vasco 10/1996, de 27 de diciembre, de</w:t>
      </w:r>
    </w:p>
    <w:p w:rsidR="00FA0779" w:rsidRDefault="00FA0779" w:rsidP="00FA0779">
      <w:pPr>
        <w:pStyle w:val="TextoNormal"/>
      </w:pPr>
      <w:r>
        <w:t>Presupuestos Generales de la Comunidad Autónoma del País Vasco para 1997.</w:t>
      </w:r>
    </w:p>
    <w:p w:rsidR="00FA0779" w:rsidRDefault="00FA0779" w:rsidP="00FA0779">
      <w:pPr>
        <w:pStyle w:val="TextoNormal"/>
      </w:pPr>
    </w:p>
    <w:p w:rsidR="00FA0779" w:rsidRDefault="00FA0779" w:rsidP="00FA0779">
      <w:pPr>
        <w:pStyle w:val="TextoNormal"/>
      </w:pPr>
      <w:r>
        <w:t>Publíquese en el «Boletín Oficial del Estado» y en el «Boletín Oficial del País Vasco».</w:t>
      </w:r>
    </w:p>
    <w:p w:rsidR="00FA0779" w:rsidRDefault="00FA0779" w:rsidP="00FA0779">
      <w:pPr>
        <w:pStyle w:val="TextoNormal"/>
      </w:pPr>
      <w:r>
        <w:t>Madrid, a quince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5" w:name="AUTO_1997_272"/>
      <w:r>
        <w:lastRenderedPageBreak/>
        <w:t>AUTO 272/1997, de 15 de julio de 1997</w:t>
      </w:r>
    </w:p>
    <w:bookmarkEnd w:id="205"/>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ECLI:ES:TC:1997:272A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acumulación de los recursos de inconstitucionalidad 1.105/1997 y otros catorce a los registrados con los núms. 104/1997, 105/1997 y 106/1997.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6" w:name="AUTO_1997_273"/>
      <w:r>
        <w:lastRenderedPageBreak/>
        <w:t>AUTO 273/1997, de 15 de julio de 1997</w:t>
      </w:r>
    </w:p>
    <w:bookmarkEnd w:id="206"/>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ECLI:ES:TC:1997:273A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Estimando recurso de súplica contra providencia de 3 de junio de q997, dictada en la cuestión de inconstitucionalidad 1.708/1997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Sección Quinta de la Sala de lo Contencioso-Administrativo del Tribunal Superior de Justicia de Madrid, planteó, mediante actuaciones recibidas el 25 de abril de 1997, Cuestión de inconstitucionalidad sobre las Disposiciones transitorias tercera y cuarta en relación con los arts. 12, 13 y 14 de la Ley 3/1993, de 22 de marzo, Básica de las Cámaras de Comercio, Industria y Navegación por su eventual contradicción con el art. 22. C.E. en cuanto a la dimensión negativa del derecho de asociación. </w:t>
      </w:r>
    </w:p>
    <w:p w:rsidR="00FA0779" w:rsidRDefault="00FA0779" w:rsidP="00FA0779">
      <w:pPr>
        <w:pStyle w:val="TextoNormal"/>
      </w:pPr>
      <w:r>
        <w:t>El Auto de planteamiento, dictado el 3 de marzo de 1997, dimana del recurso contencioso-administrativo interpuesto por la Cámara Oficial de Comercio e Industria de Madrid contra un acuerdo del Tribunal Económico-Administrativo Regional que se había dictado en reclamación deducida por «Overconsulting, S.L.», contra el recurso cameral permanente correspondiente a 1994, anulando la liquidación que del mismo le había girado la Corporación recurrente.</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Segunda del Pleno, mediante providencia de 3 de junio de 1997, acordó admitir a trámite la referida cuestión y dio traslado de las actuaciones recibidas, conforme establece el artículo 37.2 LOTC, a efectos de personación y alegaciones, publicándose la incoación de la cuestión en el «Boletín Oficial del Estado».</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Abogado del Estado, en escrito de 9 de junio siguiente se personó en el proceso, en representación del Gobierno e interpuso recurso de súplica contra la citada providencia de 3 de junio por la que se admitía la cuestión, con base en los siguientes motivos: </w:t>
      </w:r>
    </w:p>
    <w:p w:rsidR="00FA0779" w:rsidRDefault="00FA0779" w:rsidP="00FA0779">
      <w:pPr>
        <w:pStyle w:val="TextoNormal"/>
      </w:pPr>
      <w:r>
        <w:t xml:space="preserve">Señala la representación del Gobierno que no parece existir duda de que los preceptos legales a los que la Sala promotora de la cuestión considera de dudosa constitucionalidad, son las Disposiciones transitorias tercera y cuarta de la Ley Básica de las Cámaras de Comercio, Industria y Navegación, disposiciones que podrán quebrantar la libertad negativa de asociación (art. 22.1 C.E.), según se afirma en la fundamentación del Auto de planteamiento. </w:t>
      </w:r>
    </w:p>
    <w:p w:rsidR="00FA0779" w:rsidRDefault="00FA0779" w:rsidP="00FA0779">
      <w:pPr>
        <w:pStyle w:val="TextoNormal"/>
      </w:pPr>
      <w:r>
        <w:lastRenderedPageBreak/>
        <w:t xml:space="preserve">No obstante ello, indica el Abogado del Estado que las argumentaciones del Auto de planteamiento no se ajustan a los hechos del «caso de autos», como lo pone de manifiesto el examen del recibo por recurso cameral girado a Overconsulting y, sobre todo, la lectura del escrito de interposición de la reclamación económico-administrativa y de la escritura constitutiva de la Sociedad reclamante que lo acompaña. </w:t>
      </w:r>
    </w:p>
    <w:p w:rsidR="00FA0779" w:rsidRDefault="00FA0779" w:rsidP="00FA0779">
      <w:pPr>
        <w:pStyle w:val="TextoNormal"/>
      </w:pPr>
      <w:r>
        <w:t xml:space="preserve">Así, el recibo por recurso cameral permanente aparece expedido en septiembre de 1994; este es el mes y año de la liquidación. Claramente se trata de una exacción cameral del 2 por 100 sobre el impuesto de actividades económicas [art. 12.1 a) de la Ley 3/19931. El impuesto de actividades económicas sobre el que se ha girado el 2 por 100 del recurso cameral es, por lo tanto, el devengado en el ejercicio de 1993, y así lo confirma el expositivo 1.1 del escrito de interposición de la reclamación económico-administrativa. Ahora bien -continúa el escrito del Abogado del Estado-, Orverconsulting se constituyó por escritura pública el 3 de septiembre de 1993 y quedó inscrita en el Registro Mercantil de Madrid el 23 de septiembre siguiente, señalándose en el art. 3 de sus Estatutos Sociales que la Sociedad daría comienzo a sus operaciones el 1 de octubre de 1993. Por otro lado, la Ley 3/1993 fue publicada el 23 de marzo de 1993 y entró en vigor a los veinte días de su publicación, el 13 de abril de 1993. </w:t>
      </w:r>
    </w:p>
    <w:p w:rsidR="00FA0779" w:rsidRDefault="00FA0779" w:rsidP="00FA0779">
      <w:pPr>
        <w:pStyle w:val="TextoNormal"/>
      </w:pPr>
      <w:r>
        <w:t xml:space="preserve">El período impositivo del I.A.E./1993 comenzó para «Overconsulting, S.L.», el 1 de octubre de 1993, fecha en que dieron principio sus operaciones y comenzó su actividad (art. 90.1 L.H.L.). Y, consiguientemente, el I.A.E. que por el ejercicio de 1993 correspondía a Overconsulting se devengó el primer día del período impositivo que le correspondía, es decir, el 1 de octubre de 1993 (art. 90.2 L.H.L.). Pero el día 1 de octubre de 1993, la Ley 3/1993 llevaba casi medio año en vigor. Nos hallamos, pues, afirma el Abogado del Estado, ante una exacción del recurso cameral permanente devengada conforme al artículo 13.2 de la Ley 3/1993 y al que era aplicable el art. 12.1 a) de la misma Ley. Ha de repararse, señala, en que el art. 13.1 de la Ley 3/1993 declara sujeto pasivo del recurso cameral a personas y entidades que durante la totalidad o parte de un ejercicio económico hayan ejercido las actividades de Comercio, Industria o Navegación a que se refiere el art. 6 y, en tal concepto, hayan quedado sujetos al impuesto de actividades económicas. </w:t>
      </w:r>
    </w:p>
    <w:p w:rsidR="00FA0779" w:rsidRDefault="00FA0779" w:rsidP="00FA0779">
      <w:pPr>
        <w:pStyle w:val="TextoNormal"/>
      </w:pPr>
      <w:r>
        <w:t xml:space="preserve">En consecuencia, para el Abogado del Estado las Disposiciones transitorias tercera y cuarta son por completo irrelevantes para el caso, porque en la liquidación del recurso cameral que dio origen a la reclamación económico-administrativa y posteriormente al proceso contencioso-administrativo, no se aplicaron ni la transitoria tercera ni la cuarta de la Ley 3/1993 sino los arts. 12.1 a), 13.1 y 13.2 de esta misma Ley. </w:t>
      </w:r>
    </w:p>
    <w:p w:rsidR="00FA0779" w:rsidRDefault="00FA0779" w:rsidP="00FA0779">
      <w:pPr>
        <w:pStyle w:val="TextoNormal"/>
      </w:pPr>
      <w:r>
        <w:t>Finaliza con la solicitud de que se revoque la providencia de 3 de junio de 1997 y se dicte Auto por el que se declare no haber lugar a admitir la cuestión por faltar las condiciones procesales.</w:t>
      </w:r>
    </w:p>
    <w:p w:rsidR="00FA0779" w:rsidRDefault="00FA0779" w:rsidP="00FA0779">
      <w:pPr>
        <w:pStyle w:val="TextoNormal"/>
      </w:pPr>
    </w:p>
    <w:p w:rsidR="00FA0779" w:rsidRDefault="00FA0779" w:rsidP="00FA0779">
      <w:pPr>
        <w:pStyle w:val="TextoNormal"/>
      </w:pPr>
      <w:r w:rsidRPr="00FA0779">
        <w:rPr>
          <w:rStyle w:val="NumeroAFNegritaCaracter"/>
        </w:rPr>
        <w:t>4</w:t>
      </w:r>
      <w:r>
        <w:t>. El Fiscal General del Estado se personó en la presente cuestión, mediante escrito de 16 de junio de 1997 en el que manifiesta que ha tenido conocimiento de la interposición por el Abogado del Estado del recurso de súplica contra la providencia de admisión dictada el 3 de junio anterior, y solicita se le dé traslado del citado recurso para poder así informar en una posible declaración de inadmisión de la cuestión, conforme prevé el artículo 37.1 LOTC, al tiempo que interesa la suspensión del plazo para emitir alegaciones conferido por la providencia recurrida, en tanto se resuelve el recurso de súplica.</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24 de junio de 1997 se acordó la admisión a trámite del recurso de súplica interpuesto por el Abogado del Estado y se dio traslado del mismo al Fiscal Gene</w:t>
      </w:r>
      <w:r>
        <w:lastRenderedPageBreak/>
        <w:t>ral del Estado a fin de que pudiera alegar lo que estimase oportuno, conforme dispone el art. 93.2 LOTC.</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Fiscal General del Estado despachó el trámite conferido para informe en el recurso de súplica interpuesto, en escrito de 30 de junio de 1997. </w:t>
      </w:r>
    </w:p>
    <w:p w:rsidR="00FA0779" w:rsidRDefault="00FA0779" w:rsidP="00FA0779">
      <w:pPr>
        <w:pStyle w:val="TextoNormal"/>
      </w:pPr>
      <w:r>
        <w:t xml:space="preserve">Hace constar, en sus alegaciones, que todo el planteamiento de la Sala que promovió la cuestión se basa en el hecho de que se estaría girando un impuesto devengado con anterioridad a la entrada en vigor de la Ley 3/1993, y que por aplicación de sus Disposiciones transitorias tercera y cuarta gravaría un hecho imponible surgido durante la vigencia de la anterior Ley de Cámaras de Comercio, Industria y Navegación y que contravendría la libertad negativa de asociación, consagrada en el art. 22 C.E. </w:t>
      </w:r>
    </w:p>
    <w:p w:rsidR="00FA0779" w:rsidRDefault="00FA0779" w:rsidP="00FA0779">
      <w:pPr>
        <w:pStyle w:val="TextoNormal"/>
      </w:pPr>
      <w:r>
        <w:t xml:space="preserve">Señala el Fiscal General del Estado su coincidencia con los argumentos expuestos por el Abogado del Estado en su escrito de súplica, relativos a la falta de relevancia de los preceptos dubitados para fallar el pleito contencioso-administrativo, ante la constatación de un error patente, consistente en que la Sociedad obligada al pago del I.A.E. se constituyó en las fechas indicadas, y dado que la Ley 3/1993 entró en vigor el 13 de abril de 1993, no resultan de aplicación sus Disposiciones transitorias sino directamente sus artículos 12.1 a) y 13.1, que regulan relaciones posteriores a la entrada en vigor del texto legal. </w:t>
      </w:r>
    </w:p>
    <w:p w:rsidR="00FA0779" w:rsidRDefault="00FA0779" w:rsidP="00FA0779">
      <w:pPr>
        <w:pStyle w:val="TextoNormal"/>
      </w:pPr>
      <w:r>
        <w:t xml:space="preserve">Coincide el Fiscal General del Estado con la conclusión que extrae el Abogado del Estado en el tercero de los motivos del recurso de súplica, que asume en su integridad. </w:t>
      </w:r>
    </w:p>
    <w:p w:rsidR="00FA0779" w:rsidRDefault="00FA0779" w:rsidP="00FA0779">
      <w:pPr>
        <w:pStyle w:val="TextoNormal"/>
      </w:pPr>
      <w:r>
        <w:t>Interesa, en definitiva, el Fiscal General del Estado se dicte Auto estimando el recurso de súplica y en consecuencia, se declare la inadmisión de la presente cuestión de inconstitucionalidad, de acuerdo con lo previsto en el art. 37.1 LOTC, por falta de condiciones procesales.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Se impugna por el Abogado del Estado, mediante el recurso de súplica que ahora resolvemos, la providencia dictada el 3 de junio pasado por la que se admitió a trámite la cuestión de inconstitucionalidad planteada por la Sección Quinta de la Sala de lo Contencioso-Administrativo en el Tribunal Superior de Justicia de Madrid, sobre las Disposiciones transitorias tercera y cuarta, en relación con los arts. 12, 13 y 14 de la Ley 3/1993, de 22 de marzo, Básica de las Cámaras Oficiales de Comercio, Industria y Navegación, por eventual vulneración del art. 22 de la Constitución, en lo que se refiere a la dimensión negativa del derecho de asociación. El recurso de súplica postula, con revocación de la resolución recurrida, la inadmisión de dicha cuestión de inconstitucionalidad por ausencia de los requisitos o condiciones procesales exigidos por el art. 35.1 de la LOTC y, más precisamente, por no concurrir en el proceso a quo en que se suscita la cuestión, el denominado juicio de relevancia que permita trasladar la duda de constitucionalidad a este Tribunal, tal como exige el mencionado precepto.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Auto de planteamiento de la cuestión dictado por la mencionada Sala el 3 de marzo de 1997, se ajusta a los requisitos procesales en cuanto al momento o fase procesal de su emisión y a la audiencia previa de las partes y del Ministerio Fiscal, en acatamiento de lo prevenido en el art. 35.2 LOTC. Cabe añadir que, asimismo, el mencionado Auto proponiendo la cuestión explícita el juicio de relevancia, pero el problema formal consiste, como pone de relieve el Abogado del Estado en su recurso, en si tal juicio se formula con </w:t>
      </w:r>
      <w:r>
        <w:lastRenderedPageBreak/>
        <w:t>atenimiento a las concretas circunstancias del proceso administrativo en que la duda de constitucionalidad se produce; es decir, en si, realmente, de la validez de las normas que entiende aplicables el Tribunal proponente depende el significado del fallo que en dicho proceso ha de dictar.</w:t>
      </w:r>
    </w:p>
    <w:p w:rsidR="00FA0779" w:rsidRDefault="00FA0779" w:rsidP="00FA0779">
      <w:pPr>
        <w:pStyle w:val="TextoNormal"/>
      </w:pPr>
    </w:p>
    <w:p w:rsidR="00FA0779" w:rsidRDefault="00FA0779" w:rsidP="00FA0779">
      <w:pPr>
        <w:pStyle w:val="TextoNormal"/>
      </w:pPr>
      <w:r w:rsidRPr="00FA0779">
        <w:rPr>
          <w:rStyle w:val="NumeroAFNegritaCaracter"/>
        </w:rPr>
        <w:t>3</w:t>
      </w:r>
      <w:r>
        <w:t>. A los indicados efectos, conviene tener presente que el Auto de planteamiento de la cuestión parte de una premisa inicial, cual es que las Disposiciones transitorias tercera y cuarta de la citada Ley 3/1993, puestas en relación con los arts. 12, 13 y 14 de la misma, ponen de relieve una cierta retroactividad en la exigencia del recurso cameral permanente, como ingreso de las Cámaras de Comercio e Industria, que se extiende al ejercicio fiscal de 1993, y como dicho recurso cameral está constituido, entre otras, por la exacción de una alícuota sobre el Impuesto de Actividades Económicas (en adelante citado por sus siglas de LAE), que es cabalmente la exigida por la liquidación objeto del recurso contencioso-administrativo, ha de estarse a la fecha de devengo de este tributo-base para determinar la válida obligación de contribuir, y siendo así -continúa razonando la Sala proponente- que tal devengo se produjo el día 1 de enero de 1993, antes de promulgarse la Ley 3/1993 y, por tanto, bajo el régimen jurídico anterior (Ley de Bases de 29 de junio 1911 y su normativa de desarrollo), en tal fecha la adscripción forzosa a las Cámaras de Comercio, Industria y Navegación se hallaba afectada por la declaración de inconstitucionalidad, por ser contraria a la libertad fundamental de asociación reconocida en el art. 22.1 C.E., efectuada por la STC 179/1994, argumentación la sucintamente expuesta en que descansa la duda de constitucionalidad.</w:t>
      </w:r>
    </w:p>
    <w:p w:rsidR="00FA0779" w:rsidRDefault="00FA0779" w:rsidP="00FA0779">
      <w:pPr>
        <w:pStyle w:val="TextoNormal"/>
      </w:pPr>
    </w:p>
    <w:p w:rsidR="00FA0779" w:rsidRDefault="00FA0779" w:rsidP="00FA0779">
      <w:pPr>
        <w:pStyle w:val="TextoNormal"/>
      </w:pPr>
      <w:r w:rsidRPr="00FA0779">
        <w:rPr>
          <w:rStyle w:val="NumeroAFNegritaCaracter"/>
        </w:rPr>
        <w:t>4</w:t>
      </w:r>
      <w:r>
        <w:t>. Sin emitir juicio alguno sobre la corrección jurídica de la interpretación de la Disposición transitoria tercera aludida, función ajena a este Tribunal, y con independencia también de que no aparece, prima facie al menos, aplicable al caso litigioso la Disposición transitoria cuarta, que se limita a fijar las alícuotas de la exacción cameral para empresarios individuales y sociedades en los impuestos o exacciones-base correspondientes, siendo así que en el proceso a quo el recurso cameral consiste en la alícuota sobre el I.A.E., lo cierto es que en el razonamiento que sirve de soporte a la duda de constitucionalidad se desliza un error, cuya constatación muestra que no concurre en este caso el necesario juicio de relevancia, ya que el proceso administrativo puede ser decidido en términos tales que hace por completo innecesaria la duda de constitucionalidad propuesta.</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En efecto, la liquidación del recurso cameral efectuada por la Cámara de Comercio e Industria de Madrid, se giró a la sociedad mercantil «Overconsulting, S.L.», en septiembre de 1994, siendo objeto de dicha exacción cameral la alícuota del Impuesto sobre Actividades Económicas correspondiente al ejercicio de 1993. Pero el devengo de este tributo no se produjo el 1 de enero de 1993, pues no puede ignorarse el dato de la realidad, puesto de manifiesto en el proceso a quo, de que dicha Sociedad, constituida por escritura notarial de 3 de septiembre de 1993, no comenzó su actividad u operaciones hasta el día 1 de octubre de 1993, según el art. 3 de los Estatutos sociales incorporados a la mencionada escritura pública, es decir, cuando ya se hallaba vigente la Ley 3/1993, Básica de Cámaras Oficiales de Comercio, Industria y Navegación. Con arreglo a dicho dato, si bien el período impositivo del IAE coincide con el ano natural (art. 90.1 de la Ley 39/1988, de 28 de diciembre, reguladora de las Haciendas Locales), el mismo precepto exceptúa de tal regla el supuesto de declaraciones de alta, en cuyo caso el período impositivo se contrae al lapso temporal </w:t>
      </w:r>
      <w:r>
        <w:lastRenderedPageBreak/>
        <w:t>que transcurre desde «la fecha de comienzo de la actividad» hasta el final del año natural. La cuota tributaría del IAE correspondiente al ejercicio de 1993 no podía devengarse, para «Overconsulting, S.L.», en fecha anterior a la citada de comienzo de su actividad social, el 1 de octubre de 1993, bajo la plena vigencia de la Ley 3/1993 y sin retroacción alguna de la misma, sino por aplicación de sus arts.  12.1 a) y 13. No concurre, por tanto, la situación jurídica de un devengo del I.A.E. producido en fecha -como sería la de 1 de enero de 1993- en que podría estimarse aplicable el régimen de adscripción forzosa a las Cámaras de Comercio e Industria contenido en la Ley de Bases de 29 de junio de 1911 y normativa complementaria, que vino a ser declarado inconstitucional por la STC 179/1994. Ha de concluirse, pues, en la inexistencia del adecuado y necesario juicio de relevancia, exigido por los arts. 163 C.E. y 35.1 LOTC y, en consecuencia, procede declarar, como solicitan de consuno el Abogado del Estado y el Ministerio Fiscal, la inadmisión a trámite de la cuestión de inconstitucionalidad que nos ocupa.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acuerda con estimación del recurso de súplica promovido por el Abogado del Estado, revocar y dejar sin efecto la providencia dictada el 3 de junio de 1997 por la Sección segunda, y en consecuencia, inadmitir a trámite la</w:t>
      </w:r>
    </w:p>
    <w:p w:rsidR="00FA0779" w:rsidRDefault="00FA0779" w:rsidP="00FA0779">
      <w:pPr>
        <w:pStyle w:val="TextoNormal"/>
      </w:pPr>
      <w:r>
        <w:t>cuestión de inconstitucionalidad planteada por la Sección Quinta de la Sala de lo Contencioso-Administrativo del Tribunal Superior de Justicia de Madrid.</w:t>
      </w:r>
    </w:p>
    <w:p w:rsidR="00FA0779" w:rsidRDefault="00FA0779" w:rsidP="00FA0779">
      <w:pPr>
        <w:pStyle w:val="TextoNormal"/>
      </w:pPr>
    </w:p>
    <w:p w:rsidR="00FA0779" w:rsidRDefault="00FA0779" w:rsidP="00FA0779">
      <w:pPr>
        <w:pStyle w:val="TextoNormal"/>
      </w:pPr>
      <w:r>
        <w:t>Madrid, a quince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7" w:name="AUTO_1997_274"/>
      <w:r>
        <w:lastRenderedPageBreak/>
        <w:t>AUTO 274/1997, de 16 de julio de 1997</w:t>
      </w:r>
    </w:p>
    <w:bookmarkEnd w:id="207"/>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ECLI:ES:TC:1997:274A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184/1996.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11 de enero de 1996 tuvo entrada en el Registro General de este Tribunal un escrito en el que don Vicente Chico Turrillo solicitaba la designación de Procurador del turno de oficio para interponer recurso de amparo contra el Auto dictado el 6 de junio de 1995 por el Juez de Vigilancia Penitenciaria de Zaragoza, por el que dejó sin efecto otro anterior de 29 de septiembre de 1992 y la refundición de condenas en él aprobada, confirmado en reforma mediante Auto de 6 de julio de 1995 y en apelación en el que la Sección Primera de la Audiencia Provincial de Zaragoza pronunció el 18 de diciembre del mismo año.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Tras diversas incidencias procesales, el solicitante de amparo formalizó la demanda en escrito que presentó el 29 de noviembre de 1996, en el que relata que la Sección Novena de la Audiencia Provincial de Barcelona, en Sentencia de 23 de enero de 1990, le impuso, como autor de un delito de homicidio las penas de doce años y un día de reclusión menor e inhabilitación absoluta durante el tiempo de privación de libertad. </w:t>
      </w:r>
    </w:p>
    <w:p w:rsidR="00FA0779" w:rsidRDefault="00FA0779" w:rsidP="00FA0779">
      <w:pPr>
        <w:pStyle w:val="TextoNormal"/>
      </w:pPr>
      <w:r>
        <w:t xml:space="preserve">Con anterioridad había sido condenado en diversas ocasiones como autor de delitos de robo. Inició el cumplimiento de las condenas en el Centro Penitenciario de Teruel. </w:t>
      </w:r>
    </w:p>
    <w:p w:rsidR="00FA0779" w:rsidRDefault="00FA0779" w:rsidP="00FA0779">
      <w:pPr>
        <w:pStyle w:val="TextoNormal"/>
      </w:pPr>
      <w:r>
        <w:t xml:space="preserve">En Auto de 29 de septiembre de 1992, a petición del Centro Penitenciario y previo informe del Fiscal, el Juez de Vigilancia Penitenciaria aprobó el proyecto de refundición de condenas, conforme al cual las extinguiría el 30 de agosto de 2007. Con el proyecto, el Centro Penitenciario adjuntó Auto del propio Juez, dictado el 18 de abril de 1991, por el que se revocaba el beneficio de libertad condicional que se le había concedido en Auto de 12 de mayo de 1989, con pérdida del tiempo pasado en dicha situación de libertad (de 11 de mayo a 8 de julio de 1989). El 25 de abril de 1995, el Director del Establecimiento Penitenciario de Daroca se dirigió al Juez de Vigilancia Penitenciaria de Zaragoza solicitando se le aclarara, habida cuenta el criterio del Juez de no refundir penas en las que se hubiese revocado la libertad condicional, si procedía «dejar sin efecto dicho Proyecto de Refundición de Condenas (se refiere al aprobado en el Auto de 29 de septiembre de 1992), debiendo licenciar, en primer lugar, las causas revocadas (...) o, por el contrario, dejar tal como está el Proyecto de Refundición de condenas aprobado en Auto de 29 de septiembre de 1992 ... ». Interesado informe del Fiscal, éste solicitó que se dejara sin efecto el Auto de 29 de septiembre de 1992, a lo que el Juez de Vigilancia Penitenciaria de Zaragoza </w:t>
      </w:r>
      <w:r>
        <w:lastRenderedPageBreak/>
        <w:t xml:space="preserve">accedió en otro de 6 de junio de 1995, confirmado en reforma el 6 de julio de 1995 y en apelación por el Auto que la Sección Primera de la Audiencia Provincial de Zaragoza dictó el 18 de diciembre de 1995. </w:t>
      </w:r>
    </w:p>
    <w:p w:rsidR="00FA0779" w:rsidRDefault="00FA0779" w:rsidP="00FA0779">
      <w:pPr>
        <w:pStyle w:val="TextoNormal"/>
      </w:pPr>
      <w:r>
        <w:t>Después de hacer el anterior relato de hechos, razona el solicitante de amparo que en las decisiones judiciales que combate se ha infringido los arts. 17.1 y 25.1, en relación con el 24.1, de la Constitución, y solicita que, otorgándole amparo, sea dictada Sentencia anulando los Autos recurridos y dando nueva vigencia al pronunciado el 29 de septiembre de 1992.</w:t>
      </w:r>
    </w:p>
    <w:p w:rsidR="00FA0779" w:rsidRDefault="00FA0779" w:rsidP="00FA0779">
      <w:pPr>
        <w:pStyle w:val="TextoNormal"/>
      </w:pPr>
    </w:p>
    <w:p w:rsidR="00FA0779" w:rsidRDefault="00FA0779" w:rsidP="00FA0779">
      <w:pPr>
        <w:pStyle w:val="TextoNormal"/>
      </w:pPr>
      <w:r w:rsidRPr="00FA0779">
        <w:rPr>
          <w:rStyle w:val="NumeroAFNegritaCaracter"/>
        </w:rPr>
        <w:t>3</w:t>
      </w:r>
      <w:r>
        <w:t>. La Sección Cuarta, en providencia de 7 de mayo de 1997,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Fiscal evacuó el traslado el 30 de mayo en escrito en el que pide que no se admita a trámite la demanda de amparo porque tanto los Autos del Juez de Vigilancia Penitenciaria como el de la Audiencia Provincial proporcionan criterios de decisión acordes con el derecho fundamental a la tutela judicial efectiva afirmando que las refundiciones de condena son revisables de oficio y, en el caso particular contemplado, por la incidencia que debe tener la condena por homicidio en la revocación del beneficio otorgado. La naturaleza no definitiva de las refundiciones de condena, sujetas a incidencias en el tiempo, hace que la doctrina constitucional sobre la intangibilidad de las resoluciones judiciales firmes no pueda ser aplicada automáticamente a las decisiones en que aquéllas se realizan. </w:t>
      </w:r>
    </w:p>
    <w:p w:rsidR="00FA0779" w:rsidRDefault="00FA0779" w:rsidP="00FA0779">
      <w:pPr>
        <w:pStyle w:val="TextoNormal"/>
      </w:pPr>
      <w:r>
        <w:t>No se objetiva lesión del principio de legalidad, toda vez que el fundamento legal legitimador de la revisión de la refundición de condena viene constituido por las propias normas legales que tipifican el delito por el que el recurrente fue condenado, que provocó la revocación del beneficio, y por las que regulan su concesión y revocación (arts. 98 y 99 del antiguo Código Penal y 93 del actual). Aun cuando tales normas no se citen expresamente en el Auto de la Audiencia Provincial ni en los del Juzgado, es obvio que, constando en el expediente el Auto de revocación de la libertad condicional de 18 de abril de 1991, que sí menciona tal fundamento legal, e integrándose las resoluciones recurridas en amparo en una secuencia procesal, el nuevo proyecto y su aprobación judicial se enmarcan en una solución adecuada al caso, desde el punto de vista del concepto de legalidad constitucional.</w:t>
      </w:r>
    </w:p>
    <w:p w:rsidR="00FA0779" w:rsidRDefault="00FA0779" w:rsidP="00FA0779">
      <w:pPr>
        <w:pStyle w:val="TextoNormal"/>
      </w:pPr>
    </w:p>
    <w:p w:rsidR="00FA0779" w:rsidRDefault="00FA0779" w:rsidP="00FA0779">
      <w:pPr>
        <w:pStyle w:val="TextoNormal"/>
      </w:pPr>
      <w:r w:rsidRPr="00FA0779">
        <w:rPr>
          <w:rStyle w:val="NumeroAFNegritaCaracter"/>
        </w:rPr>
        <w:t>5</w:t>
      </w:r>
      <w:r>
        <w:t>. El solicitante de amparo no ha formulado alegación alguna en el trámite del art. 50.3 LOTC.</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denunciada vulneración de los derechos fundamentales ex arts. 17.1 y 25.2 C.E. carece de sustantividad propia. Ambos derechos fundamentales habrán resultado vulnerados si, como consecuencia de la vulneración del derecho a la tutela judicial efectiva (art. 24.1 C.E.), que también se denuncia, el solicitante de amparo permanece indebidamente </w:t>
      </w:r>
      <w:r>
        <w:lastRenderedPageBreak/>
        <w:t>privado de libertad y se desconoce el mandato del segundo inciso del mencionado art. 25.2 C.E.</w:t>
      </w:r>
    </w:p>
    <w:p w:rsidR="00FA0779" w:rsidRDefault="00FA0779" w:rsidP="00FA0779">
      <w:pPr>
        <w:pStyle w:val="TextoNormal"/>
      </w:pPr>
      <w:r>
        <w:t>La clave de bóveda de la pretensión de amparo se asienta sobre la sedicente infracción del art. 24.1 C.E. en cuanto garantiza la intangibilidad de las resoluciones judiciales firmes. En este punto la pretensión de amparo carece también de contenido y sustantividad y, por ello, el recurso no puede ser admitido [art. 50.1 c) LOTC], tal y como sugerimos en la providencia de 7 de mayo pasado.</w:t>
      </w:r>
    </w:p>
    <w:p w:rsidR="00FA0779" w:rsidRDefault="00FA0779" w:rsidP="00FA0779">
      <w:pPr>
        <w:pStyle w:val="TextoNormal"/>
      </w:pPr>
    </w:p>
    <w:p w:rsidR="00FA0779" w:rsidRDefault="00FA0779" w:rsidP="00FA0779">
      <w:pPr>
        <w:pStyle w:val="TextoNormal"/>
      </w:pPr>
      <w:r w:rsidRPr="00FA0779">
        <w:rPr>
          <w:rStyle w:val="NumeroAFNegritaCaracter"/>
        </w:rPr>
        <w:t>2</w:t>
      </w:r>
      <w:r>
        <w:t>. La decisión adoptada por el Juez de Vigilancia Penitenciaria, ratificada por la Audiencia Provincial, no atenta a la intangibilidad de las resoluciones judiciales firmes porque, como se razona en ellos, la resolución aprobando una refundición de condena no es, por su propia naturaleza, intangible. Las refundiciones de condenas no son inamovibles; están sometidas a las alteraciones que sobre ellas produce el tiempo y, singularmente, las nuevas circunstancias que en su transcurso pueden producirse, como nuevos hechos delictivos por los que el afectado es condenado (aumento de la duración) o la adquisición de beneficios penitenciarios (disminución). Siendo ello así, es evidente que no producen los efectos de la cosa juzgada, en cuyo respeto se encuentra el fundamento de la doctrina de este Tribunal sobre el derecho a la tutela judicial efectiva y la imposibilidad, desde su perspectiva, de modificación de toda decisión judicial que ha adquirido firmeza (por todas, STC 1/1997).</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dieciséis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8" w:name="AUTO_1997_275"/>
      <w:r>
        <w:lastRenderedPageBreak/>
        <w:t>AUTO 275/1997, de 16 de julio de 1997</w:t>
      </w:r>
    </w:p>
    <w:bookmarkEnd w:id="208"/>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ECLI:ES:TC:1997:275A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3.474/1996.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Procuradora de los Tribunales doña María del Mar Hornero Hernández, en nombre de doña Catalina Pascual Forteza y mediante escrito recibido en este Tribunal el 25 de septiembre de 1996, interpuso recurso de amparo contra la Sentencia que la Sección Primera de la Audiencia Provincial de Palma de Mallorca dictó el 9 de julio de 1996, condenando a su representada como autora de un delito de usurpación de funciones. Cuenta, que a raíz de la querella presentada contra aquélla por el Colegio Nacional de ópticos, se incoó el correspondiente procedimiento abreviado que concluyó con su absolución del delito de usurpación de funciones del que venía acusada, en virtud de Sentencia dictada el 21 de noviembre de 1995 por el Juez de lo Penal núm. 6 de Palma de Mallorca. Presentado por la acusación particular recurso de apelación contra la anterior resolución, al que se adhirió el Ministerio Fiscal, fue estimado en la Sentencia contra la que dirige la pretensión de amparo, en que se le condenó como autora del delito previsto en el art. 321.1 del anterior Código Penal.</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Se considera en la demanda que la resolución impugnada ha vulnerado los derechos de la recurrente a la presunción de inocencia y a la legalidad penal, respectivamente reconocidos en los arts. 24.2 y 25.1 C.E. En relación con la primera de dichas pretendidas vulneraciones, se argumenta que la demandante de amparo ha sido condenada en sede de apelación sin que hubiera en el proceso prueba de cargo suficiente de que ejerciera los actos propios de la profesión de óptico sin la correspondiente titulación, durante los períodos de tiempo que se mencionan en el relato de hechos probados de la Sentencia dictada en sede de apelación, motivo por el que fue absuelta en instancia. A esta distinta conclusión se habría llegado en apelación mediante una inaceptable inversión de la carga de la prueba que habría transformado la presunción de inocencia, inicialmente obrante a favor de todo acusado en un proceso penal, en presunción de culpabilidad salvo prueba en contrario a cargo de la actora. </w:t>
      </w:r>
    </w:p>
    <w:p w:rsidR="00FA0779" w:rsidRDefault="00FA0779" w:rsidP="00FA0779">
      <w:pPr>
        <w:pStyle w:val="TextoNormal"/>
      </w:pPr>
      <w:r>
        <w:t xml:space="preserve">Por lo que se refiere a la invocada lesión del derecho a la legalidad penal, se aduce que la Sala procedió a una interpretación extensiva in malam partem del art. 321 del anterior Código Penal, toda vez que el título de óptico no puede ser considerado «título académico», ya que no es la autoridad de esa clase quien lo concede (STC 111/1993). </w:t>
      </w:r>
    </w:p>
    <w:p w:rsidR="00FA0779" w:rsidRDefault="00FA0779" w:rsidP="00FA0779">
      <w:pPr>
        <w:pStyle w:val="TextoNormal"/>
      </w:pPr>
      <w:r>
        <w:lastRenderedPageBreak/>
        <w:t>En consecuencia, se pide a este Tribunal que anule la Sentencia dictada en sede de apelación y que, entretanto, acuerde suspender su ejecución.</w:t>
      </w:r>
    </w:p>
    <w:p w:rsidR="00FA0779" w:rsidRDefault="00FA0779" w:rsidP="00FA0779">
      <w:pPr>
        <w:pStyle w:val="TextoNormal"/>
      </w:pPr>
    </w:p>
    <w:p w:rsidR="00FA0779" w:rsidRDefault="00FA0779" w:rsidP="00FA0779">
      <w:pPr>
        <w:pStyle w:val="TextoNormal"/>
      </w:pPr>
      <w:r w:rsidRPr="00FA0779">
        <w:rPr>
          <w:rStyle w:val="NumeroAFNegritaCaracter"/>
        </w:rPr>
        <w:t>3</w:t>
      </w:r>
      <w:r>
        <w:t>. La Sección Cuarta, en providencia de 26 de febrero de 1997, acordó, de conformidad con lo dispuesto en el art. 50.3 de la LOTC, conceder a la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La solicitante de amparo evacuó el traslado el 15 de marzo, en escrito en el que pide la admisión a trámite de la demanda y en el que, para fundamentar tal petición, razona que la Audiencia Provincial invirtió en su Sentencia la carga de la prueba, obligándola a demostrar su inocencia. Ante la ausencia de prueba orientada a demostrar que durante un período de tiempo desenvolvió actividad propia de la diplomatura en óptica, la Sala establece la presunción de que realizó tal actividad. Afirma que no hay en toda la causa ni en el acta del juicio oral ninguna referencia de la que pueda extraerse la conclusión de que graduó la vista o realizó otras actividades para las que es precisa la diplomatura de óptica. Una Sentencia condenatoria que se basa en presunciones contra reo vulnera el art. 24.2 C.E. </w:t>
      </w:r>
    </w:p>
    <w:p w:rsidR="00FA0779" w:rsidRDefault="00FA0779" w:rsidP="00FA0779">
      <w:pPr>
        <w:pStyle w:val="TextoNormal"/>
      </w:pPr>
      <w:r>
        <w:t>La Audiencia Provincial -añade- ha realizado una interpretación extensiva in malam partem del contenido del art. 321 del Código Penal de 1973, infringiendo con ello el art. 25.1 C.E. Por una parte, la diplomatura en óptica no es un título universitario y, por otra, dentro del ámbito de la salud y la vista hay una escala de responsabilidad siendo la del Óptico una posición intermedia. La Audiencia Provincial, conocedora de que el título de óptico no es un título universitario, ha hecho una interpretación extensiva del ámbito de esa profesión, subsumiéndola en una categoría susceptible de protección penal.</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Fiscal, en escrito registrado el 19 de marzo, ha interesado la admisión del recurso por el primero de los motivos articulados por la solicitante de amparo. Sostiene que, sin perjuicio del necesario análisis de las actuaciones que haya de realizarse al objeto de constatar si ha existido o no mínima actividad probatoria de cargo en la que poder apoyar una condena por el delito del que era acusada la demandante de amparo, el razonamiento jurídico realizado por la Sala de apelación en relación con los indicios apreciados exige un estudio detallado para constatar si se ha realizado o no ese necesario juicio de inferencia que determine la ya citada mínima actividad probatoria de cargo. </w:t>
      </w:r>
    </w:p>
    <w:p w:rsidR="00FA0779" w:rsidRDefault="00FA0779" w:rsidP="00FA0779">
      <w:pPr>
        <w:pStyle w:val="TextoNormal"/>
      </w:pPr>
      <w:r>
        <w:t xml:space="preserve">El otro motivo carece -para el Fiscal- de relevancia constitucional que motive un pronunciamiento en forma de Sentencia del Tribunal Constitucional. Razona que es doctrina del Tribunal Constitucional (SSTC 89/1983, 111/1993 y 30/1996, entre otras) que la interpretación y aplicación de la Ley, subsumiendo en las normas los hechos que se llevan a su conocimiento, es atribución exclusiva de los órganos de la jurisdicción ordinaria (art. 117.3 C.E.), no siendo, por tanto, esta función del Tribunal Constitucional, a quien tampoco compete revisar los posibles errores cometidos por aquéllos en el ejercicio de su función propia y exclusiva de subsunción de los hechos enjuiciados en un tipo penal concreto, salvo que en el ejercicio de dicha función se hubiese producido la lesión de algún derecho constitucionalmente reconocido, al haberse excedido los límites permitidos por una interpretación conjunta de la norma penal y del derecho constitucional afectado (STC 254/1988). </w:t>
      </w:r>
    </w:p>
    <w:p w:rsidR="00FA0779" w:rsidRDefault="00FA0779" w:rsidP="00FA0779">
      <w:pPr>
        <w:pStyle w:val="TextoNormal"/>
      </w:pPr>
      <w:r>
        <w:lastRenderedPageBreak/>
        <w:t>En relación, por tanto, con el supuesto de Autos en que lo cuestionado es la interpretación del término «título oficial», en cuanto elemento del tipo del art. 321 del derogado Código Penal de 1973, y la delimitación que en el ámbito constitucional establecieron la STC 111/1993 y otras posteriores, conceptuándolo como título académico oficial, exigiendo como presupuestos, de una parte, la realización de estudios superiores específicos, y, de otra, la expedición del propio título por una autoridad académica oficial, no puede decirse, analizando el contenido del fundamento jurídico 2 de la Sentencia impugnada, que la interpretación realizada por la Audiencia Provincial de la diversa normativa reglamentaria que regula el sistema de acceso a la profesión de óptico diplomado y de su ulterior colegiación, poniéndolo en relación con el tipo penal del art. 321.1 del Código Penal, haya sido extensiva in malam partem, sino todo lo contrario, pues la Sala, haciéndose eco de la interpretación jurisprudencial (esencialmente, la Sentencia del T.S. de 30 de marzo de 1990) sobre los requisitos exigidos para el ejercicio de dicha actividad profesional, destaca que en el caso presente se requiere la posesión de un título académico como es el de óptico diplomado que faculta para el ejercicio de la misma.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Nuestra inicial apreciación, una vez vistas las alegaciones de la solicitante amparo y del Fiscal, ha de ser ratificada y, habida cuenta la falta de contenido constitucional de la demanda, decretada su inadmisión [art. 50.1 c) LOTC]. Para llegar a esta conclusión se hace, sin embargo, preciso examinar, en primer lugar, con algún detenimiento, el motivo consistente en una pretendida vulneración del derecho fundamental a la legalidad penal, cuya vulneración atribuye la demandante de amparo a la Sentencia dictada en sede de apelación por haberse procedido en ella a una interpretación in matam partem del art. 321 del Código Penal vigente en el momento de los hechos, toda vez que, a su entender, el título de óptico carecería del carácter académico que, según tuvo este Tribunal ocasión de señalar en la STC 111/1993, se hace imprescindible a los efectos de considerar realizada dicha tipicidad.</w:t>
      </w:r>
    </w:p>
    <w:p w:rsidR="00FA0779" w:rsidRDefault="00FA0779" w:rsidP="00FA0779">
      <w:pPr>
        <w:pStyle w:val="TextoNormal"/>
      </w:pPr>
    </w:p>
    <w:p w:rsidR="00FA0779" w:rsidRDefault="00FA0779" w:rsidP="00FA0779">
      <w:pPr>
        <w:pStyle w:val="TextoNormal"/>
      </w:pPr>
      <w:r w:rsidRPr="00FA0779">
        <w:rPr>
          <w:rStyle w:val="NumeroAFNegritaCaracter"/>
        </w:rPr>
        <w:t>2</w:t>
      </w:r>
      <w:r>
        <w:t>. La profesión de «Óptico» fue regulada por primera vez en el Decreto 1387/1961, de 20 de julio, en cuyo art. 1 se exigía, a partir de la entrada en vigor del mismo y salvo lo dispuesto en su Disposición transitoria respecto de los establecimientos que estuvieran encuadrados en el subgrupo de «Ópticos» del «Sindicato de la Construcción, Vidrio y Cerámica» y de los farmacéuticos, que «todos los establecimientos de óptica o secciones de esta especialidad en Oficinas de Farmacia deberán tener a su frente un óptico diplomado en la forma prevista en el art. 2.º». Por su parte, el art. 2 de dicho Decreto establecía lo siguiente: «Se considerarán ópticos diplomados quienes se hallen en posesión del Diploma de óptico de Anteojería, expedido por el Ministerio de Educación Nacional (hoy de Educación y Ciencia) conforme al Decreto de 22 de junio de 1956».</w:t>
      </w:r>
    </w:p>
    <w:p w:rsidR="00FA0779" w:rsidRDefault="00FA0779" w:rsidP="00FA0779">
      <w:pPr>
        <w:pStyle w:val="TextoNormal"/>
      </w:pPr>
      <w:r>
        <w:t xml:space="preserve">Según el Decreto acabado de mencionar, el procedimiento de obtención del Diploma de «Óptico de Anteojería» debía pasar, por la realización por el aspirante de unos estudios específicos de naturaleza teórico-práctica, cuya organización correspondía al Instituto de óptica «Daza Valdés», integrado en el Patronato Juan de la Cierva» del Consejo Superior de Investigaciones Científicas, tras de lo cual habían de superar unas pruebas de suficiencia a valorar por un Tribunal designado por una Comisión inspectora que, a tenor de lo prevenido en la Orden del Ministerio de Educación Nacional de 5 de diciembre de 1956, </w:t>
      </w:r>
      <w:r>
        <w:lastRenderedPageBreak/>
        <w:t>debía estar formada por el Director de dicho Instituto, un representante del «Sindicato de la Construcción, Vidrio y Cerámica», dos catedráticos de la Facultad de Ciencias de la Universidad Central, un Profesor titular de cada una de las Escuelas Especiales de Ingenieros Industriales de Madrid, Barcelona y Bilbao y un Profesor numerario de la Escuela de Peritos Industriales de Madrid. Por otra parte, en la Orden del Ministerio de Educación Nacional de 25 de enero de 1957 se preveía el cauce para la expedición del Diploma de referencia, aludiéndose expresamente, en su apartado 2.º, al «importe de las tasas académicas correspondientes».</w:t>
      </w:r>
    </w:p>
    <w:p w:rsidR="00FA0779" w:rsidRDefault="00FA0779" w:rsidP="00FA0779">
      <w:pPr>
        <w:pStyle w:val="TextoNormal"/>
      </w:pPr>
      <w:r>
        <w:t>A efectos de completar el cuadro normativo descrito, conviene señalar que el Colegio Nacional de ópticos fue creado por Decreto núm. 356/1964, de 12 de febrero, en cuyo art. 2 se requería para «ejercer legalmente la profesión de óptico... estar colegiado en la Corporación profesional que se crea por el presente Decreto, por lo que en la misma se integrarán obligatoriamente: a) Las personas que estén en posesión del título de óptico diplomado en Anteojería... expedido por el Ministerio de Educación Nacional, que se dediquen al ejercicio profesional de la óptica de acuerdo con las leyes en vigor; b) Las personas que estén en posesión del diploma de óptico expedido por las Facultades de Farmacia, acogidas al párrafo segundo de la Disposición transitoria del Decreto de 20 de julio de 1961 ... ; c) Las personas titulares de establecimientos de óptica acogidas al párrafo primero de la misma Disposición transitoria; d) Las personas titulares de oficinas de Farmacia no diplomadas en óptica acogidas al párrafo tercero de dicha Disposición transitoria». Prácticamente idéntica a la acabada de transcribir es la Disposición contenida en el art. 4 de los Estatutos generales del Colegio Nacional de ópticos, publicado por Acuerdo de 17 de agosto de 1964, que posteriormente serían derogados por Real Decreto 2207/1979, de 13 de julio, en cuyo art. 3 se reitera que «Para ejercer legalmente la profesión de óptico a que se refiere el Decreto 138711961, de 20 de julio.... será requisito indispensable ostentar la titulación requerida por las disposiciones vigentes y hallarse colegiado en el Colegio Nacional de Ópticos».</w:t>
      </w:r>
    </w:p>
    <w:p w:rsidR="00FA0779" w:rsidRDefault="00FA0779" w:rsidP="00FA0779">
      <w:pPr>
        <w:pStyle w:val="TextoNormal"/>
      </w:pPr>
      <w:r>
        <w:t>Finalmente, por Real Decreto 1419/1990, de 26 de octubre, se estableció el título universitario oficial de Diplomado en óptica y Optometría, así como las directrices generales propias de los planes de estudio conducentes a su obtención.</w:t>
      </w:r>
    </w:p>
    <w:p w:rsidR="00FA0779" w:rsidRDefault="00FA0779" w:rsidP="00FA0779">
      <w:pPr>
        <w:pStyle w:val="TextoNormal"/>
      </w:pPr>
    </w:p>
    <w:p w:rsidR="00FA0779" w:rsidRDefault="00FA0779" w:rsidP="00FA0779">
      <w:pPr>
        <w:pStyle w:val="TextoNormal"/>
      </w:pPr>
      <w:r w:rsidRPr="00FA0779">
        <w:rPr>
          <w:rStyle w:val="NumeroAFNegritaCaracter"/>
        </w:rPr>
        <w:t>3</w:t>
      </w:r>
      <w:r>
        <w:t>. El estudio de la normativa reseñada en el anterior apartado permite concluir que, si bien los estudios conducentes a la obtención del título de óptico de Anteojería no estuvieron inicialmente residenciados en el seno de una Facultad o Escuela universitaria, no por ello resulta infundado entender que tienen carácter académico y que, por lo tanto, no entran en conflicto con el art. 25.1 de la C.E. Esta conclusión se desprende tanto de un análisis formal del significado de tales estudios, como de otro material.</w:t>
      </w:r>
    </w:p>
    <w:p w:rsidR="00FA0779" w:rsidRDefault="00FA0779" w:rsidP="00FA0779">
      <w:pPr>
        <w:pStyle w:val="TextoNormal"/>
      </w:pPr>
      <w:r>
        <w:t>Desde la perspectiva formal, la expedición del título de óptico quedaba reservada al Ministerio de Educación, tras el pago obligado de unas tasas académicas y las pruebas a realizar para la consecución del mismo habían de ser valoradas por un Tribunal compuesto en su mayoría por Profesores universitarios, nombrado por una Comisión inspectora de iguales características que, además, tenía a su cargo la organización y supervisión de los estudios previos a llevar a cabo por los aspirantes dentro del marco de un Instituto encuadrado en el seno del Consejo Superior de Investigaciones Científicas. El supuesto es, pues, completamente distinto, en este aspecto, del analizado en la STC 111/1993.</w:t>
      </w:r>
    </w:p>
    <w:p w:rsidR="00FA0779" w:rsidRDefault="00FA0779" w:rsidP="00FA0779">
      <w:pPr>
        <w:pStyle w:val="TextoNormal"/>
      </w:pPr>
      <w:r>
        <w:t xml:space="preserve">Lo mismo cabe afirmar si se adopta una perspectiva material. Como se dice, entre otras, en la STS de 30 de marzo de 1993, fundamento jurídico 3: «Del reseñado conjunto normativo... puesto todo él en relación con el art. 321 C.P., se desprende: a) La actividad de los </w:t>
      </w:r>
      <w:r>
        <w:lastRenderedPageBreak/>
        <w:t>ópticos recae sobre factor tan importante para la salud... como la dirección-técnica en el tallado, montaje y adaptación de las lentes protectoras o correctoras de la vista; b) El correspondiente interés social en exigir garantías precisas de capacidad -preparación, formación y habilidad- a quienes desempeñen aquella actividad determina la atribución al Estado de la potestad policial consistente no sólo en la exclusividad para la expedición del título habilitante sino en exigir que ese título sea poseído para dicho ejercicio, y e) El título, aunque no proceda de una «facultad» y ni siquiera merezca la calificación formal de universitario, debe reputarse académico». Todo lo cual resulta perfectamente congruente con lo exigido por este Tribunal en la STC 111/1993.</w:t>
      </w:r>
    </w:p>
    <w:p w:rsidR="00FA0779" w:rsidRDefault="00FA0779" w:rsidP="00FA0779">
      <w:pPr>
        <w:pStyle w:val="TextoNormal"/>
      </w:pPr>
    </w:p>
    <w:p w:rsidR="00FA0779" w:rsidRDefault="00FA0779" w:rsidP="00FA0779">
      <w:pPr>
        <w:pStyle w:val="TextoNormal"/>
      </w:pPr>
      <w:r w:rsidRPr="00FA0779">
        <w:rPr>
          <w:rStyle w:val="NumeroAFNegritaCaracter"/>
        </w:rPr>
        <w:t>4</w:t>
      </w:r>
      <w:r>
        <w:t>. Una vez sentado que puede atribuirse al título de diplomado en óptica el carácter académico exigido para la aplicación del art. 321 del anterior Código Penal y que su posesión resulta necesaria para la realización de los actos propios de dicha profesión, así como que todo establecimiento de «Óptica» debe tener a su frente a un óptico diplomado, se hace evidente que ninguna vulneración del art. 25.1 C.E. cabe atribuir a la Sentencia recurrida por haber subsumido los hechos enjuiciados en el tipo penal de referencia.</w:t>
      </w:r>
    </w:p>
    <w:p w:rsidR="00FA0779" w:rsidRDefault="00FA0779" w:rsidP="00FA0779">
      <w:pPr>
        <w:pStyle w:val="TextoNormal"/>
      </w:pPr>
    </w:p>
    <w:p w:rsidR="00FA0779" w:rsidRDefault="00FA0779" w:rsidP="00FA0779">
      <w:pPr>
        <w:pStyle w:val="TextoNormal"/>
      </w:pPr>
      <w:r w:rsidRPr="00FA0779">
        <w:rPr>
          <w:rStyle w:val="NumeroAFNegritaCaracter"/>
        </w:rPr>
        <w:t>5</w:t>
      </w:r>
      <w:r>
        <w:t>. En cuanto al motivo de amparo consistente en una pretendida lesión del derecho de la actora a la presunción de inocencia por falta de prueba de cargo suficiente en la que basar el fallo condenatorio, tampoco puede estimarse a la vista de que, según queda manifestado en el fundamento jurídico 2.º de la Sentencia dictada en sede de apelación, consta en el acta del juicio oral que la propia acusada reconoció que, durante ciertos periodos de tiempo, la óptica de su propiedad no había podido contar con los servicios de óptico diplomado (título del que ella carecía), pese a lo cual continuó abierta al público con todos sus efectivos, sin que el Tribunal considerara convincente, tras proceder a su valoración, la prueba de descargo aportada en el sentido de que la demandante de amparo no había practicado en ningún momento actos propios de una profesión, la de óptico, para cuyo ejercicio no estaba autorizada. De manera que el fallo condenatorio no se asentó en un vacío probatorio o en una inversión de la carga de la prueba, sino en una distinta valoración, por parte del órgano judicial de apelación, de la prueba practicada con todas las garantías constitucionalmente exigibles, valoración cuyos resultados no pueden ser revisados en vía de amparo por tratarse de una facultad que corresponde en exclusiva a los Jueces y Tribunales de la jurisdicción penal.</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anterior, la Sección acuerda la inadmisión del presente recurso de amparo y el archivo de las actuaciones, sin que, por ello, sea menester pronunciarse sobre la solicitud de suspensión de la ejecución de la Sentencia impugnada.</w:t>
      </w:r>
    </w:p>
    <w:p w:rsidR="00FA0779" w:rsidRDefault="00FA0779" w:rsidP="00FA0779">
      <w:pPr>
        <w:pStyle w:val="TextoNormal"/>
      </w:pPr>
    </w:p>
    <w:p w:rsidR="00FA0779" w:rsidRDefault="00FA0779" w:rsidP="00FA0779">
      <w:pPr>
        <w:pStyle w:val="TextoNormal"/>
      </w:pPr>
      <w:r>
        <w:t>Madrid, a dieciséis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09" w:name="AUTO_1997_276"/>
      <w:r>
        <w:lastRenderedPageBreak/>
        <w:t>AUTO 276/1997, de 16 de julio de 1997</w:t>
      </w:r>
    </w:p>
    <w:bookmarkEnd w:id="209"/>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ECLI:ES:TC:1997:276A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Acuerda el desistimiento en el recurso de amparo 494/1997.</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Centrado"/>
      </w:pP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0" w:name="AUTO_1997_277"/>
      <w:r>
        <w:lastRenderedPageBreak/>
        <w:t>AUTO 277/1997, de 16 de julio de 1997</w:t>
      </w:r>
    </w:p>
    <w:bookmarkEnd w:id="210"/>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ECLI:ES:TC:1997:277A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826/1997.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medio de escrito registrado en este Tribunal el 27 de febrero de 1997, la representación procesal del demandante ha interpuesto recurso de amparo contra el Auto de 10 de febrero de 1997 de la Sección Segunda de la Sala de lo Penal de la Audiencia Nacional por el que se acuerda la prisión provisional a efectos de extradición (causa 10/96, rollo 17/96).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que dan lugar al presente recurso de amparo son, en síntesis, los siguientes: </w:t>
      </w:r>
    </w:p>
    <w:p w:rsidR="00FA0779" w:rsidRDefault="00FA0779" w:rsidP="00FA0779">
      <w:pPr>
        <w:pStyle w:val="TextoNormal"/>
      </w:pPr>
      <w:r>
        <w:t xml:space="preserve">A) El 26 de noviembre de 1996 la Audiencia Nacional accedió, en primera instancia, a la extradición a Italia del recurrente. Por tal solicitud fue detenido el 9 de marzo de 1996, permaneciendo en prisión provisional hasta el 29 de mayo de 1996, fecha en que se decretó su libertad mientras se tramitaba y resolvía la solicitud. Al recurrente se imputa la adquisición de 2 kilogramos de heroína. </w:t>
      </w:r>
    </w:p>
    <w:p w:rsidR="00FA0779" w:rsidRDefault="00FA0779" w:rsidP="00FA0779">
      <w:pPr>
        <w:pStyle w:val="TextoNormal"/>
      </w:pPr>
      <w:r>
        <w:t xml:space="preserve">B) El 7 de febrero de 1997, el Pleno de la Sala de lo Penal resolvió el recurso de suplica del recurrente confirmando la decisión de acceder a la extradición. El 10 de febrero de 1997, la Sección Segunda, de oficio, sin que conste previa solicitud del Ministerio Fiscal, acordó la prisión provisional comunicada del extradicto con la siguiente fundamentación: «Encontrándose el reclamado en libertad provisional por esta causa, y devenida firme la resolución que declaró procedente su extradición, es necesario, para asegurar la entrega, y ante el patente peligro de fuga del reclamado, dada la gravedad de los hechos que fundamentan la reclamación extradicional y las eventuales penas aparejadas a los mismos, y su alusión de la Justicia reclamante, acordar su prisión provisional a los fines indicados». </w:t>
      </w:r>
    </w:p>
    <w:p w:rsidR="00FA0779" w:rsidRDefault="00FA0779" w:rsidP="00FA0779">
      <w:pPr>
        <w:pStyle w:val="TextoNormal"/>
      </w:pPr>
      <w:r>
        <w:t>C) Tal decisión fue recurrida en súplica y desestimada la misma el 24 de febrero de 1997, al entender la Sección que la firmeza de la resolución que accede a ella «supone una inflexión en el procedimiento de extradición que determina la evidencia del peligro de fuga de quien ya inicialmente eludió la acción de la Justicia reclamante, y para quien implica un cambio total de las circunstancias que puede motivarle a ponerse ahora fuera del ámbito del Tribunal extradicional». La Sección afirma también que la previa comparecencia prevista en los arts. 504 bis.2 y 539 de la L.E.Crim. no es aplicable a las detenciones preventivas acordadas a efectos extradicionales, ya que lo que con ésta se persigue es únicamente «actuar el aseguramiento de la entrega» al país reclamante.</w:t>
      </w:r>
    </w:p>
    <w:p w:rsidR="00FA0779" w:rsidRDefault="00FA0779" w:rsidP="00FA0779">
      <w:pPr>
        <w:pStyle w:val="TextoNormal"/>
      </w:pPr>
    </w:p>
    <w:p w:rsidR="00FA0779" w:rsidRDefault="00FA0779" w:rsidP="00FA0779">
      <w:pPr>
        <w:pStyle w:val="TextoNormal"/>
      </w:pPr>
      <w:r w:rsidRPr="00FA0779">
        <w:rPr>
          <w:rStyle w:val="NumeroAFNegritaCaracter"/>
        </w:rPr>
        <w:t>3</w:t>
      </w:r>
      <w:r>
        <w:t>. Presentada por el recurrente demanda de amparo, el pasado 9 de abril de 1997 la Sección Cuarta (Sala Segunda) de este Tribunal Constitucional acordó, de conformidad con lo previsto en el núm. 3 del art. 50 LOTC, conceder al demandante y al Ministerio Fiscal un plazo común de diez días para formular las alegaciones que estimen pertinentes en relación con la posible carencia manifiesta de contenido constitucional de la demanda [artículo 50.1 c) de la LOTC].</w:t>
      </w:r>
    </w:p>
    <w:p w:rsidR="00FA0779" w:rsidRDefault="00FA0779" w:rsidP="00FA0779">
      <w:pPr>
        <w:pStyle w:val="TextoNormal"/>
      </w:pPr>
    </w:p>
    <w:p w:rsidR="00FA0779" w:rsidRDefault="00FA0779" w:rsidP="00FA0779">
      <w:pPr>
        <w:pStyle w:val="TextoNormal"/>
      </w:pPr>
      <w:r w:rsidRPr="00FA0779">
        <w:rPr>
          <w:rStyle w:val="NumeroAFNegritaCaracter"/>
        </w:rPr>
        <w:t>4</w:t>
      </w:r>
      <w:r>
        <w:t>. Por escrito presentado el 28 de abril el recurrente reitera lo manifestado en la demanda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Ministerio Fiscal, en escrito que tuvo entrada en este Tribunal el 5 de mayo de 1997, interesó la inadmisión a trámite de la demanda por carecer manifiestamente de contenido constitucional al entender que el Tribunal no estaba obligado a respetar, desde la perspectiva del art. 17 C.E., en la adopción de la medida impugnada, las formalidades y garantías establecidas en la Ley de Enjuiciamiento Criminal, pues la comparecencia previa prevista en la misma se refiere a las medidas cautelares pero no a las de ejecución de resoluciones definitivas. En el caso presente se trataba de asegurar la ejecución de la decisión por la que se accedió a la extradición; por ello, dada la naturaleza de tal resolución y el tenor literal de la Ley reguladora del procedimiento, viene impuesto al Tribunal la obligación de entrega del extradicto a las autoridades del país solicitante, lo que físicamente exige que dicho sujeto se encuentre en poder y a disposición incondicional del Tribunal en el momento que haya de ser entregado. </w:t>
      </w:r>
    </w:p>
    <w:p w:rsidR="00FA0779" w:rsidRDefault="00FA0779" w:rsidP="00FA0779">
      <w:pPr>
        <w:pStyle w:val="TextoNormal"/>
      </w:pPr>
      <w:r>
        <w:t>La prisión provisional acordada no habría generado tampoco indefensión, pues el recurrente fue oído con las demás partes con ocasión del recurso de súplica que formuló contra la resolución impugnada.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pretensión de amparo se dirige contra el Auto de 10 de febrero de 1997 de la Sección Segunda de la Sala de lo Penal de la Audiencia Nacional por el que se acuerda la prisión provisional comunicada del recurrente, cuya extradición había sido ratificada por el Pleno de la Sala de lo Penal de la Audiencia Nacional tres días antes. Según se expresa en dicha resolución, la prisión provisional se acuerda «para asegurar la entrega, y ante el patente peligro de fuga del reclamado, dada la gravedad de los hechos que fundamentan la reclamación extradicional, las eventuales penas aparejadas a los mismos y su elusión de la justicia reclamante». Valora el Tribunal que al haber quedado firme la decisión de entrega se produce una inflexión en el proceso de extradición que incrementa el riesgo de fuga por producirse un cambio total de las circunstancias del recurrente que puede ahora motivarle a ponerse fuera del ámbito de actuación del Tribunal extradicional.</w:t>
      </w:r>
    </w:p>
    <w:p w:rsidR="00FA0779" w:rsidRDefault="00FA0779" w:rsidP="00FA0779">
      <w:pPr>
        <w:pStyle w:val="TextoNormal"/>
      </w:pPr>
      <w:r>
        <w:t xml:space="preserve">Para quienes demandan el amparo, la resolución impugnada y la que la confirma en súplica vulneran el art. 17 de la C.E. al no acordarse ni en los casos ni por la forma prevista en la Ley. En opinión del demandante la privación de libertad es arbitraria por no existir ningún motivo que la justifique, ya que el recurrente venía cumpliendo con la obligación de comparecencia periódica impuesta por el Tribunal sin que hayan cambiado las circunstancias que existían hasta ese momento. Al tiempo consideran que la decisión de acordar </w:t>
      </w:r>
      <w:r>
        <w:lastRenderedPageBreak/>
        <w:t>de nuevo su prisión provisional debiera haber sido precedida de la comparecencia prevista en el art. 539 y descrita en el art. 504 bis.2 de la L.E.Crim. y, por tanto, al omitirse ésta, se ha violado también el art. 17 de la C.E.</w:t>
      </w:r>
    </w:p>
    <w:p w:rsidR="00FA0779" w:rsidRDefault="00FA0779" w:rsidP="00FA0779">
      <w:pPr>
        <w:pStyle w:val="TextoNormal"/>
      </w:pPr>
    </w:p>
    <w:p w:rsidR="00FA0779" w:rsidRDefault="00FA0779" w:rsidP="00FA0779">
      <w:pPr>
        <w:pStyle w:val="TextoNormal"/>
      </w:pPr>
      <w:r w:rsidRPr="00FA0779">
        <w:rPr>
          <w:rStyle w:val="NumeroAFNegritaCaracter"/>
        </w:rPr>
        <w:t>2</w:t>
      </w:r>
      <w:r>
        <w:t>. Aun si admitiéramos la argumentación del recurrente, según la cual las normas invocadas que fijan el procedimiento de adopción de la prisión provisional en el proceso penal -arts. 502 y siguientes de la L.E.Crim.- son miméticamente exigibles y trasladables a la privación cautelar de libertad que puede ser acordada en el procedimiento de extradición -afirmación ésta cuya corrección no nos corresponde analizar por referirse al cumplimiento de requisitos legales del procedimiento de adopción de la privación de libertad que carecen de trascendencia constitucional-, la omisión de la comparecencia previa a su adopción, de la que se queja, carecería asimismo de relevancia constitucional pues se trata de una irregularidad procesal que no lesiona el art. 17 C.E. ni genera la indefensión proscrita por el art. 24.1 C.E.</w:t>
      </w:r>
    </w:p>
    <w:p w:rsidR="00FA0779" w:rsidRDefault="00FA0779" w:rsidP="00FA0779">
      <w:pPr>
        <w:pStyle w:val="TextoNormal"/>
      </w:pPr>
      <w:r>
        <w:t>En efecto, en materia de prisión provisional, la observancia de los requisitos exigidos por las normas procesales que la regulan tiene una gran importancia, puesto que el incumplimiento de tales exigencias legales puede implicar la vulneración del derecho fundamental a la libertad reconocido en el art. 17 C.E. (por todas, STC 85/1985). Ello no significa, sin embargo, que la omisión de cualesquiera de los trámites previstos en la Ley signifique, sin más y en todos los casos, la comisión de una infracción constitucional que determine la lesión del derecho a la libertad personal. En este sentido es necesario precisar que lo que el art. 17 de la Constitución impone es que la prisión se adopte «en los casos y en la forma previstos en la Ley» (apartado 1) y que se respete «el plazo máximo de duración de la prisión provisional» (apartado 4), cuestión esta última no sometida a debate.</w:t>
      </w:r>
    </w:p>
    <w:p w:rsidR="00FA0779" w:rsidRDefault="00FA0779" w:rsidP="00FA0779">
      <w:pPr>
        <w:pStyle w:val="TextoNormal"/>
      </w:pPr>
      <w:r>
        <w:t>En concreto, la novedosa garantía que para el sometido a proceso penal supone la previsión del art. 539 L.E.Crim., que remite al 504 bis.2 -en la redacción fijada por la Ley Orgánica 5/1995, de 22 de mayo, del Tribunal del Jurado- según la cual el acuerdo de prisión o libertad provisional de quien estuviere en libertad, o el agravamiento de las condiciones de la libertad provisional ya acordada, se adoptará previa celebración de la comparecencia a que se refiere el último precepto citado, ha de situarse no ante una de las formas de privación de libertad a las que el art. 17.1 C.E. alude, sino ante un modo o procedimiento de adoptar judicialmente la prisión provisional.</w:t>
      </w:r>
    </w:p>
    <w:p w:rsidR="00FA0779" w:rsidRDefault="00FA0779" w:rsidP="00FA0779">
      <w:pPr>
        <w:pStyle w:val="TextoNormal"/>
      </w:pPr>
      <w:r>
        <w:t>En consecuencia, sería necesario distinguir, desde el punto de vista constitucional, entre la decisión de prisión acordada fuera de los casos previstos en la Ley (prohibida por el art. 17, apartados 1 y 4, de la Constitución) y la privación cautelar de libertad que es conforme con el art.  17 de la Constitución y con los supuestos previstos en la legislación que lo desarrollan, pero en la que se ha omitido un requisito procesal legalmente previsto, el de audiencia previa del art. 504 bis. 2 de la L.E.Crim., que carece de relevancia constitucional, por lo que no cabe apreciar en el presente caso lesión del derecho a la libertad del art. 17 de la Constitución.</w:t>
      </w:r>
    </w:p>
    <w:p w:rsidR="00FA0779" w:rsidRDefault="00FA0779" w:rsidP="00FA0779">
      <w:pPr>
        <w:pStyle w:val="TextoNormal"/>
      </w:pPr>
      <w:r>
        <w:t>La omisión del trámite de audiencia previa, aun si fuera legalmente obligado, sería una irregularidad procesal que tampoco provoca indefensión constitucionalmente relevante, pues la merma de posibilidades de defensa que tal falta de audiencia previa pudiera haber generado, quedó inmediatamente sanada con posterioridad, ya que el recurrente pudo impugnar e impugnó de modo inmediato la resolución controvertida, ejercitando plenamente su derecho de defensa, aunque sin éxito, ya que la privación de libertad fue confirmada -tan sólo diecisiete días después- al resolver el recurso de súplica por él interpuesto.</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A la vista de la motivación expresada en las resoluciones impugnadas debe afirmarse que no se ha producido tampoco la violación denunciada del art. 17 C.E. La privación cautelar de libertad acordada tiene cobertura legal en la Ley 4/1985, de 21 de marzo, de Extradición Pasiva -en adelante L.E.P.-, que en su art. 8 prevé la detención preventiva a efectos de extradición, la cual puede ser transformada judicialmente en lo que la Ley denomina también «prisión provisional», con los plazos máximos de duración establecidos en la propia Ley y en los convenios internacionales suscritos por España. Dichos plazos máximos han sido analizados, entre otras, en la STC 11/1985.</w:t>
      </w:r>
    </w:p>
    <w:p w:rsidR="00FA0779" w:rsidRDefault="00FA0779" w:rsidP="00FA0779">
      <w:pPr>
        <w:pStyle w:val="TextoNormal"/>
      </w:pPr>
      <w:r>
        <w:t>Es cierto que esta privación cautelar de libertad es, por sus efectos materiales, idéntica a la que cabe acordar en el proceso penal para su aseguramiento, pero mantiene puntos diferenciales que han de ser resaltados para resolver la cuestión planteada en el recurso; entre ellos son de destacar los que siguen:</w:t>
      </w:r>
    </w:p>
    <w:p w:rsidR="00FA0779" w:rsidRDefault="00FA0779" w:rsidP="00FA0779">
      <w:pPr>
        <w:pStyle w:val="TextoNormal"/>
      </w:pPr>
      <w:r>
        <w:t>a) La prisión preventiva a efectos de extradición se produce en un proceso judicial dirigido exclusivamente a resolver sobre la petición de auxilio jurisdiccional internacional en que la extradición consiste. No se ventila en dicho proceso la existencia de responsabilidad penal alguna sino únicamente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Ley de Enjuiciamiento Criminal, por más que el párrafo tercero del art. 10 de la L.E.P. se remita, subsidiariamente, a los preceptos correspondientes de la Ley de Enjuiciamiento Criminal reguladores del límite máximo de la prisión provisional del reclamado y de los derechos que corresponden al detenido por causa de extradición.</w:t>
      </w:r>
    </w:p>
    <w:p w:rsidR="00FA0779" w:rsidRDefault="00FA0779" w:rsidP="00FA0779">
      <w:pPr>
        <w:pStyle w:val="TextoNormal"/>
      </w:pPr>
      <w:r>
        <w:t>b) Su adopción, su mantenimiento y su duración se regula expresamente en la L.E.P. y se dirige exclusivamente a evitar la fuga del sometido a extradición -art. 8.3 L.E.P.- sin que se prevean reglas concretas sobre cuándo la misma es posible o debida, o a través de qué procedimiento cabe adoptarla.</w:t>
      </w:r>
    </w:p>
    <w:p w:rsidR="00FA0779" w:rsidRDefault="00FA0779" w:rsidP="00FA0779">
      <w:pPr>
        <w:pStyle w:val="TextoNormal"/>
      </w:pPr>
      <w:r>
        <w:t>c) Se decreta sobre quien, por definición no está dispuesto a comparecer ante los Tribunales que le reclaman, sean o no de su nacionalidad, y para ello ha huido de su territorio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 otro país.</w:t>
      </w:r>
    </w:p>
    <w:p w:rsidR="00FA0779" w:rsidRDefault="00FA0779" w:rsidP="00FA0779">
      <w:pPr>
        <w:pStyle w:val="TextoNormal"/>
      </w:pPr>
    </w:p>
    <w:p w:rsidR="00FA0779" w:rsidRDefault="00FA0779" w:rsidP="00FA0779">
      <w:pPr>
        <w:pStyle w:val="TextoNormal"/>
      </w:pPr>
      <w:r w:rsidRPr="00FA0779">
        <w:rPr>
          <w:rStyle w:val="NumeroAFNegritaCaracter"/>
        </w:rPr>
        <w:t>4</w:t>
      </w:r>
      <w:r>
        <w:t>. A partir de tales matices diferenciales cabe concluir que la queja relativa a la arbitrariedad de la medida que, con invocación del art. 17 C.E., sustenta la demanda, es indicativa de la disconformidad del recurrente con su motivación; pero no de que la misma sea insuficiente. El examen de las resoluciones impugnadas nos lleva a la conclusión de que no se trata de resoluciones arbitrarias, sino que exteriorizan un juicio de valor sobre la necesidad en este caso de la prisión preventiva. Para fundamentarlo se señalan tres razones: La previa sustracción a la acción de la Justicia italiana que ha provocado la demanda y el propio proceso de extradición; el riesgo de fuga, siempre presente, que se deriva, en este caso, de la entidad y gravedad de los hechos imputados y de las penas previstas para ellos; y, por último, el momento procesal en que se adopta la medida -tras adquirir firmeza la decisión de acceder a la extradición y por ser inminente su ejecución- ya que se valora que la proximidad de la decisión de entrega a la Justicia italiana, a la que se oponía el ex</w:t>
      </w:r>
      <w:r>
        <w:lastRenderedPageBreak/>
        <w:t>tradicto, refuerza las sospechas de que éste pueda tratar de evitarla al ser ya no una mera posibilidad sino una decisión irreversible, por lo que para asegurar la entrega se acuerda la prisión.</w:t>
      </w:r>
    </w:p>
    <w:p w:rsidR="00FA0779" w:rsidRDefault="00FA0779" w:rsidP="00FA0779">
      <w:pPr>
        <w:pStyle w:val="TextoNormal"/>
      </w:pPr>
      <w:r>
        <w:t>Estos argumentos expuestos en los Autos que se recurren no son arbitrarios ni irrazonables, sino que constituyen una motivación suficiente y acorde con la finalidad de la medida cautelar, tal y como se configura en la Ley, por lo que debe rechazarse que lesionen el derecho fundamental a la libertad personal del recurrente.</w:t>
      </w:r>
    </w:p>
    <w:p w:rsidR="00FA0779" w:rsidRDefault="00FA0779" w:rsidP="00FA0779">
      <w:pPr>
        <w:pStyle w:val="TextoNormal"/>
      </w:pPr>
      <w:r>
        <w:t>En la medida en que se inadmite a trámite la demanda de amparo no ha lugar a pronunciarse sobre la petición de suspensión planteada.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consecuencia, por todo lo expuesto, y de conformidad con el art. 50.1 c) de la Ley Orgánica del Tribunal Constitucional, la Sección acuerda la inadmisión de la demanda de amparo y el archivo de las actuaciones.</w:t>
      </w:r>
    </w:p>
    <w:p w:rsidR="00FA0779" w:rsidRDefault="00FA0779" w:rsidP="00FA0779">
      <w:pPr>
        <w:pStyle w:val="TextoNormal"/>
      </w:pPr>
    </w:p>
    <w:p w:rsidR="00FA0779" w:rsidRDefault="00FA0779" w:rsidP="00FA0779">
      <w:pPr>
        <w:pStyle w:val="TextoNormal"/>
      </w:pPr>
      <w:r>
        <w:t>Madrid, a dieciséis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1" w:name="AUTO_1997_278"/>
      <w:r>
        <w:lastRenderedPageBreak/>
        <w:t>AUTO 278/1997, de 16 de julio de 1997</w:t>
      </w:r>
    </w:p>
    <w:bookmarkEnd w:id="211"/>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ECLI:ES:TC:1997:278A</w:t>
      </w:r>
    </w:p>
    <w:p w:rsidR="00FA0779" w:rsidRDefault="00FA0779" w:rsidP="00FA0779">
      <w:pPr>
        <w:pStyle w:val="SntesisDescriptiva"/>
      </w:pPr>
    </w:p>
    <w:p w:rsidR="00FA0779" w:rsidRDefault="00FA0779" w:rsidP="00FA0779">
      <w:pPr>
        <w:pStyle w:val="SntesisDescriptiva"/>
      </w:pPr>
      <w:r>
        <w:t>Excms. Srs. don Rafael de Mendizábal Allende,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1.211/1997.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La Procuradora de los Tribunales doña Consuelo Rodríguez Chacón, en nombre de don Salvador Latorre López y mediante escrito presentado el 22 de marzo de 1997, promovió recurso de amparo contra la Sentencia dictada el 10 de julio de 1995 por la Juez de lo Penal núm. 2 de Tarragona y la resolución del Consejo de Ministros, de 10 de enero de 1977, denegatoria de la concesión de la gracia del indulto, exponiendo que condenado su representado en dicha Sentencia como autor de un delito de robo con fuerza en las cosas a la pena de dos años y seis meses de prisión menor, por unos hechos acaecidos el 16 de mayo de 1989, el 29 de febrero de 1996 solicitó el indulto del Ministro de Justicia e Interior, quedando entretanto en suspenso la ejecución de la pena. La solicitud fue informada favorablemente por el Fiscal y por la Juez sentenciadora. No obstante, el Consejo de Ministros, en su sesión de 10 de enero de 1997, no consideró oportuna la concesión del indulto. </w:t>
      </w:r>
    </w:p>
    <w:p w:rsidR="00FA0779" w:rsidRDefault="00FA0779" w:rsidP="00FA0779">
      <w:pPr>
        <w:pStyle w:val="TextoNormal"/>
      </w:pPr>
      <w:r>
        <w:t>Sostiene el solicitante de amparo que, tanto en la Sentencia como en la resolución del Consejo de Ministros, se ha vulnerado su derecho a un proceso sin dilaciones indebidas y solicita la nulidad de ambas resoluciones, decretándose que no debe cumplir la condena que se le impuso. También interesa que, entre tanto, sea suspendida la ejecución de la Sentencia recurrida.</w:t>
      </w:r>
    </w:p>
    <w:p w:rsidR="00FA0779" w:rsidRDefault="00FA0779" w:rsidP="00FA0779">
      <w:pPr>
        <w:pStyle w:val="TextoNormal"/>
      </w:pPr>
    </w:p>
    <w:p w:rsidR="00FA0779" w:rsidRDefault="00FA0779" w:rsidP="00FA0779">
      <w:pPr>
        <w:pStyle w:val="TextoNormal"/>
      </w:pPr>
      <w:r w:rsidRPr="00FA0779">
        <w:rPr>
          <w:rStyle w:val="NumeroAFNegritaCaracter"/>
        </w:rPr>
        <w:t>2</w:t>
      </w:r>
      <w:r>
        <w:t>. La Sección Cuarta, en providencia de 7 de mayo de 1997,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3</w:t>
      </w:r>
      <w:r>
        <w:t>. El solicitante de amparo ha evacuado el traslado el 17 de mayo, en escrito en el que sostiene la procedencia de admitir a trámite su petición de amparo porque tanto la Juez sentenciadora como el Ministerio Fiscal defendieron tesis favorables a la concesión del indulto en razón de que en la causa penal en que la Sentencia condenatoria fue pronunciada se vulneró su derecho fundamental a un proceso en plazo razonable.</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El Fiscal, por su parte, ha interesado la inadmisión del recurso en escrito presentado el 30 de mayo. Sostiene que si, al dirigir la pretensión de amparo contra la Sentencia condenatoria, se le imputa vulneración del derecho a un proceso sin dilaciones indebidas, la queja es intempestiva y si lo que se pretende atacando dicha Sentencia y la resolución denegatoria del indulto es la inejecución de la condena por el tiempo transcurrido desde la comisión de los hechos, la dilación indebida en el proceso no puede traducirse en esa inejecución (STC 35/1994). Dejando a salvo la posibilidad extrajudicial y discrecional de enmendar las posibles consecuencias perniciosas de la dilación por medio de un indulto, que en este caso no se estimó conveniente otorgar, la ejecución de la Sentencia no puede ser anulada, como pretende el recurrente, pues forma parte del derecho a la tutela judicial efectiva de la parte favorecida por la resolución judicial, que resultaría vulnerado por la no ejecución, excepto en los casos en que ésta se apoye en una causa prevista por una norma legal (ATC 222/1989), lo que evidentemente no sucede en el supuesto examinado.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El solicitante de amparo pretende, al fin y a la postre, la no ejecución de la condena que se le impuso en razón del tiempo transcurrido desde que cometió los hechos por los que ha sido condenado y el pronunciamiento de aquélla. Siendo tal su</w:t>
      </w:r>
    </w:p>
    <w:p w:rsidR="00FA0779" w:rsidRDefault="00FA0779" w:rsidP="00FA0779">
      <w:pPr>
        <w:pStyle w:val="TextoNormal"/>
      </w:pPr>
      <w:r>
        <w:t>planteamiento, hemos de ratificamos en nuestra inicial apreciación, esto es, en que la pretensión sustentada en la demanda de amparo carece manifiestamente de contenido constitucional y en que, por ello, el recurso debe ser objeto de inadmisión [art.</w:t>
      </w:r>
    </w:p>
    <w:p w:rsidR="00FA0779" w:rsidRDefault="00FA0779" w:rsidP="00FA0779">
      <w:pPr>
        <w:pStyle w:val="TextoNormal"/>
      </w:pPr>
      <w:r>
        <w:t>50.1 c) LOTC].</w:t>
      </w:r>
    </w:p>
    <w:p w:rsidR="00FA0779" w:rsidRDefault="00FA0779" w:rsidP="00FA0779">
      <w:pPr>
        <w:pStyle w:val="TextoNormal"/>
      </w:pPr>
      <w:r>
        <w:t>Ciertamente, las dilaciones indebidas en el proceso penal constituyen una suerte de poena naturalis que, en determinados supuestos, puede merecer una compensación específica. Y, a tal efecto, el Código Penal vigente (art. 4.4) permite suspender la ejecución hasta tanto no se resuelva la petición de indulto.</w:t>
      </w:r>
    </w:p>
    <w:p w:rsidR="00FA0779" w:rsidRDefault="00FA0779" w:rsidP="00FA0779">
      <w:pPr>
        <w:pStyle w:val="TextoNormal"/>
      </w:pPr>
      <w:r>
        <w:t>No obstante, el indulto, en cuanto figura del derecho de gracia, corresponde decidirlo al Poder Ejecutivo concediéndolo el Rey, sin que las decisiones que se adopten al efecto sean fiscalizables por parte de los órganos jurisdiccionales, incluyendo este Tribunal Constitucional (ATC 360/1990).</w:t>
      </w:r>
    </w:p>
    <w:p w:rsidR="00FA0779" w:rsidRDefault="00FA0779" w:rsidP="00FA0779">
      <w:pPr>
        <w:pStyle w:val="TextoNormal"/>
      </w:pPr>
      <w:r>
        <w:t>Por consiguiente, es evidente que no podemos admitir una pretensión que se articula frente a su denegación por parte del Gobierno, por más que si, como aprecia la Sentencia condenatoria, se ha vulnerado el derecho fundamental aludido, esa vulneración deba ser reparada.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lo expuesto, la Sección acuerda la inadmisión del presente recurso de amparo y el archivo de las actuaciones, sin que, por ello, sea menester pronunciarse sobre la solicitud de suspensión de la ejecución de la Sentencia impugnada.</w:t>
      </w:r>
    </w:p>
    <w:p w:rsidR="00FA0779" w:rsidRDefault="00FA0779" w:rsidP="00FA0779">
      <w:pPr>
        <w:pStyle w:val="TextoNormal"/>
      </w:pPr>
    </w:p>
    <w:p w:rsidR="00FA0779" w:rsidRDefault="00FA0779" w:rsidP="00FA0779">
      <w:pPr>
        <w:pStyle w:val="TextoNormal"/>
      </w:pPr>
      <w:r>
        <w:t>Madrid, a dieciséis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2" w:name="AUTO_1997_279"/>
      <w:r>
        <w:lastRenderedPageBreak/>
        <w:t>AUTO 279/1997, de 17 de julio de 1997</w:t>
      </w:r>
    </w:p>
    <w:bookmarkEnd w:id="212"/>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ECLI:ES:TC:1997:279A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aclaración de la STC 133/1997.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El Gobierno Vasco, el Parlamento de Cataluña y el Consejo Ejecutivo de la Generalidad de Cataluña interpusieron sendos recursos de inconstitucionalidad contra la Ley 24/1988, de 28 de julio, del Mercado de Valores. El primero de ellos, además, formuló conflictos positivos de competencias frente a los Reales Decretos 276/1989, de 22 de marzo, de Sociedades y Agencias de Valores, y 717/1989, de 23 de junio, sobre Sociedades Rectoras y miembros de las Bolsas de Valores, Sociedad de Bolsas y Fianza Colectiva. </w:t>
      </w:r>
    </w:p>
    <w:p w:rsidR="00FA0779" w:rsidRDefault="00FA0779" w:rsidP="00FA0779">
      <w:pPr>
        <w:pStyle w:val="TextoNormal"/>
      </w:pPr>
      <w:r>
        <w:t>Los cinco procesos constitucionales citados han sido resueltos, una vez acumulados, en Sentencia dictada el pasado día 16.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En el conflicto positivo de competencia que planteó frente al Real Decreto 276/1989, el Gobierno Vasco cuestionó los primeros apartados de los arts. 5 y 6 y el art. 7 del mismo, así como los apartados 2 y 3 del citado art. 5. En el fundamento jurídico 17, apartado A), c), se dice: </w:t>
      </w:r>
    </w:p>
    <w:p w:rsidR="00FA0779" w:rsidRDefault="00FA0779" w:rsidP="00FA0779">
      <w:pPr>
        <w:pStyle w:val="TextoNormal"/>
      </w:pPr>
      <w:r>
        <w:t xml:space="preserve">«A los primeros apartados de los arts. 5 y 6 y al art. 7 no puede hacérseles reproche alguno siempre que se interprete que la autorización para la modificación de los Estatutos sociales, la transformación y la fusión de las Sociedades y Agencias de Valores es de competencia autonómica, pues, si como ya hemos concluido, es de dicha titularidad la competencia para otorgar la autorización para la creación de dichas entidades, también debe serlo la atinente para autorizar las alteraciones y modificaciones que, a lo largo de su existencia, se produzcan en ellas.» </w:t>
      </w:r>
    </w:p>
    <w:p w:rsidR="00FA0779" w:rsidRDefault="00FA0779" w:rsidP="00FA0779">
      <w:pPr>
        <w:pStyle w:val="TextoNormal"/>
      </w:pPr>
      <w:r>
        <w:t xml:space="preserve">«Ciertas modificaciones de los Estatutos sociales no necesitan autorización, pero deben ser comunicadas, según el art. 5, apartados 2 y 3, a la Comisión Nacional del Mercado de Valores, que puede exigir a la Sociedad o Agencia que proceda a revisar las que no se ajusten a la normativa vigente. Al igual que con la autorización, mediante la recepción de esta comunicación se trata de comprobar si con la modificación se cumplen los requisitos que de forma homogénea ha establecido el legislador estatal, en aras de la unidad del mercado de valores y de la igualdad en el acceso al mismo, para que una entidad pueda actuar como mediadora en dicho mercado. Nos encontramos, pues, ante un acto que, como el de </w:t>
      </w:r>
      <w:r>
        <w:lastRenderedPageBreak/>
        <w:t xml:space="preserve">autorización, es de ejecución y reglado y que, por lo tanto, como hemos dicho en el fundamento jurídico 8.1 a) de esta Sentencia, pertenece al ámbito competencial de la Comunidad Autónoma del País vasco, respecto de aquellas Sociedades y Agencias de Valores que operan en su territorio.» </w:t>
      </w:r>
    </w:p>
    <w:p w:rsidR="00FA0779" w:rsidRDefault="00FA0779" w:rsidP="00FA0779">
      <w:pPr>
        <w:pStyle w:val="TextoNormal"/>
      </w:pPr>
      <w:r>
        <w:t xml:space="preserve">Y ello ha llevado a decir en el pronunciamiento 2.º del Fallo: </w:t>
      </w:r>
    </w:p>
    <w:p w:rsidR="00FA0779" w:rsidRDefault="00FA0779" w:rsidP="00FA0779">
      <w:pPr>
        <w:pStyle w:val="TextoNormal"/>
      </w:pPr>
      <w:r>
        <w:t xml:space="preserve">«a) Declarar que son de la titularidad de la Comunidad Autónoma del País Vasco las competencias de autorización contenidas en los arts. 5.1, 6.1 y 7 y las atribuidas a la Comisión Nacional del Mercado de Valores en los apartados 2 y 3 del citado art. 5 del Real Decreto 276/1989, de 22 de marzo, sobre Sociedades y Agencias de Valores.» </w:t>
      </w:r>
    </w:p>
    <w:p w:rsidR="00FA0779" w:rsidRDefault="00FA0779" w:rsidP="00FA0779">
      <w:pPr>
        <w:pStyle w:val="TextoNormal"/>
      </w:pPr>
      <w:r>
        <w:t>Sin embargo, queda claro que este pronunciamiento y su fundamentación no se acomodan a los razonamientos que les preceden en el propio fundamento 17 ni tampoco a lo dicho en el fundamento jurídico 10 a) (página 144) respecto del art. 62, párrafo 1.º de la Ley, del cual trae causa tal precepto reglamentario, sobre el cual se había concluido en la misma Sentencia que no incide en la invasión competencial denunciada, afirmándose literalmente: «Así pues, hemos de concluir que el art. 62, párrafo 1.º -en cuanto atribuye la autorización de la creación de las Sociedades y Agencias de Valores al Ministro de Economía y Hacienda-, así como el 63, no vulneran el orden constitucional de competencías», y esto a su vez se refleja en la parte dispositiva, pronunciamiento l.º, c), desestimatorio de las pretensiones de inconstitucionalidad. Lo dicho pone de manifiesto que se produjo una transcripción errónea de los textos correspondientes del pronunciamiento y de su ratio decidendi.</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lectura del antecedente 2 de esta resolución pone de manifiesto el error material que se produce en el fundamento jurídico 17, apartado A), e), de la Sentencia, debido a un error de transcripción. Ello obliga a este Tribunal a aclarar los términos de tal resolución, en cuanto manifiesto error material que es (arts. 80 y 93.1 LOTC en relación con el 267 L.O.P.J.), mediante el presente Auto.</w:t>
      </w:r>
    </w:p>
    <w:p w:rsidR="00FA0779" w:rsidRDefault="00FA0779" w:rsidP="00FA0779">
      <w:pPr>
        <w:pStyle w:val="TextoNormal"/>
      </w:pPr>
    </w:p>
    <w:p w:rsidR="00FA0779" w:rsidRDefault="00FA0779" w:rsidP="00FA0779">
      <w:pPr>
        <w:pStyle w:val="TextoNormal"/>
      </w:pPr>
      <w:r w:rsidRPr="00FA0779">
        <w:rPr>
          <w:rStyle w:val="NumeroAFNegritaCaracter"/>
        </w:rPr>
        <w:t>2</w:t>
      </w:r>
      <w:r>
        <w:t>. a) Los párrafos 2.º y 3.º del fundamento jurídico 17, A), c), (página 173), quedan redactados del siguiente modo:</w:t>
      </w:r>
    </w:p>
    <w:p w:rsidR="00FA0779" w:rsidRDefault="00FA0779" w:rsidP="00FA0779">
      <w:pPr>
        <w:pStyle w:val="TextoNormal"/>
      </w:pPr>
      <w:r>
        <w:t>«A los primeros apartados de los arts. 5 y 6 y al art. 7 no puede hacérseles reproche alguno, pues, si como ya hemos concluido, es de titularidad estatal la competencia para otorgar la autorización para la creación de dichas entidades, también debe serlo la atinente para autorizar las alteraciones y modificaciones que, a lo largo de su existencia, se produzcan en ellas.»</w:t>
      </w:r>
    </w:p>
    <w:p w:rsidR="00FA0779" w:rsidRDefault="00FA0779" w:rsidP="00FA0779">
      <w:pPr>
        <w:pStyle w:val="TextoNormal"/>
      </w:pPr>
      <w:r>
        <w:t>«Ciertas modificaciones de los Estatutos sociales no necesitan autorización, pero deben ser comunicadas, según el art. 5, apartados 2 y 3, a la Comisión Nacional del Mercado de Valores, que puede exigir a la Sociedad o Agencia que proceda a revisar las que no se ajusten a la normativa vigente. Nos encontramos ante un acto que, como el de autorización, aun cuando sea de ejecución debe calificarse como básico, pues sólo así quedarán garantizadas la unidad de mercado y la igualdad en el acceso al mismo, objetivos éstos cuya culminación no sólo exige una regulación unitaria por Ley de los requisitos precisos para constituir una Sociedad o Agencia de Valores, sino también la atribución a un único titular de la decisión de autorizar la creación de aquélla.»</w:t>
      </w:r>
    </w:p>
    <w:p w:rsidR="00FA0779" w:rsidRDefault="00FA0779" w:rsidP="00FA0779">
      <w:pPr>
        <w:pStyle w:val="TextoNormal"/>
      </w:pPr>
      <w:r>
        <w:lastRenderedPageBreak/>
        <w:t>b) La letra a) del pronunciamiento 2.º del Fallo ha de suprimirse y, en consecuencia, los apartados b), c) y d) pasarán a ser a), b) y c).</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acuerda:</w:t>
      </w:r>
    </w:p>
    <w:p w:rsidR="00FA0779" w:rsidRDefault="00FA0779" w:rsidP="00FA0779">
      <w:pPr>
        <w:pStyle w:val="TextoNormal"/>
      </w:pPr>
      <w:r>
        <w:t>1.º Aclarar la sentencia dictada el 16 de julio de 1997 en resolución de los recursos de inconstitucionalidad núms. 1.712/88, 1.716/88 y 1.724/88 y de los conflictos positivos de competencia núms. 1.527189 y 1.924/89, en los siguientes términos:</w:t>
      </w:r>
    </w:p>
    <w:p w:rsidR="00FA0779" w:rsidRDefault="00FA0779" w:rsidP="00FA0779">
      <w:pPr>
        <w:pStyle w:val="TextoNormal"/>
      </w:pPr>
      <w:r>
        <w:t>a) Los párrafos 2.º y 3.º del fundamento jurídico 17, A), c) (página 173), son como sigue:</w:t>
      </w:r>
    </w:p>
    <w:p w:rsidR="00FA0779" w:rsidRDefault="00FA0779" w:rsidP="00FA0779">
      <w:pPr>
        <w:pStyle w:val="TextoNormal"/>
      </w:pPr>
      <w:r>
        <w:t>«A los primeros apartados de los arts. 5 y 6 y al art. 7 no puede hacérseles reproche alguno, pues, si como ya hemos concluido, es de titularidad estatal la competencia para otorgar la autorización para la creación de dichas entidades, también debe serlo</w:t>
      </w:r>
    </w:p>
    <w:p w:rsidR="00FA0779" w:rsidRDefault="00FA0779" w:rsidP="00FA0779">
      <w:pPr>
        <w:pStyle w:val="TextoNormal"/>
      </w:pPr>
      <w:r>
        <w:t>la atinente para autorizar las alteraciones y modificaciones que, a lo largo de su existencia, se produzcan en ellas.»</w:t>
      </w:r>
    </w:p>
    <w:p w:rsidR="00FA0779" w:rsidRDefault="00FA0779" w:rsidP="00FA0779">
      <w:pPr>
        <w:pStyle w:val="TextoNormal"/>
      </w:pPr>
      <w:r>
        <w:t>«Ciertas modificaciones de los Estatutos sociales no necesitan autorización, pero deben ser comunicadas, según el art. 5, apartados 2 y 3, a la Comisión Nacional del Mercado de Valores, que puede exigir a la Sociedad o Agencia que proceda a revisar las</w:t>
      </w:r>
    </w:p>
    <w:p w:rsidR="00FA0779" w:rsidRDefault="00FA0779" w:rsidP="00FA0779">
      <w:pPr>
        <w:pStyle w:val="TextoNormal"/>
      </w:pPr>
      <w:r>
        <w:t>que no se ajusten a la normativa vigente. Nos encontramos ante un acto que, como el de autorización, aun cuando sea de ejecución debe calificarse como básico, pues sólo así quedarán garantizadas la unidad de mercado y la igualdad en el acceso al "sino,</w:t>
      </w:r>
    </w:p>
    <w:p w:rsidR="00FA0779" w:rsidRDefault="00FA0779" w:rsidP="00FA0779">
      <w:pPr>
        <w:pStyle w:val="TextoNormal"/>
      </w:pPr>
      <w:r>
        <w:t>objetivos éstos cuya culminación no sólo exige una regulación unitaria por Ley de los requisitos precisos para constituir una Sociedad o Agencia de Valores, sino también la atribución a un único titular de la decisión de autorizar la creación de</w:t>
      </w:r>
    </w:p>
    <w:p w:rsidR="00FA0779" w:rsidRDefault="00FA0779" w:rsidP="00FA0779">
      <w:pPr>
        <w:pStyle w:val="TextoNormal"/>
      </w:pPr>
      <w:r>
        <w:t>aquélla.»</w:t>
      </w:r>
    </w:p>
    <w:p w:rsidR="00FA0779" w:rsidRDefault="00FA0779" w:rsidP="00FA0779">
      <w:pPr>
        <w:pStyle w:val="TextoNormal"/>
      </w:pPr>
      <w:r>
        <w:t>b) Queda suprimido el apartado a) del pronunciamiento 2.º del Fallo y, en consecuencia, los apartados b), c) y d) pasan a ser a), b) y e).</w:t>
      </w:r>
    </w:p>
    <w:p w:rsidR="00FA0779" w:rsidRDefault="00FA0779" w:rsidP="00FA0779">
      <w:pPr>
        <w:pStyle w:val="TextoNormal"/>
      </w:pPr>
      <w:r>
        <w:t>2.º Los párrafos antedichos así corregidos se integrarán en el texto de la Sentencia para su publicación en el «Boletín Oficial del Estado».</w:t>
      </w:r>
    </w:p>
    <w:p w:rsidR="00FA0779" w:rsidRDefault="00FA0779" w:rsidP="00FA0779">
      <w:pPr>
        <w:pStyle w:val="TextoNormal"/>
      </w:pPr>
      <w:r>
        <w:t>3.º Unir este Auto a las actuaciones. Notifíquese a las partes.</w:t>
      </w:r>
    </w:p>
    <w:p w:rsidR="00FA0779" w:rsidRDefault="00FA0779" w:rsidP="00FA0779">
      <w:pPr>
        <w:pStyle w:val="TextoNormal"/>
      </w:pPr>
    </w:p>
    <w:p w:rsidR="00FA0779" w:rsidRDefault="00FA0779" w:rsidP="00FA0779">
      <w:pPr>
        <w:pStyle w:val="TextoNormal"/>
      </w:pPr>
      <w:r>
        <w:t>Madrid, a diecisiete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3" w:name="AUTO_1997_280"/>
      <w:r>
        <w:lastRenderedPageBreak/>
        <w:t>AUTO 280/1997, de 21 de julio de 1997</w:t>
      </w:r>
    </w:p>
    <w:bookmarkEnd w:id="213"/>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ECLI:ES:TC:1997:280A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1.316/1996.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 fecha 29 de marzo de 1996, tuvo entrada en el Registro General de este Tribunal escrito de la representación procesal de don José Luis Casuso Nates, por medio del cual promueve recurso de amparo frente a la Sentencia de 5 de marzo de 1996 de la Audiencia Provincial de Santander, rollo 4/96, que resuelve apelación frente a la del Juzgado de lo Penal núm. 1 de esa capital, que lo condena como autor de un delito de alzamiento de bienes a la pena de dos meses de arresto mayor, accesorias de suspensión de todo empleo público y derecho de sufragio durante tal tiempo y al pago de las costas procesales. Igualmente se declara la nulidad del contrato de compraventa que, sobre el piso cuarto, tipo B, destinado a vivienda, de la casa núm. 3 de la calle Nicolás Salmerón de la ciudad de Santander, inscrita en el Registro de la Propiedad en el libro 210, folio 241, finca 18.206, celebraron, ante el Notario de Santander don José R. Roiz Quintanilla, el 2 de febrero de 1987 escritura núm. 244, los demandantes de amparo con un tercero.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que fundamentan la demanda de amparo, brevemente expuestos, consisten en lo siguiente: </w:t>
      </w:r>
    </w:p>
    <w:p w:rsidR="00FA0779" w:rsidRDefault="00FA0779" w:rsidP="00FA0779">
      <w:pPr>
        <w:pStyle w:val="TextoNormal"/>
      </w:pPr>
      <w:r>
        <w:t xml:space="preserve">a) La Cooperativa de Crédito Local Rural de Cantabria interpuso querella el día 24 de febrero de 1988 por delito de alzamiento de bienes contra el demandante de amparo y otros, incoándose diligencias en el Juzgado de Instrucción núm. 3 de los de Santander, dando lugar al procedimiento abreviado 123189, y posteriormente, al juicio oral núm. 519/94, ante el Juzgado de lo Penal núm. 1 de dicha localidad. </w:t>
      </w:r>
    </w:p>
    <w:p w:rsidR="00FA0779" w:rsidRDefault="00FA0779" w:rsidP="00FA0779">
      <w:pPr>
        <w:pStyle w:val="TextoNormal"/>
      </w:pPr>
      <w:r>
        <w:t xml:space="preserve">b) En fecha 22 de septiembre de 1995 se dictó Sentencia por dicho Juzgado de instancia por la que se condenaba a don Agustín Gutiérrez Herrerías como autor responsable de un delito de alzamiento de bienes, absolviendo al demandante de amparo. Contra dicha Sentencia se interpuso recurso de apelación por la Caja de Ahorros y Monte de Piedad de Madrid, la cual actuaba en el procedimiento judicial como acusación particular tras haber absorbido a la mencionada Caja Rural, así como por los condenados en virtud de dicha resolución judicial. </w:t>
      </w:r>
    </w:p>
    <w:p w:rsidR="00FA0779" w:rsidRDefault="00FA0779" w:rsidP="00FA0779">
      <w:pPr>
        <w:pStyle w:val="TextoNormal"/>
      </w:pPr>
      <w:r>
        <w:t>c) El Ministerio Fiscal se adhirió, el día 9 de enero de 1996, al recurso de apelación interpuesto por la Caja, a la que se le había denegado legitimación para actuar como acusa</w:t>
      </w:r>
      <w:r>
        <w:lastRenderedPageBreak/>
        <w:t xml:space="preserve">ción particular por la Sentencia dictada por el citado Juzgado de lo Penal. Del recurso del Ministerio Fiscal no se dio traslado al demandante de amparo para su impugnación. </w:t>
      </w:r>
    </w:p>
    <w:p w:rsidR="00FA0779" w:rsidRDefault="00FA0779" w:rsidP="00FA0779">
      <w:pPr>
        <w:pStyle w:val="TextoNormal"/>
      </w:pPr>
      <w:r>
        <w:t>d) El día 5 de marzo de 1996, por la Audiencia Provincial de Cantabria se dictó Sentencia rechazando los recursos de apelación interpuestos por los ya condenados en la instancia, por el demandante de amparo, así como por la citada Caja de Ahorros, a la que se volví¿&gt; a negar legitimación, estimando, por el contrario, el formulado por el Ministerio Fiscal, por lo que se condena como autores responsables de un delito de alzamiento de bienes al ahora recurrente en amparo y a otra.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alega vulneración del derecho a la tutela judicial efectiva como consecuencia de que se le ha condenado en apelación cuando había sido absuelto en la instancia, en virtud de las mismas pruebas, contraviniéndose así el criterio del Juzgado sustentado en su inmediación. También fundamenta su queja en que la Sentencia condenatoria se ha producido en virtud de un recurso. interpuesto por una entidad, inexistente por haberse disuelto y haber sido absorbida por Caja Madrid, a la que la propia Audiencia le ha negado legitimación, con lo que la única acusación existente en esa instancia era la del Ministerio Fiscal que se adhirió a la apelación de aquélla, que debía haber decaído al hacerlo la apelación principal por falta de legitimación de la apelante. También denuncia que no se le dio traslado del escrito del Fiscal para poder oponerse. </w:t>
      </w:r>
    </w:p>
    <w:p w:rsidR="00FA0779" w:rsidRDefault="00FA0779" w:rsidP="00FA0779">
      <w:pPr>
        <w:pStyle w:val="TextoNormal"/>
      </w:pPr>
      <w:r>
        <w:t>Mediante otrosí se solicita la suspensión de la ejecución de la Sentencia impugnada expresando que de la misma se podría derivar un perjuicio irreparable, de índole económica, en relación con la titularidad de la vivienda en cuestión, que haría perder al amparo su finalidad.</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23 de junio de 1997, la Sección Primera de este Tribunal acordó admitir a trámite la demanda de amparo y, a tenor de lo dispuesto en el art. 51 LOTC, requerir a los órganos judiciales que conocieron del asunto para que remitieran testimonio de las actuaciones, interesando, asimismo, el emplazamiento de cuantos fueron parte en el proceso judicial antecedente, excepto el recurrente de amparo.</w:t>
      </w:r>
    </w:p>
    <w:p w:rsidR="00FA0779" w:rsidRDefault="00FA0779" w:rsidP="00FA0779">
      <w:pPr>
        <w:pStyle w:val="TextoNormal"/>
      </w:pPr>
    </w:p>
    <w:p w:rsidR="00FA0779" w:rsidRDefault="00FA0779" w:rsidP="00FA0779">
      <w:pPr>
        <w:pStyle w:val="TextoNormal"/>
      </w:pPr>
      <w:r w:rsidRPr="00FA0779">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formulasen las alegaciones que estimaran pertinentes sobre la suspensión solicitada.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Por escrito presentado el 30 de junio de 1996, el demandante de amparo formuló sus alegaciones, justificando la procedencia de la suspensión, no en que la ejecución de una pena privativa de libertad haría perder al amparo su finalidad, ya que ha obtenido la remisión condicional de la misma, sino en los daños que le causaría el mantenimiento de la declaración de nulidad del contrato de compraventa de un piso contenida en la Sentencia impugnada. Afirma que el bien se verá enajenado, con lo que la entidad ejecutante sólo podría devolver el precio de la venta, pero no la vivienda, con lo que el amparo perdería su finalidad. En caso de que no se entendiese así, afirma que procedería la imposición de una fianza, aunque, a este respecto, no formula ninguna petición en el suplico. </w:t>
      </w:r>
    </w:p>
    <w:p w:rsidR="00FA0779" w:rsidRDefault="00FA0779" w:rsidP="00FA0779">
      <w:pPr>
        <w:pStyle w:val="TextoNormal"/>
      </w:pPr>
      <w:r>
        <w:t xml:space="preserve">Junto a esta alegación, también hace referencia a unos perjuicios derivados de la existencia de una anotación relativa a él en el Registro Central de Penados y Rebeldes, por la </w:t>
      </w:r>
      <w:r>
        <w:lastRenderedPageBreak/>
        <w:t>nota desfavorable que ello supone «por pequeña que sea o por insignificante que se quiera».</w:t>
      </w:r>
    </w:p>
    <w:p w:rsidR="00FA0779" w:rsidRDefault="00FA0779" w:rsidP="00FA0779">
      <w:pPr>
        <w:pStyle w:val="TextoNormal"/>
      </w:pPr>
    </w:p>
    <w:p w:rsidR="00FA0779" w:rsidRDefault="00FA0779" w:rsidP="00FA0779">
      <w:pPr>
        <w:pStyle w:val="TextoNormal"/>
      </w:pPr>
      <w:r w:rsidRPr="00FA0779">
        <w:rPr>
          <w:rStyle w:val="NumeroAFNegritaCaracter"/>
        </w:rPr>
        <w:t>7</w:t>
      </w:r>
      <w:r>
        <w:t>. Por escrito presentado el 4 de julio de 1997, el Fiscal interesó que, de acuerdo con el art. 56 LOTC, no se suspendiese la Sentencia recurrida, pues se está ante la alegación de un mero perjuicio económico, de posible reparación, por lo que, de acuerdo con la jurisprudencia de este Tribunal, no procede la suspensión solicitada (Auto de 16 de junio de 1997).</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rsidRPr="00FA0779">
        <w:rPr>
          <w:rStyle w:val="TextoNormalNegritaCaracter"/>
        </w:rPr>
        <w:t xml:space="preserve"> </w:t>
      </w:r>
      <w:r>
        <w:t>El presente recurso se sigue frente a la misma Sentencia que se impugnó en el recurso que se tramita con el núm. 1.427/96, interpuesto por otros de los condenados por la misma. En la pieza de suspensión allí firmada se plantearon unas cuestiones coincidentes en lo sustancial con las que aquí se alegan, al centrarse las alegaciones de los demandantes, en ambos casos, en la consideración de los perjuicios que se derivan de la ejecución de la declaración de nulidad de un contrato contenida en la Sentencia recurrida.  Incluso estos perjuicios son los únicos que se invocan en el escrito de demanda para justificar la petición de apertura de este incidente.</w:t>
      </w:r>
    </w:p>
    <w:p w:rsidR="00FA0779" w:rsidRDefault="00FA0779" w:rsidP="00FA0779">
      <w:pPr>
        <w:pStyle w:val="TextoNormal"/>
      </w:pPr>
      <w:r>
        <w:t>Por ello hemos de dar ahora una misma respuesta desestimatoria, remitiéndonos a lo que declaramos en nuestro Auto de 16 de diciembre de 1996, en el que se dijo, que «se trata de un perjuicio de naturaleza meramente económica, carente, pues, de virtualidad para enervar el criterio general de la no suspensión del acto impugnado, tanto más cuanto que el ordenamiento jurídico permite la adopción de medidas que impidan la aparición de situaciones registrales que, aun en caso de prosperar la demanda de amparo, hiciesen imposible reponer las titularidades dominicales a su estado actual, sin necesidad de suspender la ejecución de la Sentencia impugnada» (fundamento jurídico 4).</w:t>
      </w:r>
    </w:p>
    <w:p w:rsidR="00FA0779" w:rsidRDefault="00FA0779" w:rsidP="00FA0779">
      <w:pPr>
        <w:pStyle w:val="TextoNormal"/>
      </w:pPr>
      <w:r>
        <w:t>Por otra parte, las vagas alusiones que se han hecho por el demandante en el trámite del art. 56.2 LOTC, acerca de unas supuestas consecuencias perjudiciales que se podrían derivar de una posible inscripción de antecedentes penales en el Registro Central de Penados y Rebeldes, no pueden alterar la conclusión ya expuesta, toda vez que, como se declaró en el ATC 399/1985, el perjuicio capaz de justificar la suspensión de la resolución impugnada «ha de ser real o, por lo menos, inminente con una racional probabilidad, según las reglas de la experiencia, sin que sea posible alegar un perjuicio futuro e hipotético o un simple temor» (ATC 399/1985).</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denegar la suspensión solicitada.</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4" w:name="AUTO_1997_281"/>
      <w:r>
        <w:lastRenderedPageBreak/>
        <w:t>AUTO 281/1997, de 21 de julio de 1997</w:t>
      </w:r>
    </w:p>
    <w:bookmarkEnd w:id="214"/>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ECLI:ES:TC:1997:281A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modificación de la suspensión acordada en el recurso de amparo 3.029/1996.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Auto de fecha 7 de abril de 1997, esta Sala acordó la suspensión de la resolución impugnada en el presente recurso de amparo en lo concerniente, exclusivamente, al bien inmueble adjudicado.</w:t>
      </w:r>
    </w:p>
    <w:p w:rsidR="00FA0779" w:rsidRDefault="00FA0779" w:rsidP="00FA0779">
      <w:pPr>
        <w:pStyle w:val="TextoNormal"/>
      </w:pPr>
    </w:p>
    <w:p w:rsidR="00FA0779" w:rsidRDefault="00FA0779" w:rsidP="00FA0779">
      <w:pPr>
        <w:pStyle w:val="TextoNormal"/>
      </w:pPr>
      <w:r w:rsidRPr="00FA0779">
        <w:rPr>
          <w:rStyle w:val="NumeroAFNegritaCaracter"/>
        </w:rPr>
        <w:t>2</w:t>
      </w:r>
      <w:r>
        <w:t>. Por otrosí, formulado al evacuar el trámite de alegaciones previsto en el art. 52 LOTC don Antonio Cenea Bemedo y «Sogacal, S.G.R.», que son parte en el proceso de amparo, solicitan la revocación del Auto que acuerda la suspensión de la resolución impugnada, o que, subsidiariamente, se condicione la misma a la constitución de fianza suficiente. Tal petición se fundamenta en que la resolución fue dictada antes de constituirse en parte en el proceso y a la vista de los perjuicios irreparables que les causa tal resolución. Se fundamenta también la petición en que paralelamente a la presentación de la demanda de amparo los recurrentes solicitaron ante el Juzgado la nulidad de actuaciones, hecho éste que ocultaron en su demanda, la cual ha sido desestimada por Auto de 14 de octubre de 1996 y ratificada en apelación por Auto de 19 de febrero de 1997.</w:t>
      </w:r>
    </w:p>
    <w:p w:rsidR="00FA0779" w:rsidRDefault="00FA0779" w:rsidP="00FA0779">
      <w:pPr>
        <w:pStyle w:val="TextoNormal"/>
      </w:pPr>
    </w:p>
    <w:p w:rsidR="00FA0779" w:rsidRDefault="00FA0779" w:rsidP="00FA0779">
      <w:pPr>
        <w:pStyle w:val="TextoNormal"/>
      </w:pPr>
      <w:r w:rsidRPr="00FA0779">
        <w:rPr>
          <w:rStyle w:val="NumeroAFNegritaCaracter"/>
        </w:rPr>
        <w:t>3</w:t>
      </w:r>
      <w:r>
        <w:t>. La Sección Cuarta (Sala Segunda), mediante providencia de fecha 23 de junio de 1997, acordó conceder un plazo de tres días al resto de las partes personadas y al Ministerio Fiscal para que alegaran lo que estimasen oportuno sobre lo interesado por otrosí por las partes reseñadas.</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Mediante sendos escritos de fecha 27 y 30 de junio y 4 de julio de 1997, los recurrentes en amparo, «Sogacal, S.G.R.», y el Ministerio Fiscal han presentado sus alegaciones en este incidente de modificación de la suspensión acordada, reiterando aquéllos que no se aportan razones justificativas para dejar sin efecto la suspensión acordada, ya que las razones aducidas tienen que ver con la pretensión de amparo y su admisibilidad y no con la suspensión acordada. «Sogacal, S.G.R.», manifiesta su conformidad con la revocación del Auto de suspensión. El Ministerio Fiscal señala que no es motivo de revocación el hecho de no haber sido oídas en su momento las partes que hoy solicitan la modificación de la suspensión, ya que la suspensión se acordó con anterioridad a su personación en este </w:t>
      </w:r>
      <w:r>
        <w:lastRenderedPageBreak/>
        <w:t>proceso de amparo. Y en cuanto a las razones justificativas relativas a la existencia de un proceso paralelo en vía judicial en el que se solicitó la nulidad de las actuaciones, alegando indefensión, señala que son argumentos que tienen que ver con la resolución de la pretensión de amparo, y, eventualmente, con la existencia de una causa de inadmisibilidad, pero no con las previsiones del art. 57 de la, LOTC, por lo que se opone a la petición de revocación o modificación formulada.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rsidRPr="00FA0779">
        <w:rPr>
          <w:rStyle w:val="TextoNormalNegritaCaracter"/>
        </w:rPr>
        <w:t xml:space="preserve"> </w:t>
      </w:r>
      <w:r>
        <w:t>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FA0779" w:rsidRDefault="00FA0779" w:rsidP="00FA0779">
      <w:pPr>
        <w:pStyle w:val="TextoNormal"/>
      </w:pPr>
      <w:r>
        <w:t>De otra parte, el art. 57 de la LOTC permite modificar durante el curso del juicio de amparo constitucional, de oficio o a instancia de parte, la suspensión acordada o su denegación, si se acreditan circunstancias sobrevenidas o que no pudieron ser conocidas al tiempo de sustanciarse el incidente de suspensión.</w:t>
      </w:r>
    </w:p>
    <w:p w:rsidR="00FA0779" w:rsidRDefault="00FA0779" w:rsidP="00FA0779">
      <w:pPr>
        <w:pStyle w:val="TextoNormal"/>
      </w:pPr>
      <w:r>
        <w:t>La cuestión a resolver en este incidente, tal y como ha sido planteada por quienes se han personado en este proceso de amparo una vez admitida a trámite la demanda, se contrae a determinar si las circunstancias por ellos puestas de manifiesto en los escritos reseñados en los antecedentes de esta resolución justifican o no la modificación de la suspensión de la resolución impugnada en amparo que decretamos por Auto de 4 de abril de 1997. Pues bien, las circunstancias sobrevenidas o desconocidas al tiempo de pronunciarse sobre la petición de suspensión que fundamentan la petición de los solicitantes no afectan por sí mismas a la decisión de suspensión, sino a la viabilidad de la propia pretensión de amparo fundada en no haber sido oído el demandante en el proceso ejecutivo anterior. Las razones ahora aducidas no aportan dato alguno sobre la valoración de los intereses en conflicto analizados cuando nos pronunciamos sobre la suspensión o su denegación, por lo que no pueden ser tenidas en cuenta para modificar la resolución en su día dictada.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denegar la petición de modificación de la suspensión acordada en el presente proceso de amparo.</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5" w:name="AUTO_1997_282"/>
      <w:r>
        <w:lastRenderedPageBreak/>
        <w:t>AUTO 282/1997, de 21 de julio de 1997</w:t>
      </w:r>
    </w:p>
    <w:bookmarkEnd w:id="215"/>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ECLI:ES:TC:1997:282A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4.423/1996.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Por el solicitante de amparo se interpuso la correspondiente demanda en reclamación del mismo, la cual tenía como Antecedentes, los hechos que a continuación se describen: </w:t>
      </w:r>
    </w:p>
    <w:p w:rsidR="00FA0779" w:rsidRDefault="00FA0779" w:rsidP="00FA0779">
      <w:pPr>
        <w:pStyle w:val="TextoNormal"/>
      </w:pPr>
      <w:r>
        <w:t xml:space="preserve">A) El día 7 de septiembre de 1994, por la representación procesal de don José María Bañasco Verdugo se interpuso demanda de juicio declarativo de menor cuantía, contra el ahora recurrente en amparo en reclamación de 1.345.000 pesetas, más intereses legales y costas. </w:t>
      </w:r>
    </w:p>
    <w:p w:rsidR="00FA0779" w:rsidRDefault="00FA0779" w:rsidP="00FA0779">
      <w:pPr>
        <w:pStyle w:val="TextoNormal"/>
      </w:pPr>
      <w:r>
        <w:t xml:space="preserve">B) El ejercicio de la acción se basaba en la reclamación de la indemnización arrendaticia debida por el ahora recurrente, como propietario de la vivienda sita en el piso 11, letra A, de la finca núm. 44 de la calle de Eduardo Dato, de Sevilla, reclamándose por dicho actor al haber abandonado el inmueble que como inquilino tenía arrendado al ahora solicitante en un plazo inferior a seis meses desde la fecha en que fue requerido por el recurrente para ello. Dicha pretensión se sustanció ante el Juzgado de Primera Instancia núm. 12 de los de Sevilla, bajo el número de Autos 735/1994. </w:t>
      </w:r>
    </w:p>
    <w:p w:rsidR="00FA0779" w:rsidRDefault="00FA0779" w:rsidP="00FA0779">
      <w:pPr>
        <w:pStyle w:val="TextoNormal"/>
      </w:pPr>
      <w:r>
        <w:t xml:space="preserve">C) En dicha demanda se designó como domicilio del recurrente el sito en la calle del Pintor Zuluaga, núm. 22, piso primero, letra G, de la ciudad de Cádiz, solicitándose, mediante otrosí, que se emplazase al demandado mediante exhorto librado a dicha ciudad. </w:t>
      </w:r>
    </w:p>
    <w:p w:rsidR="00FA0779" w:rsidRDefault="00FA0779" w:rsidP="00FA0779">
      <w:pPr>
        <w:pStyle w:val="TextoNormal"/>
      </w:pPr>
      <w:r>
        <w:t xml:space="preserve">D) Intentando el emplazamiento en el indicado domicilio mediante telegrama y, posteriormente, por medio de la correspondiente cédula, el Agente judicial que la llevó a cabo expresó en la diligencia levantada al efecto que el demandado y su familia se marcharon a vivir a Sevilla, ignorándose su domicilio actual, pero en la que se informaba que dicho demandado trabajaba en la actualidad para el «Banco de Santander, S. A.», en Sevilla. </w:t>
      </w:r>
    </w:p>
    <w:p w:rsidR="00FA0779" w:rsidRDefault="00FA0779" w:rsidP="00FA0779">
      <w:pPr>
        <w:pStyle w:val="TextoNormal"/>
      </w:pPr>
      <w:r>
        <w:t xml:space="preserve">E) Devuelto el indicado exhorto al Juzgado de procedencia se intentó de nuevo el emplazamiento en la vivienda arrendada que había sido objeto de desalojo, produciéndose igualmente diligencia negativa de emplazamiento. Finalmente, en fecha 13 de noviembre de 1995, de conformidad a lo dispuesto en el art. 269 L.E.C., fue publicado edicto por el que se acordaba el emplazamiento de la parte demandada, en el «Boletín Oficial de la Provincia de Sevilla». </w:t>
      </w:r>
    </w:p>
    <w:p w:rsidR="00FA0779" w:rsidRDefault="00FA0779" w:rsidP="00FA0779">
      <w:pPr>
        <w:pStyle w:val="TextoNormal"/>
      </w:pPr>
      <w:r>
        <w:t xml:space="preserve">F) Transcurrido el plazo legalmente establecido al efecto, el demandado fue declarado en situación de rebeldía procesal, al no haber procedido a personarse en tiempo y forma </w:t>
      </w:r>
      <w:r>
        <w:lastRenderedPageBreak/>
        <w:t>legal, no constando que dicha parte procesal tuviera conocimiento de la existencia del procedimiento hasta que le fue practicada la correspondiente diligencia de embargo.</w:t>
      </w:r>
    </w:p>
    <w:p w:rsidR="00FA0779" w:rsidRDefault="00FA0779" w:rsidP="00FA0779">
      <w:pPr>
        <w:pStyle w:val="TextoNormal"/>
      </w:pPr>
    </w:p>
    <w:p w:rsidR="00FA0779" w:rsidRDefault="00FA0779" w:rsidP="00FA0779">
      <w:pPr>
        <w:pStyle w:val="TextoNormal"/>
      </w:pPr>
      <w:r w:rsidRPr="00FA0779">
        <w:rPr>
          <w:rStyle w:val="NumeroAFNegritaCaracter"/>
        </w:rPr>
        <w:t>2</w:t>
      </w:r>
      <w:r>
        <w:t>. Por el recurrente en amparo se alega la vulneración en el procedimiento judicial del derecho a la tutela judicial efectiva (art. 24.1 C.E.), como consecuencia de indefensión sufrida, al haberse procedido a su emplazamiento mediante la publicación de edictos, sin haber tenido la oportunidad de alegar y probar sus pretensiones en el procedimiento judicial del que trae causa el presente recurso de amparo, sin que haya existido efectiva contradicción, máxime cuando, por medio de la diligencia negativa de emplazamiento llevada a cabo en Cádiz, se tenía conocimiento de que el demandado trabajaba para el «Banco de Santander, S. A.», sin que se haya producido la necesaria actividad de investigación que posibilitara el emplazamiento personal de dicha parte litigante.</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30 de junio de 1997 se acordó formar pieza separada de suspensión con el precedente testimonio, y a tenor de lo dispuesto en el artículo 56 de la LOTC, conceder un plazo de tres días al Ministerio Fiscal, y al solicitante de amparo, para que formularan las alegaciones que estimaran pertinentes sobre la suspensión solicitada.</w:t>
      </w:r>
    </w:p>
    <w:p w:rsidR="00FA0779" w:rsidRDefault="00FA0779" w:rsidP="00FA0779">
      <w:pPr>
        <w:pStyle w:val="TextoNormal"/>
      </w:pPr>
    </w:p>
    <w:p w:rsidR="00FA0779" w:rsidRDefault="00FA0779" w:rsidP="00FA0779">
      <w:pPr>
        <w:pStyle w:val="TextoNormal"/>
      </w:pPr>
      <w:r w:rsidRPr="00FA0779">
        <w:rPr>
          <w:rStyle w:val="NumeroAFNegritaCaracter"/>
        </w:rPr>
        <w:t>4</w:t>
      </w:r>
      <w:r>
        <w:t>. Por el recurrente en amparo se presentó escrito ante el registro de este Tribunal el día 7 de julio de 1997, en el que se reiteró la petición efectuada en su escrito de demanda, y solicitó, por las razones ya expuestas, la suspensión de la resolución impugnada.</w:t>
      </w:r>
    </w:p>
    <w:p w:rsidR="00FA0779" w:rsidRDefault="00FA0779" w:rsidP="00FA0779">
      <w:pPr>
        <w:pStyle w:val="TextoNormal"/>
      </w:pPr>
    </w:p>
    <w:p w:rsidR="00FA0779" w:rsidRDefault="00FA0779" w:rsidP="00FA0779">
      <w:pPr>
        <w:pStyle w:val="TextoNormal"/>
      </w:pPr>
      <w:r w:rsidRPr="00FA0779">
        <w:rPr>
          <w:rStyle w:val="NumeroAFNegritaCaracter"/>
        </w:rPr>
        <w:t>5</w:t>
      </w:r>
      <w:r>
        <w:t>. El Ministerio Fiscal, por escrito registrado el día 9 de julio de 1997, manifestó la procedencia de la suspensión solicitada con respecto al piso embargado, porque si no se hiciere así, se produciría la venta judicial del inmueble, perdiendo en este supuesto la finalidad del presente amparo, al devenir en la práctica imposible la devolución de la titularidad dominical del piso si éste se hubiere transmitido a tercera persona, sin que proceda la suspensión respecto al embargo del sueldo y demás emolumentos, porque al tratarse de un cantidad de dinero siempre es posible su devolución.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FA0779" w:rsidRDefault="00FA0779" w:rsidP="00FA0779">
      <w:pPr>
        <w:pStyle w:val="TextoNormal"/>
      </w:pPr>
      <w:r>
        <w:t xml:space="preserve">También, de conformidad con tal criterio interpretativo, este Tribunal viene entendiendo que han de ponderarse en cada caso concreto los intereses en conflicto, y el contenido y </w:t>
      </w:r>
      <w:r>
        <w:lastRenderedPageBreak/>
        <w:t>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00FA0779" w:rsidRDefault="00FA0779" w:rsidP="00FA0779">
      <w:pPr>
        <w:pStyle w:val="TextoNormal"/>
      </w:pPr>
    </w:p>
    <w:p w:rsidR="00FA0779" w:rsidRDefault="00FA0779" w:rsidP="00FA0779">
      <w:pPr>
        <w:pStyle w:val="TextoNormal"/>
      </w:pPr>
      <w:r w:rsidRPr="00FA0779">
        <w:rPr>
          <w:rStyle w:val="NumeroAFNegritaCaracter"/>
        </w:rPr>
        <w:t>2</w:t>
      </w:r>
      <w:r>
        <w:t>. En el presente caso, teniendo en consideración la anterior doctrina, se hace necesario afirmar la improcedencia de la suspensión de la ejecución de la Sentencia impugnada en los términos solicitados por el ahora recurrente. Debe tenerse en consideración que nos encontramos ante una condena pecuniaria de cantidad líquida, cuyas consecuencias, en el supuesto de estimarse el presente amparo, no produce efectos irreparables, toda vez que trae consigo únicamente un detrimento económico para el condenado en la impugnada Sentencia, y que al ser eventualmente resarcible el daño patrimonial no perjudica en absoluto la falta de suspensión a la resolución que por este Tribunal pudiera dictarse en un futuro.</w:t>
      </w:r>
    </w:p>
    <w:p w:rsidR="00FA0779" w:rsidRDefault="00FA0779" w:rsidP="00FA0779">
      <w:pPr>
        <w:pStyle w:val="TextoNormal"/>
      </w:pPr>
      <w:r>
        <w:t>En consecuencia de lo afirmado, ha de entenderse que los perjuicios patrimoniales alegados por el demandante, como ya se ha dicho, en el caso de que los mismos puedan producirse, serían de posible reparación, pese a la no suspensión de la ejecución de la meritada Sentencia si, finalmente, el recurso de amparo llegara a estimarse.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ello, la Sala acuerda denegar la suspensión solicitada, sin perjuicio de las medidas cautelares que el órgano judicial competente, en su caso, estime procedentes.</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6" w:name="AUTO_1997_283"/>
      <w:r>
        <w:lastRenderedPageBreak/>
        <w:t>AUTO 283/1997, de 21 de julio de 1997</w:t>
      </w:r>
    </w:p>
    <w:bookmarkEnd w:id="216"/>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ECLI:ES:TC:1997:283A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286/1997.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presentado en el Juzgado de Guardia el 22 de enero de 1997 y registrado en este Tribunal el día 24 de ese mismo mes y año, el Procurador de los Tribunales don Antonio de Palma Villalón, en nombre y representación de don Ángel Isidro Rodríguez Sáez, interpuso recurso de amparo contra el Auto de la Sección Tercera de la Sala de lo Penal de la Audiencia Nacional, de 26 de diciembre de 1996, que en apelación decretó la prisión provisional con fundamento en la certeza del riesgo de fuga que implicaría la libertad del recurrente, incurso en expediente de extradición 43/96.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recurso se fundamenta, en síntesis, en los siguientes hechos: </w:t>
      </w:r>
    </w:p>
    <w:p w:rsidR="00FA0779" w:rsidRDefault="00FA0779" w:rsidP="00FA0779">
      <w:pPr>
        <w:pStyle w:val="TextoNormal"/>
      </w:pPr>
      <w:r>
        <w:t xml:space="preserve">a) Por motivo de la solicitud de extradición del actor, instada por la Procuraduría General de la República de Estados mexicanos con base en la Orden de detención dictada por un Juez de dicho país, el Sr. Rodríguez Sáez ingresó en prisión provisional por resolución del Juzgado Central de Instrucción núm. 5, de fecha 7 de octubre de 1996. </w:t>
      </w:r>
    </w:p>
    <w:p w:rsidR="00FA0779" w:rsidRDefault="00FA0779" w:rsidP="00FA0779">
      <w:pPr>
        <w:pStyle w:val="TextoNormal"/>
      </w:pPr>
      <w:r>
        <w:t xml:space="preserve">b) Contra dicha decisión presentó el solicitante de amparo recurso de reforma por entender que la orden de detención era nula de origen, por concurrir en ella distintos vicios insubsanables, y que, además, la solicitud de extradición no sólo había sido cursada en forma irregular, sino que debía considerarse definitivamente suspendida por la posterior resolución, de fecha 11 de octubre de 1996, dictada por el órgano mejicano de garantías constitucionales en procedimiento de amparo. Dicho recurso fue desestimado por Auto del Juzgado Central de Instrucción núm. 5, de 28 de octubre de 1996. </w:t>
      </w:r>
    </w:p>
    <w:p w:rsidR="00FA0779" w:rsidRDefault="00FA0779" w:rsidP="00FA0779">
      <w:pPr>
        <w:pStyle w:val="TextoNormal"/>
      </w:pPr>
      <w:r>
        <w:t xml:space="preserve">c) Con fecha de 19 de noviembre de 1996, ante el Juez de Instrucción del citado Juzgado Central núm. 5, se produjo la comparecencia del recurrente, según lo prevenido en el art. 12 de la Ley 4/1985, de 21 de marzo, de Extradición Pasiva (L.E.P.). En dicho momento, el Sr. Rodríguez Sáez manifestó su oposición a ser extraditado y solicitó la ampliación del período probatorio. Por Auto de ese Juzgado de 2 de diciembre de 1996, que no consta que fuera recurrido, se dio por concluido el trámite previsto en el art. 12 de la L.E.P. sin dar lugar a la ampliación del período probatorio. Por otro Auto de esa misma fecha, se elevaron las actuaciones a la Sección Tercera de la Audiencia Nacional a fin de </w:t>
      </w:r>
      <w:r>
        <w:lastRenderedPageBreak/>
        <w:t>que resolviera sobre el recurso de apelación interpuesto contra el Auto de 7 de octubre de 1996, siendo éste desestimado por Auto de la Sala de 26 de diciembre de 1996.</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Se aduce en la demanda que las resoluciones recurridas han vulnerado los derechos del actor a la libertad y a la tutela judicial efectiva, respectivamente reconocidos en los arts. 17.1 y 24.1 C.E. </w:t>
      </w:r>
    </w:p>
    <w:p w:rsidR="00FA0779" w:rsidRDefault="00FA0779" w:rsidP="00FA0779">
      <w:pPr>
        <w:pStyle w:val="TextoNormal"/>
      </w:pPr>
      <w:r>
        <w:t xml:space="preserve">En apoyo de dichas pretendidas vulneraciones, se argumenta lo siguiente: 1) la orden internacional de detención dictada por el Juzgado Primero de Distrito en materia penal de Méjico Distrito Federal, con fecha de 30 de agosto de 1996, sería nula ab initio por estar afectada de vicios de fondo y forma, tales como la falta de audiencia previa del acusado, la omisión de datos de hecho fundamentales y el hecho de que no fuera cursada ante las autoridades españolas por el único cauce válido, a saber, por medio de la Secretaría mejicana de Relaciones Exteriores; 2) dicha orden habría sido además definitivamente suspendida, en procedimiento de amparo constitucional, por resolución del Juzgado Cuarto de Distrito Federal en materia penal, según ha quedado acreditado en autos mediante la aportación de copia legalizada de dicha resolución, debidamente apostillada de conformidad con el Convenio de La Haya; 3) en consecuencia, la citada orden de detención resultaría inejecutable en Méjico, por hallarse definitivamente suspendida, lo que ya de por sí la convertiría en nula e inexistente a los efectos del art. 15 b) del Tratado vigente entre ese país y España y del art. 8 de la L.E.P.; y 4) por otra parte, los hechos que en la tantas veces citada orden de detención se imputan al demandante de amparo no podrían ser castigados en España con pena superior a prisión menor en su grado máximo (seis años de privación de libertad), por lo que no se daría uno de los requisitos previstos en el art. 505 de la LECrím. -que el delito en cuestión tenga señalada pena superior a prisión menor- ni tampoco los relativos a la alarma social producida por los hechos imputados o al peligro de fuga. </w:t>
      </w:r>
    </w:p>
    <w:p w:rsidR="00FA0779" w:rsidRDefault="00FA0779" w:rsidP="00FA0779">
      <w:pPr>
        <w:pStyle w:val="TextoNormal"/>
      </w:pPr>
      <w:r>
        <w:t>A la vista de todo ello, entiende el recurrente que las sucesivas resoluciones dictadas por el Juzgado Central de Instrucción núm. 5 y la Sección Tercera de la Sala de lo Penal de la Audiencia Nacional son manifiestamente irrazonables, al mantenerle en prisión provisional pese a haber acreditado por todas las vías que estaban a su alcance la suspensión definitiva del acto que dio lugar a la petición de extradición, sin otro fundamento que el de no haber tenido hasta la fecha conocimiento oficial de dicha suspensión a través de los cauces diplomáticos oficiales.</w:t>
      </w:r>
    </w:p>
    <w:p w:rsidR="00FA0779" w:rsidRDefault="00FA0779" w:rsidP="00FA0779">
      <w:pPr>
        <w:pStyle w:val="TextoNormal"/>
      </w:pPr>
    </w:p>
    <w:p w:rsidR="00FA0779" w:rsidRDefault="00FA0779" w:rsidP="00FA0779">
      <w:pPr>
        <w:pStyle w:val="TextoNormal"/>
      </w:pPr>
      <w:r w:rsidRPr="00FA0779">
        <w:rPr>
          <w:rStyle w:val="NumeroAFNegritaCaracter"/>
        </w:rPr>
        <w:t>4</w:t>
      </w:r>
      <w:r>
        <w:t>. Por sendas providencias de 9 de junio de 1997, la Sección Tercera acordó admitir a trámite la demanda de amparo y abrir pieza para la tramitación de incidente sobre suspensión y, conforme determina el art. 56 de la Ley Orgánica de este Tribunal, conceder un plazo común de tres días a la parte recurrente y al Ministerio Fiscal para que alegasen lo que estimaran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Por escrito registrado en los Juzgados de Guardia de Madrid el 13 de junio de 1997 y tres días después en este Tribunal, la parte recurrente interesa la suspensión de la ejecución de la resolución impugnada por el enorme e irreparable perjuicio que supone seguir en prisión desde el día 7 de octubre de 1996. </w:t>
      </w:r>
    </w:p>
    <w:p w:rsidR="00FA0779" w:rsidRDefault="00FA0779" w:rsidP="00FA0779">
      <w:pPr>
        <w:pStyle w:val="TextoNormal"/>
      </w:pPr>
      <w:r>
        <w:t xml:space="preserve">Manifiesta que la orden de aprehensión es manifiestamente ilegal por su origen al no haber sido instada ante las autoridades españolas por la única autoridad mejicana con competencia, que es la Secretaría de Relaciones Exteriores, como señala el art. 19 del Tratado Bilateral entre España y Méjico. También alega que los hechos incriminatorios, de </w:t>
      </w:r>
      <w:r>
        <w:lastRenderedPageBreak/>
        <w:t xml:space="preserve">ser ciertos, serían tan sólo infracciones administrativas en España. Por otra parte, resalta que la orden de aprehensión fue dictada sin audiencia al imputado lo que la convertiría en nula. </w:t>
      </w:r>
    </w:p>
    <w:p w:rsidR="00FA0779" w:rsidRDefault="00FA0779" w:rsidP="00FA0779">
      <w:pPr>
        <w:pStyle w:val="TextoNormal"/>
      </w:pPr>
      <w:r>
        <w:t>Las demás argumentaciones, con fundamento en distintas normas legales y en la jurisprudencia constitucional, van dirigidas a justificar que el recurrente cumple todos los requisitos necesarios para su puesta en libertad por el Tribunal Constitucional, en este sentido, el perjuicio irreparable que se le irrogaría y la ausencia de perturbación grave de los intereses generales, con fundamento, esencialmente, en la inexistencia de riesgo de fuga.</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por escrito que tuvo entrada en este Tribunal el 17 de junio de 1997, interesa que se deniegue la suspensión de la ejecución del Auto recurrido. </w:t>
      </w:r>
    </w:p>
    <w:p w:rsidR="00FA0779" w:rsidRDefault="00FA0779" w:rsidP="00FA0779">
      <w:pPr>
        <w:pStyle w:val="TextoNormal"/>
      </w:pPr>
      <w:r>
        <w:t>Con fundamento en el ATC 169/1995, manifiesta que entre los supuestos que pueden justificar la no suspensión de una resolución denegatoria de una petición de libertad, en cuanto perturbadores del interés general, ocupan un lugar destacado aquellos en que la prisión provisional se funda en el riesgo o peligro de fuga, «habiéndose expresado la declaración de tal peligro por dos instancias judiciales distintas es suficiente para poder afirmar la realidad del riesgo, no correspondiendo al Tribunal Constitucional entrar a dilucidar esa realidad. Por otra parte, existe un indudable interés general en que los tratados y compromisos internacionales en materia de extradición suscritos por el Estado español sean cumplidos, lo que no podría tener lugar si no se adoptasen las medidas necesarias para asegurar su cumplimiento, entre las que la prisión provisional ocupa un lugar destacado».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En el recurso de amparo interpuesto contra el Auto de la Sección Tercera de la Sala de lo Penal de la Audiencia Nacional, de 26 de diciembre de 1996, que en apelación decretó la prisión provisional con fundamento en la certeza del riesgo de fuga que implicaría la libertad del recurrente, incurso en expediente de extradición 43/96, se nos ha solicitado, una vez admitido el amparo, la suspensión del referido Auto. Y a tal efecto habremos de tener en cuenta que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00FA0779" w:rsidRDefault="00FA0779" w:rsidP="00FA0779">
      <w:pPr>
        <w:pStyle w:val="TextoNormal"/>
      </w:pPr>
    </w:p>
    <w:p w:rsidR="00FA0779" w:rsidRDefault="00FA0779" w:rsidP="00FA0779">
      <w:pPr>
        <w:pStyle w:val="TextoNormal"/>
      </w:pPr>
      <w:r w:rsidRPr="00FA0779">
        <w:rPr>
          <w:rStyle w:val="NumeroAFNegritaCaracter"/>
        </w:rPr>
        <w:t>2</w:t>
      </w:r>
      <w:r>
        <w:t>. Este Tribunal ha consagrado el criterio de que cuando el recurso de amparo tiene como objeto resoluciones que establecen medidas privativas de libertad, la ejecución de las mismas vacía de toda trascendencia práctica efectiva a las Sentencias que con posterioridad puedan otorgar el amparo solicitado, haciéndoles así perder su finalidad. Igualmente hemos advertido que, cuando lo que se recurre son resoluciones judiciales, existe un interés general en su ejecución. Para que la suspensión pueda producirse, la perturbación del interés general debe ser grave y debe apreciarse en cada caso atendiendo a las circunstancias específicas que concurren en cada una de las resoluciones judiciales recurridas.</w:t>
      </w:r>
    </w:p>
    <w:p w:rsidR="00FA0779" w:rsidRDefault="00FA0779" w:rsidP="00FA0779">
      <w:pPr>
        <w:pStyle w:val="TextoNormal"/>
      </w:pPr>
      <w:r>
        <w:lastRenderedPageBreak/>
        <w:t>En el presente caso, el peligro de fuga no es una hipótesis genérica o abstracta, sino que ha sido apreciado por los órganos judiciales. Entrar a dilucidar si el peligro es real no corresponde a este Tribunal, que carece de la inmediación respecto de los hechos que sí han tenido los órganos judiciales y a partir de cuya ponderación han resuelto (ATC 169/1995). Por otra parte, el tipo de delitos que se le imputan y las circunstancias personales y objetivas que concurren en el caso de autos permiten sostener que una eventual fuga del recurrente podría producir graves perturbaciones del interés general e incluso de derechos de terceros. Por otra parte, en este caso, la suspensión equivaldría a un otorgamiento anticipado del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no haber lugar a la suspensión solicitada.</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7" w:name="AUTO_1997_284"/>
      <w:r>
        <w:lastRenderedPageBreak/>
        <w:t>AUTO 284/1997, de 21 de julio de 1997</w:t>
      </w:r>
    </w:p>
    <w:bookmarkEnd w:id="217"/>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ECLI:ES:TC:1997:284A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545/1996.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ante este Tribunal el día 12 de febrero de 1997, el Letrado Jefe del Gabinete Jurídico de Presidencia de la Generalitat de Valencia, don José Manuel Merino Cruz, actuando, con arreglo a lo dispuesto en los arts. 447.2 de la L.O.P.J. y 36 de la Ley de la Generalitat Valenciana 8/1987, en representación del Servicio Valenciano de Salud, interpuso demanda de amparo constitucional contra la Sentencia de la Audiencia Provincial de Valencia (Sección Tercera), recaída en el rollo de apelación 2/97 y de fecha 15 de enero de 1997, que confirmó la dictada en la instancia por el Juzgado de lo Penal núm. 3 de aquella ciudad, el día 10 de octubre de 1996, en el procedimiento abreviado 62/96, seguido por un delito de imprudencia temeraria.</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descansa en los siguientes hechos y alegaciones de Derecho: </w:t>
      </w:r>
    </w:p>
    <w:p w:rsidR="00FA0779" w:rsidRDefault="00FA0779" w:rsidP="00FA0779">
      <w:pPr>
        <w:pStyle w:val="TextoNormal"/>
      </w:pPr>
      <w:r>
        <w:t xml:space="preserve">a) El Juzgado de lo Penal núm. 3 de Valencia dictó Sentencia en el procedimiento abreviado anteriormente reseñado, por la que se condenaba a un médico como autor responsable de una falta de imprudencia del antiguo art. 586 bis del Código Penal, en relación con el art. 240 del mismo texto legal, a la pena de 50.000 pesetas multa y a indemnizar a un paciente en la cantidad de 5.416.000 pesetas, declarando la responsabilidad subsidiaria de la ahora recurrente en amparo. </w:t>
      </w:r>
    </w:p>
    <w:p w:rsidR="00FA0779" w:rsidRDefault="00FA0779" w:rsidP="00FA0779">
      <w:pPr>
        <w:pStyle w:val="TextoNormal"/>
      </w:pPr>
      <w:r>
        <w:t xml:space="preserve">b) Recurrida esta Sentencia en apelación, el Servicio Valenciano de Salud formuló tres distintos motivos de impugnación. Sin embargo, en la Sentencia dictada por la Audiencia Provincial únicamente se atendió al primero de ellos, argumentándose, en relación con los otros dos, que no se iba a entrar en su examen «dado el contenido penal de los mismos» y puesto que «el responsable civil subsidiario carece de legitimación para impugnar extremos referidos al propio responsable directo». </w:t>
      </w:r>
    </w:p>
    <w:p w:rsidR="00FA0779" w:rsidRDefault="00FA0779" w:rsidP="00FA0779">
      <w:pPr>
        <w:pStyle w:val="TextoNormal"/>
      </w:pPr>
      <w:r>
        <w:t xml:space="preserve">Considera la demandante que la negativa de la Sala respecto del enjuiciamiento de esos otros dos motivos planteados en su recurso de apelación es contraria a sus derechos fundamentales a la igualdad (art. 14 C.E.) y a la tutela judicial efectiva sin indefensión (art. 24.2 C.E.). Lo primero, porque la argumentación aducida por la Sala para no entrar en el examen de esos motivos implica el establecimiento por el órgano judicial de una desigualdad entre las partes procesales que han de contar con iguales medios de ataque y defensa. </w:t>
      </w:r>
      <w:r>
        <w:lastRenderedPageBreak/>
        <w:t xml:space="preserve">Lo segundo, porque esa misma argumentación descansa en criterios puramente formalistas e innecesariamente impeditiva del ejercicio del derecho de defensa, restringiéndolo indebidamente en relación con el responsable civil subsidiario. </w:t>
      </w:r>
    </w:p>
    <w:p w:rsidR="00FA0779" w:rsidRDefault="00FA0779" w:rsidP="00FA0779">
      <w:pPr>
        <w:pStyle w:val="TextoNormal"/>
      </w:pPr>
      <w:r>
        <w:t>Mediante «otrosí» se interesó por la Entidad actora la suspensión de las resoluciones judiciales impugnadas.</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14 de julio de 1997, la Sección Primera acordó admitir a trámite la demanda y, por proveído de esa misma fecha, ordenó formar la pertinente pieza separada de suspensión, concediendo, de conformidad con lo dispuesto en el art. 56 LOTC, al Ministerio Fiscal y a la solicitante de amparo el plazo común de tres días para que alegasen lo que estimasen pertinente en relación con la suspensión interesada.</w:t>
      </w:r>
    </w:p>
    <w:p w:rsidR="00FA0779" w:rsidRDefault="00FA0779" w:rsidP="00FA0779">
      <w:pPr>
        <w:pStyle w:val="TextoNormal"/>
      </w:pPr>
    </w:p>
    <w:p w:rsidR="00FA0779" w:rsidRDefault="00FA0779" w:rsidP="00FA0779">
      <w:pPr>
        <w:pStyle w:val="TextoNormal"/>
      </w:pPr>
      <w:r w:rsidRPr="00FA0779">
        <w:rPr>
          <w:rStyle w:val="NumeroAFNegritaCaracter"/>
        </w:rPr>
        <w:t>4</w:t>
      </w:r>
      <w:r>
        <w:t>. El Ministerio Fiscal presentó su alegato el día 16 de julio de 1997. Tras recordar que en materia de suspensión de resoluciones judiciales el criterio general es el de la no suspensión, añade que, en el caso de autos, la resolución impugnada presenta efectos exclusivamente económicos, por lo que, con arreglo a lo declarado en el ATC 322/1996 -entre otros muchos-, procede denegar la suspensión solicitada, máxime cuando la demandante de amparo ni siquiera motiva la concurrencia de alguno de los supuestos previstos en el art. 56 LOTC que, eventualmente, justificaría la adopción de esa medida provisional, ni se atisba perjuicio alguno para los intereses generales o los derechos fundamentales.</w:t>
      </w:r>
    </w:p>
    <w:p w:rsidR="00FA0779" w:rsidRDefault="00FA0779" w:rsidP="00FA0779">
      <w:pPr>
        <w:pStyle w:val="TextoNormal"/>
      </w:pPr>
    </w:p>
    <w:p w:rsidR="00FA0779" w:rsidRDefault="00FA0779" w:rsidP="00FA0779">
      <w:pPr>
        <w:pStyle w:val="TextoNormal"/>
      </w:pPr>
      <w:r w:rsidRPr="00FA0779">
        <w:rPr>
          <w:rStyle w:val="NumeroAFNegritaCaracter"/>
        </w:rPr>
        <w:t>5</w:t>
      </w:r>
      <w:r>
        <w:t>. La representación procesal del Servicio Valenciano de Salud registró su escrito de alegaciones el día 17 de julio de 1997. En el mismo se señala que al tiempo de solicitarse la suspensión, se desconocía si la Sentencia dictada por la Audiencia Provincial de Valencia había sido ejecutada, añadiéndose que no pueden «invocarse daños irreversibles ocasionados por la no suspensión»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Como recuerda el Ministerio Fiscal en su escrito de alegaciones, es doctrina reiterada y constante de este Tribunal (AATC 141/1990, 35/1996 y 322/1996, entre otros muchos) que la suspensión se configura como una medida provisional de carácter</w:t>
      </w:r>
    </w:p>
    <w:p w:rsidR="00FA0779" w:rsidRDefault="00FA0779" w:rsidP="00FA0779">
      <w:pPr>
        <w:pStyle w:val="TextoNormal"/>
      </w:pPr>
      <w:r>
        <w:t>excepcional y de aplicación restrictiva, dado el interés general en la efectividad de las decisiones de los poderes públicos y, especialmente, en la ejecución de las resoluciones judiciales. Por ello mismo, la suspensión ha de ser denegada cuando los</w:t>
      </w:r>
    </w:p>
    <w:p w:rsidR="00FA0779" w:rsidRDefault="00FA0779" w:rsidP="00FA0779">
      <w:pPr>
        <w:pStyle w:val="TextoNormal"/>
      </w:pPr>
      <w:r>
        <w:t>daños o perjuicios que puedan derivarse de la ejecución de la resolución judicial impugnada en amparo sean de carácter estrictamente económico, pues, por su propia naturaleza, ha de presumiese, en principio, la reparabilidad de los mismos, máxime cuando</w:t>
      </w:r>
    </w:p>
    <w:p w:rsidR="00FA0779" w:rsidRDefault="00FA0779" w:rsidP="00FA0779">
      <w:pPr>
        <w:pStyle w:val="TextoNormal"/>
      </w:pPr>
      <w:r>
        <w:t>no inciden de forma directa en otros intereses de carácter general o en los derechos fundamentales en relación con los que se formuló la demanda de amparo. Finalmente, quien solicita la suspensión ha de cumplir con la carga procesal de argumentar la</w:t>
      </w:r>
    </w:p>
    <w:p w:rsidR="00FA0779" w:rsidRDefault="00FA0779" w:rsidP="00FA0779">
      <w:pPr>
        <w:pStyle w:val="TextoNormal"/>
      </w:pPr>
      <w:r>
        <w:t>concurrencia de alguna de las causas que justificarían acordar la suspensión con arreglo al art. 56 de la LOTC (ATC 322/1996).</w:t>
      </w:r>
    </w:p>
    <w:p w:rsidR="00FA0779" w:rsidRDefault="00FA0779" w:rsidP="00FA0779">
      <w:pPr>
        <w:pStyle w:val="TextoNormal"/>
      </w:pPr>
      <w:r>
        <w:t xml:space="preserve">En el asunto que ahora nos ocupa, la propia Entidad solicitante de amparo reconoció expresamente en este trámite que no pueden invocarse daños irreversibles ocasionados por la no suspensión, lo que unido a la naturaleza exclusivamente económica de los perjuicios </w:t>
      </w:r>
      <w:r>
        <w:lastRenderedPageBreak/>
        <w:t>que hipotéticamente pudieran derivarse en un futuro como consecuencia de la eventual estimación de la demanda de amparo, deja sin apoyatura alguna la solicitud de suspensión que aquí se examina.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denegar la suspensión solicitada.</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8" w:name="AUTO_1997_285"/>
      <w:r>
        <w:lastRenderedPageBreak/>
        <w:t>AUTO 285/1997, de 21 de julio de 1997</w:t>
      </w:r>
    </w:p>
    <w:bookmarkEnd w:id="218"/>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ECLI:ES:TC:1997:285A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713/1997.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que tiene entrada en este Tribunal el 21 de febrero de 1997, el Procurador de los Tribunales don Juan Carlos Estévez Fernández Novoa interpone, en nombre y representación de don Manuel García López, recurso de amparo contra la Sentencia, de 16 de enero de 1997, de la Sección Primera de la Audiencia Provincial de Málaga, que confirmó en apelación la dictada, en fecha 18 de septiembre de 1996, por el Juzgado de lo Penal núm. 1 de Málaga en el procedimiento abreviado núm. 197/96.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de amparo se basa, en síntesis, en los siguientes hechos: </w:t>
      </w:r>
    </w:p>
    <w:p w:rsidR="00FA0779" w:rsidRDefault="00FA0779" w:rsidP="00FA0779">
      <w:pPr>
        <w:pStyle w:val="TextoNormal"/>
      </w:pPr>
      <w:r>
        <w:t xml:space="preserve">a) El hoy recurrente de amparo fue condenado en Sentencia, de 18 de septiembre de 1996, dictada por el Juzgado de lo Penal núm. 1 de Málaga en el procedimiento abreviado núm. 197/96, como autor de un delito de imprudencia temeraria del art. 565.1 y 3 del Código Penal, texto refundido de 1973, a las penas de un año de prisión menor y a la privación del permiso de conducir por período de diez años. Los hechos objeto de la condena ocurrieron el día 10 de octubre de 1994. </w:t>
      </w:r>
    </w:p>
    <w:p w:rsidR="00FA0779" w:rsidRDefault="00FA0779" w:rsidP="00FA0779">
      <w:pPr>
        <w:pStyle w:val="TextoNormal"/>
      </w:pPr>
      <w:r>
        <w:t xml:space="preserve">b) Contra la citada Sentencia interpuso el condenado recurso de apelación ante la Sección Primera de la Audiencia Provincial de Málaga (rollo de apelación núm. 742/96). En el escrito de interposición del recurso el recurrente alegó, entre otros extremos y a los efectos que aquí interesan, la vulneración del principio de legalidad penal por inaplicación de la Disposición adicional primera del Código Penal de 1995, por entender que el art. 142 del mismo era más favorable para él en lo referente a la pena de privación del permiso de conducir impuesta, así como que, en todo caso, la duración de dicha pena de privación del permiso de conducir conforme al Código de 1973 no podía exceder, a su juicio, de seis años y nueve meses. </w:t>
      </w:r>
    </w:p>
    <w:p w:rsidR="00FA0779" w:rsidRDefault="00FA0779" w:rsidP="00FA0779">
      <w:pPr>
        <w:pStyle w:val="TextoNormal"/>
      </w:pPr>
      <w:r>
        <w:t>c) La Sección Primera de la Audiencia Provincial de Málaga, por Sentencia, de 16 de enero de 1997, desestimó el recurso y confirmó íntegramente la Sentencia recurrida.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representación del recurrente alega, en primer término, que la Sentencia dictada en apelación por la Audiencia Provincial vulnera el derecho a la tutela judicial efectiva (art. 24.1 C.E.), en relación con el principio de legalidad penal (art. 25.1 C.E.), por haber </w:t>
      </w:r>
      <w:r>
        <w:lastRenderedPageBreak/>
        <w:t xml:space="preserve">confirmado la Sentencia dictada por el Juzgado de lo Penal, que aplicó el Código Penal de 1973 cuando, a su juicio, era de aplicación el Código Penal de 1995, conforme a lo dispuesto en su Disposición adicional primera, por ser más favorable para el recurrente en lo relativo a la duración de la pena de privación del permiso de conducir. </w:t>
      </w:r>
    </w:p>
    <w:p w:rsidR="00FA0779" w:rsidRDefault="00FA0779" w:rsidP="00FA0779">
      <w:pPr>
        <w:pStyle w:val="TextoNormal"/>
      </w:pPr>
      <w:r>
        <w:t xml:space="preserve">En segundo término, también denuncia la infracción del derecho a la tutela judicial efectiva (art. 24.1 C.E.), en relación con el derecho a un proceso con todas las garantías (art. 24.2 C.E.) por la falta de pronunciamiento de la Audiencia Provincial en la Sentencia de apelación sobre los motivos del recurso. En este sentido alega que dicha Sentencia carece de fundamentación propia y no resuelve la cuestión principal planteada en el recurso, en concreto el hecho de no haberse aplicado la norma penal más favorable para el condenado. En otro orden de cosas, considera que la Audiencia se ha impuesto voluntariamente unos limites para resolver el recurso a apelación, en lo relativo a la valoración de las pruebas practicadas, que supone un límite no justificado del derecho del condenado a la segunda instancia. </w:t>
      </w:r>
    </w:p>
    <w:p w:rsidR="00FA0779" w:rsidRDefault="00FA0779" w:rsidP="00FA0779">
      <w:pPr>
        <w:pStyle w:val="TextoNormal"/>
      </w:pPr>
      <w:r>
        <w:t>En atención a lo expuesto, solicita de este Tribunal que dicte Sentencia otorgando el amparo y anule la Sentencia dictada en grado de apelación por la Audiencia Provincial de Málaga para que dicte otra, previa vista a las partes, en la que se dé cumplimiento de los preceptos constitucionales invocados en el presente recurso. Por «otrosí» pide que se acuerde la suspensión de la ejecución de la Sentencia dado su carácter ejecutorio.</w:t>
      </w:r>
    </w:p>
    <w:p w:rsidR="00FA0779" w:rsidRDefault="00FA0779" w:rsidP="00FA0779">
      <w:pPr>
        <w:pStyle w:val="TextoNormal"/>
      </w:pPr>
    </w:p>
    <w:p w:rsidR="00FA0779" w:rsidRDefault="00FA0779" w:rsidP="00FA0779">
      <w:pPr>
        <w:pStyle w:val="TextoNormal"/>
      </w:pPr>
      <w:r w:rsidRPr="00FA0779">
        <w:rPr>
          <w:rStyle w:val="NumeroAFNegritaCaracter"/>
        </w:rPr>
        <w:t>4</w:t>
      </w:r>
      <w:r>
        <w:t>. Admitido el recurso a trámite y formada la presente pieza de suspensión, la Sección Cuarta de la Sala Segunda de este Tribunal, por providencia de 1 de julio de 1997, acuerda conceder un plazo de tres días al Ministerio Fiscal y al solicitante de amparo para que, dentro de dicho término, formulen las alegaciones que estimen pertinentes sobre la suspensión solicitada.</w:t>
      </w:r>
    </w:p>
    <w:p w:rsidR="00FA0779" w:rsidRDefault="00FA0779" w:rsidP="00FA0779">
      <w:pPr>
        <w:pStyle w:val="TextoNormal"/>
      </w:pPr>
    </w:p>
    <w:p w:rsidR="00FA0779" w:rsidRDefault="00FA0779" w:rsidP="00FA0779">
      <w:pPr>
        <w:pStyle w:val="TextoNormal"/>
      </w:pPr>
      <w:r w:rsidRPr="00FA0779">
        <w:rPr>
          <w:rStyle w:val="NumeroAFNegritaCaracter"/>
        </w:rPr>
        <w:t>5</w:t>
      </w:r>
      <w:r>
        <w:t>. La representación del recurrente, en escrito presentado el 7 de julio de 1997, reitera la petición de suspensión en su día efectuada por consistir la ejecución en la privación de libertad deambulatoria del recurrente, razón por la cual podría causarle un perjuicio que haría perder al amparo su finalidad.</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En su escrito de alegaciones, presentado el 10 de julio de 1997, el Ministerio Fiscal manifiesta que la demanda se dirige contra las Sentencias que condenan al recurrente como autor de un delito de imprudencia temeraria del art. 565 del anterior Código Penal, a las penas de un año de prisión menor, accesorias legales, diez años de privación del permiso de conducción, sin pronunciamiento sobre otras responsabilidades civiles por haber renunciado los perjudicados. En el recurso no se pretende la revocación de la Sentencia condenatoria para que se dicte otra absolutoria, sino para la aplicación retroactiva del nuevo Código Penal, más favorable según el demandante, y exclusivamente en lo que se refiere a la pena de privación del permiso de conducción. </w:t>
      </w:r>
    </w:p>
    <w:p w:rsidR="00FA0779" w:rsidRDefault="00FA0779" w:rsidP="00FA0779">
      <w:pPr>
        <w:pStyle w:val="TextoNormal"/>
      </w:pPr>
      <w:r>
        <w:t>En atención a ello, el Fiscal no se opone a la suspensión de la pena de privación del permiso de conducción, puesto que los márgenes en que ésta puede imponerse, tanto en el antiguo como en el nuevo Código Penal, impiden apreciar cuál sería la diferencia real entre una y otra, que es lo únicamente impugnado en este recurso. Por lo que respecta a la pena privativa de libertad, aunque el demandante no cuestiona la pena impuesta, el hecho de tratarse de una pena privativa de libertad aconseja seguir el criterio general favorable a la suspensión de este tipo de penas, que conlleva necesariamente la de las accesorias lega</w:t>
      </w:r>
      <w:r>
        <w:lastRenderedPageBreak/>
        <w:t xml:space="preserve">les. Por contra, no procede la suspensión de las costas por tratarse de un pronunciamiento de contenido exclusivamente económico y, por tanto, fácilmente resarcible. </w:t>
      </w:r>
    </w:p>
    <w:p w:rsidR="00FA0779" w:rsidRDefault="00FA0779" w:rsidP="00FA0779">
      <w:pPr>
        <w:pStyle w:val="TextoNormal"/>
      </w:pPr>
      <w:r>
        <w:t>Por lo expuesto, el Ministerio Fiscal, a excepción de la condena en costas, no se opone a la suspensión solicitada.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FA0779" w:rsidRDefault="00FA0779" w:rsidP="00FA0779">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17/1980, 257/1986, 249/1989, 141/1990, 284/1995 y 110/1996).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siempre que la suspensión no produzca las perturbaciones graves a las que se refiere el art.  56 de la LOTC. Debiendo entenderse por perjuicio irreparable aquel que provoque que el restablecimiento del recurrente en el derecho constitucional vulnerado sea tardío y convierta en meramente ilusorio y nominal el amparo (por todos, AATC 51/1989, 53/1992 y 290/1995).</w:t>
      </w:r>
    </w:p>
    <w:p w:rsidR="00FA0779" w:rsidRDefault="00FA0779" w:rsidP="00FA0779">
      <w:pPr>
        <w:pStyle w:val="TextoNormal"/>
      </w:pPr>
    </w:p>
    <w:p w:rsidR="00FA0779" w:rsidRDefault="00FA0779" w:rsidP="00FA0779">
      <w:pPr>
        <w:pStyle w:val="TextoNormal"/>
      </w:pPr>
      <w:r w:rsidRPr="00FA0779">
        <w:rPr>
          <w:rStyle w:val="NumeroAFNegritaCaracter"/>
        </w:rPr>
        <w:t>2</w:t>
      </w:r>
      <w:r>
        <w:t>. En el caso que nos ocupa, el recurso se dirige contra la Sentencia, de 16 de enero de 1997, de la Sección Primera de la Audiencia Provincial de Málaga, que desestimó el recurso de apelación y confirmó íntegramente la Sentencia, de 18 de septiembre de 1996, del Juzgado de lo Penal núm. 1 de Málaga, que condenó al hoy recurrente como autor de un delito de imprudencia temeraria del art. 565.1 y 3 del Código Penal, texto refundido de 1973, a las penas de un año de prisión menor, accesorias, pago de las costas procesales y a la privación del permiso de conducir por un período de diez años. La pretensión del recurrente es que se acuerde la nulidad de la Sentencia de apelación antes citada para que la Audiencia Provincial dicte otra en la que resuelva y, en su caso, estime el motivo del recurso referido a la aplicación del Código Penal de 1995, conforme a la Disposición adicional primera del mismo, por ser norma más favorable en lo referente a la pena de privación del permiso de conducir impuesta. En concreto, el recurrente razona, de un lado, que mientras en el art. 142.2 del Código Penal de 1995 el máximo de tiempo de privación del permiso de conducir es de seis años, la condena que le ha sido impuesta, en aplicación del art. 565 del Código Penal de 1973, ha sido de diez años, la máxima de las posibles. De otro lado considera que, en todo caso, conforme al Código Penal de 1973 la pena de privación del permiso de conducir no puede exceder de los seis años y nueve meses -límite máximo del grado medio de la pena- dado que en las Sentencias no se aprecia la concurrencia de circunstancias modificativas de la responsabilidad criminal.</w:t>
      </w:r>
    </w:p>
    <w:p w:rsidR="00FA0779" w:rsidRDefault="00FA0779" w:rsidP="00FA0779">
      <w:pPr>
        <w:pStyle w:val="TextoNormal"/>
      </w:pPr>
      <w:r>
        <w:lastRenderedPageBreak/>
        <w:t>En consecuencia, pues, es evidente que la suspensión o no de la ejecución de la condena ha de referirse exclusivamente a la pena de privación del permiso de conducir, única a la que se refiere el recurso.</w:t>
      </w:r>
    </w:p>
    <w:p w:rsidR="00FA0779" w:rsidRDefault="00FA0779" w:rsidP="00FA0779">
      <w:pPr>
        <w:pStyle w:val="TextoNormal"/>
      </w:pPr>
    </w:p>
    <w:p w:rsidR="00FA0779" w:rsidRDefault="00FA0779" w:rsidP="00FA0779">
      <w:pPr>
        <w:pStyle w:val="TextoNormal"/>
      </w:pPr>
      <w:r w:rsidRPr="00FA0779">
        <w:rPr>
          <w:rStyle w:val="NumeroAFNegritaCaracter"/>
        </w:rPr>
        <w:t>3</w:t>
      </w:r>
      <w:r>
        <w:t>. Delimitada así la petición de suspensión, es preciso ponderar las circunstancias concurrentes en este caso para pronunciarse sobre la procedencia o no de la suspensión solicitada. En primer lugar, el recurrente ha sido condenado como autor de un delito de imprudencia temeraria cometido con vehículo de motor a la pena, entre otras, de privación del permiso de conducir por período de diez años, esto es, el máximo del previsto en el art.  565 del Código Penal, texto refundido de 1973. En segundo lugar, el recurrente sólo discute la duración y extensión de la condena, pues, a su juicio, el período máximo de privación del permiso no puede exceder de seis años si se aplica el Código Penal de 1995 o de seis años y nueve meses si se aplica el Código Penal anterior (texto refundido de 1973).</w:t>
      </w:r>
    </w:p>
    <w:p w:rsidR="00FA0779" w:rsidRDefault="00FA0779" w:rsidP="00FA0779">
      <w:pPr>
        <w:pStyle w:val="TextoNormal"/>
      </w:pPr>
      <w:r>
        <w:t>La ponderación conjunta de dichas circunstancias conducen a denegar la suspensión solicitada, puesto que, de una parte, la ejecución de la condena de privación del permiso de conducir no supone, en modo alguno, como cree el recurrente, la privación de su libertad deambulatoria, pues afecta única y exclusivamente a la autorización para conducir vehículos a motor. De otra parte, estando en discusión sólo cuál es el tiempo máximo de duración de la privación del permiso de conducir, tampoco se derivan necesariamente, por ahora, perjuicios que hagan perder su finalidad al amparo por la posible dilación en su tramitación. La decisión contraria, en cambio, comporta una perturbación del interés general en la ejecución de las resoluciones judiciales, cuya protección merece, en el presente caso, ser prioritaria teniendo en cuenta el delito objeto de condena y la naturaleza y duración de la pena impuesta.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Sala acuerda denegar la suspensión de la ejecución de las Sentencias recurridas en los autos principales de que dimana esta pieza incidental.</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19" w:name="AUTO_1997_286"/>
      <w:r>
        <w:lastRenderedPageBreak/>
        <w:t>AUTO 286/1997, de 21 de julio de 1997</w:t>
      </w:r>
    </w:p>
    <w:bookmarkEnd w:id="219"/>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ECLI:ES:TC:1997:286A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732/1997.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21 de febrero de 1997, el Procurador de los Tribunales don Isidro Orquín Cedenilla, en nombre y representación de don Anastasio Vicente Barrasa Jiménez, interpuso recurso de amparo contra la Sentencia de la Sección Primera de la Audiencia Provincial de Madrid de 21 de enero de 1997, confirmatoria en apelación de las penas impuestas al recurrente por delitos de daños y lesiones por Sentencia del Juzgado de lo Penal núm. 1 de Madrid de 26 de septiembre de 1996.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basa, en síntesis, en los siguientes hechos: </w:t>
      </w:r>
    </w:p>
    <w:p w:rsidR="00FA0779" w:rsidRDefault="00FA0779" w:rsidP="00FA0779">
      <w:pPr>
        <w:pStyle w:val="TextoNormal"/>
      </w:pPr>
      <w:r>
        <w:t xml:space="preserve">a) A consecuencia de un enfrentamiento por temas de circulación con el conductor de un ciclomotor, el hoy demandante de amparo, taxista de profesión, fue condenado por Sentencia del Juzgado de lo Penal núm. 1 de Madrid de 26 de septiembre de 1996 (procedimiento abreviado núm. 197/96), como autor de un delito de daños y otro de lesiones, a las penas de 250.000 pesetas de multa con dieciséis días de arresto sustitutorio en caso de impago, por el delito de daños, y de dieciocho meses de prisión, con las accesorias de suspensión de todo cargo público y derecho de sufragio durante el tiempo de la condena, por el de lesiones, así como al pago de las costas procesales, incluidas las de la acusación particular, y, en concepto de responsabilidad civil, al pago a la víctima de unas indemnizaciones de 97.559 pesetas por los daños, 200.000 pesetas por las lesiones y 200.000 pesetas por las secuelas. </w:t>
      </w:r>
    </w:p>
    <w:p w:rsidR="00FA0779" w:rsidRDefault="00FA0779" w:rsidP="00FA0779">
      <w:pPr>
        <w:pStyle w:val="TextoNormal"/>
      </w:pPr>
      <w:r>
        <w:t>b) Recurrida en apelación dicha Sentencia tanto por el condenado y actual demandante de amparo como por la acusación particular (rollo 13/97), el 21 de enero de 1997 la Sección Primera de la Audiencia Provincial de Madrid dictó Sentencia, mediante la cual, con desestimación del interpuesto por el primero y estimación parcial del presentado por la segunda, confirmó la Sentencia recurrida en todos sus pronunciamientos, salvo respecto de la cuantía de la indemnización por días de incapacidad a consecuencia de las lesiones, que elevó de 200.000 pesetas a 1.200.000 pesetas.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la demanda se imputan a las Sentencias impugnadas, en síntesis, las siguientes lesiones constitucionales: </w:t>
      </w:r>
    </w:p>
    <w:p w:rsidR="00FA0779" w:rsidRDefault="00FA0779" w:rsidP="00FA0779">
      <w:pPr>
        <w:pStyle w:val="TextoNormal"/>
      </w:pPr>
      <w:r>
        <w:lastRenderedPageBreak/>
        <w:t xml:space="preserve">a) Vulneración del derecho a la tutela judicial efectiva, como derecho a la defensa y a la asistencia de Letrado (art. 24 C.E.), por cuanto la primera y única declaración prestada por el actual demandante de amparo en la instrucción de la causa penal, y que dio lugar a la apertura del juicio oral, se llevó a cabo sin la preceptiva asistencia letrada. </w:t>
      </w:r>
    </w:p>
    <w:p w:rsidR="00FA0779" w:rsidRDefault="00FA0779" w:rsidP="00FA0779">
      <w:pPr>
        <w:pStyle w:val="TextoNormal"/>
      </w:pPr>
      <w:r>
        <w:t xml:space="preserve">El actual demandante de amparo fue llamado a declarar en calidad de imputado en las diligencias previas (núm. 5.297/93) abiertas por el Juzgado de Instrucción núm. 3 de Madrid a consecuencia de la denuncia presentada por el conductor del ciclomotor, renunciando en dicha declaración a la asistencia de Letrado. Una vez transformadas dichas diligencias en procedimiento abreviado, se promovió por su representación incidente de nulidad de actuaciones por vulneración de los indicados derechos, que fue desestimado, al igual que el posterior recurso de queja ante la Audiencia Provincial de Madrid. Frente a la misma se interpuso de amparo, inadmitido por prematuro. Las supuestas vulneraciones se reiteraron, sin éxito, al comienzo de las sesiones del juicio oral, y una vez recaída Sentencia condenatoria en la instancia, en el recurso de apelación. </w:t>
      </w:r>
    </w:p>
    <w:p w:rsidR="00FA0779" w:rsidRDefault="00FA0779" w:rsidP="00FA0779">
      <w:pPr>
        <w:pStyle w:val="TextoNormal"/>
      </w:pPr>
      <w:r>
        <w:t xml:space="preserve">b) Vulneración del derecho a la presunción de inocencia (art. 24.2 C.E.), en relación con la condena por delito de daños, por la inexistencia de prueba que la avale. </w:t>
      </w:r>
    </w:p>
    <w:p w:rsidR="00FA0779" w:rsidRDefault="00FA0779" w:rsidP="00FA0779">
      <w:pPr>
        <w:pStyle w:val="TextoNormal"/>
      </w:pPr>
      <w:r>
        <w:t xml:space="preserve">Por todo ello, se solicita en la demanda el otorgamiento del amparo y la anulación de las Sentencias recurridas. </w:t>
      </w:r>
    </w:p>
    <w:p w:rsidR="00FA0779" w:rsidRDefault="00FA0779" w:rsidP="00FA0779">
      <w:pPr>
        <w:pStyle w:val="TextoNormal"/>
      </w:pPr>
      <w:r>
        <w:t>Mediante otrosí se solicita también la suspensión de la ejecución de las mismas, por cuanto su efectividad ocasionaría al recurrente gravísimas consecuencias que harían perder al presente recurso su finalidad.</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30 (le junio de 1997, la Sección Primera de este Tribunal acordó admitir a trámite la demanda de amparo, sin perjuicio de lo que resulte de los antecedentes; a tenor de lo dispuesto en el art. 51 LOTC, requerir atentamente al Juzgado de lo Penal núm. 1 de Madrid y a la Audiencia Provincial de dicha capital para que remitieran testimonio del juicio oral núm. 197/96 y del recurso de apelación núm. 13/97, respectivamente, interesando, al propio tiempo, el emplazamiento de cuantos fueron parte en el procedimiento judicial, excepto el recurrente en amparo, para su posible comparecencia en el presente proceso constitucional; y, conforme a lo solicitado por la parte actora, formar la correspondiente pieza separada de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la misma fecha, la Sección Primera acordó tener por formada la presente pieza separada de suspensión y, de conformidad con lo previsto en el art. 56 LOTC, conceder al Ministerio Fiscal y al solicitante del amparo un plazo común de tres días para alegaciones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Mediante escrito presentado en el Juzgado de Guardia el 7 de julio de 1997 y registrado en este Tribunal tres días después, la representación del recurrente reiteró la solicitud de suspensión de la ejecución de las Sentencia recurcidas, en relación con todos sus pronunciamientos, alegando como fundamento de la misma la doctrina del Tribunal en la materia. </w:t>
      </w:r>
    </w:p>
    <w:p w:rsidR="00FA0779" w:rsidRDefault="00FA0779" w:rsidP="00FA0779">
      <w:pPr>
        <w:pStyle w:val="TextoNormal"/>
      </w:pPr>
      <w:r>
        <w:t xml:space="preserve">En relación con el pago de las responsabilidades civiles (que suman por todos los conceptos la cifra de 1.497.559 pesetas) y costas, apela a las excepciones que la indicada doctrina reconoce a la regla general de no suspensión (ATC 118/1996). El recurrente, por su profesión de taxista, no cuenta con unos ingresos fijos mensuales, que, en todo caso, no son elevados, los únicos con los que se mantiene la unidad familiar (esposa y tres hijos), y </w:t>
      </w:r>
      <w:r>
        <w:lastRenderedPageBreak/>
        <w:t xml:space="preserve">con los que difícilmente puede atender el pago de las mensualidades de 75.000 pesetas fijadas para la extinción de dichas responsabilidades pecuniarias, en garantía del cual le ha sido embargada la vivienda familiar, con la advertencia (por providencia del Juzgado de Ejecución núm. 2 de Madrid de 9 de abril pasado, en la ejecutoria núm. 167/97) de sacarla a pública subasta en caso de impago de alguna de las mensualidades, lo cual, de llegar a producirse, supondría un perjuicio de imposible reparación. </w:t>
      </w:r>
    </w:p>
    <w:p w:rsidR="00FA0779" w:rsidRDefault="00FA0779" w:rsidP="00FA0779">
      <w:pPr>
        <w:pStyle w:val="TextoNormal"/>
      </w:pPr>
      <w:r>
        <w:t>Entiende, pues, que en este caso procede también la suspensión de la ejecución de los pronunciamientos con efectos económicos, por estar ya garantizado en autos el pago de las responsabilidades pecuniarias mediante el embargo de la vivienda familiar, y atendiendo, además, a las especiales circunstancias personales del recurrente.</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Mediante escrito registrado el 11 de julio de 1997, el Ministerio Fiscal entiende que, en aplicación de la doctrina de este Tribunal, procede: </w:t>
      </w:r>
    </w:p>
    <w:p w:rsidR="00FA0779" w:rsidRDefault="00FA0779" w:rsidP="00FA0779">
      <w:pPr>
        <w:pStyle w:val="TextoNormal"/>
      </w:pPr>
      <w:r>
        <w:t xml:space="preserve">Suspender la ejecución de la pena privativa de libertad impuesta, por cuanto el delito por el que ha sido condenado el recurrente es un delito de lesiones común y la duración de la pena es susceptible de suspensión. </w:t>
      </w:r>
    </w:p>
    <w:p w:rsidR="00FA0779" w:rsidRDefault="00FA0779" w:rsidP="00FA0779">
      <w:pPr>
        <w:pStyle w:val="TextoNormal"/>
      </w:pPr>
      <w:r>
        <w:t>No suspender los pronunciamientos relativos al pago de una pena pecuniaria, costas e indemnizaciones, porque, estando el recurrente declarado solvente, tal pago no provoca ningún perjuicio irreparable que pueda hacer inútil el recurso de amparo, cuya efectividad no impedirá que en su caso las cosas puedan ser de vueltas al estado anterior a la ejecución.</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A0779" w:rsidRDefault="00FA0779" w:rsidP="00FA0779">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FA0779" w:rsidRDefault="00FA0779" w:rsidP="00FA0779">
      <w:pPr>
        <w:pStyle w:val="TextoNormal"/>
      </w:pPr>
      <w:r>
        <w:t>Conforme a tal criterio interpretativo,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la regla general viene siendo la suspensión de su ejecución, por la irreparabilidad del perjuicio que ocasionaría su cumplimiento durante la tramitación del recurso de amparo si finalmente éste se otorgara, aun cuando caben excepciones atendiendo a la gravedad de los hechos y a la duración de la pena impuesta. Del mismo modo, se suele acceder a la suspensión de las penas accesorias legales de las privativas de libertad durante el tiempo de la condena, por entender que han de seguir la misma suerte que la pena principal a la que acompañan.</w:t>
      </w:r>
    </w:p>
    <w:p w:rsidR="00FA0779" w:rsidRDefault="00FA0779" w:rsidP="00FA0779">
      <w:pPr>
        <w:pStyle w:val="TextoNormal"/>
      </w:pPr>
      <w:r>
        <w:lastRenderedPageBreak/>
        <w:t>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general en aquellos supuestos en que por razón de la cuantía de la condena pecuniaria o por las circunstancias que concurran en el caso, su cumplimiento podría ocasionar daños irreparables, los cuales, no obstante, habrán de ser siempre acreditados, cuando menos mediante un principio razonable de prueba. Igualmente tiene una excepción específica para los supuestos en que la pena de multa lleve como anexo el arresto sustitutorio en caso de impago, en cuyo caso este Tribunal suele acordar que se suspenda su ejecución si el condenado deviniera insolvente (AATC 321/1995, 118/1996 y 122/1996).</w:t>
      </w:r>
    </w:p>
    <w:p w:rsidR="00FA0779" w:rsidRDefault="00FA0779" w:rsidP="00FA0779">
      <w:pPr>
        <w:pStyle w:val="TextoNormal"/>
      </w:pPr>
      <w:r>
        <w:t>Finalmente, cuando se trata de la ejecución de resoluciones judiciales determinantes de la venta en pública subasta de un inmueble, la regla general viene siendo también el otorgamiento de la suspensión, debido a las dificultades que podría encontrar el recurrente para recuperarlo una vez adquirido por un tercero de buena fe (AATC 52/1989, 24/1996 y 59/1996, entre otros recientes).</w:t>
      </w:r>
    </w:p>
    <w:p w:rsidR="00FA0779" w:rsidRDefault="00FA0779" w:rsidP="00FA0779">
      <w:pPr>
        <w:pStyle w:val="TextoNormal"/>
      </w:pPr>
    </w:p>
    <w:p w:rsidR="00FA0779" w:rsidRDefault="00FA0779" w:rsidP="00FA0779">
      <w:pPr>
        <w:pStyle w:val="TextoNormal"/>
      </w:pPr>
      <w:r w:rsidRPr="00FA0779">
        <w:rPr>
          <w:rStyle w:val="NumeroAFNegritaCaracter"/>
        </w:rPr>
        <w:t>2</w:t>
      </w:r>
      <w:r>
        <w:t>. Aplicando los anteriores criterios al caso presente, procede acordar la suspensión de la ejecución de las Sentencias impugnadas por lo que respecta a la pena privativa de libertad de dieciocho meses de prisión impuesta al demandante de amparo por el delito de lesiones, así como por lo que se refiere a las accesorias legales de suspensión de todo cargo público y derecho de sufragio durante el tiempo de la condena. Procede igualmente la suspensión de la ejecución de la pena de multa de 250.000 pesetas, impuesta por el delito de daños, en el caso de que su impago por insolvencia diera lugar a la imposición del arresto sustitutorio de dieciséis días.</w:t>
      </w:r>
    </w:p>
    <w:p w:rsidR="00FA0779" w:rsidRDefault="00FA0779" w:rsidP="00FA0779">
      <w:pPr>
        <w:pStyle w:val="TextoNormal"/>
      </w:pPr>
      <w:r>
        <w:t>No procede, en cambio, acordar la suspensión de la ejecución de dichas Sentencias en lo relativo al pago de las costas procesales y de las indemnizaciones a la víctima en concepto de responsabilidades civiles, debido a sus efectos, en principio, meramente económicos, y, por lo tanto, fácilmente resarcibles llegado el caso.</w:t>
      </w:r>
    </w:p>
    <w:p w:rsidR="00FA0779" w:rsidRDefault="00FA0779" w:rsidP="00FA0779">
      <w:pPr>
        <w:pStyle w:val="TextoNormal"/>
      </w:pPr>
      <w:r>
        <w:t>Las circunstancias personales del recurrente alegadas en favor de la suspensión, también, de estas responsabilidades económicas no ponen de manifiesto la imposibilidad de hacer frente a las mismas, en la forma y con la periodicidad establecida en fase de ejecución, por lo que resultan insuficientes para exceptuar, en este caso, la aplicación de la regla general.  Tampoco autoriza a exceptuarla, de momento, la circunstancia de que en garantía del abono de dichas cantidades se haya establecido el embargo de la vivienda familiar, ya que el riesgo de venta en pública subasta de la misma, no es, por el momento, un riesgo actual, y su evitación se encuentra, en principio, en manos del recurrente. Ello sin perjuicio de la posibilidad de solicitar de este Tribunal, al amparo del art. 57 LOTC, la modificación de esta decisión si por circunstancias sobrevenidas, actualmente no concurrentes, resultara imposible hacer frente al pago de las indicadas responsabilidades civiles y se concretara efectivamente, por decisión de los órganos judiciales encargados de la ejecución, el riesgo de enajenación del inmueble embargado.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w:t>
      </w:r>
    </w:p>
    <w:p w:rsidR="00FA0779" w:rsidRDefault="00FA0779" w:rsidP="00FA0779">
      <w:pPr>
        <w:pStyle w:val="TextoNormal"/>
      </w:pPr>
      <w:r>
        <w:t>1.1 Haber lugar a la suspensión de la ejecución de las Sentencias impugnadas del Juzgado de lo Penal núm. 1 de Madrid y de la Sección Primera de la Audiencia Provincial de Madrid en cuanto a la pena privativa de libertad de dieciocho meses de prisión</w:t>
      </w:r>
    </w:p>
    <w:p w:rsidR="00FA0779" w:rsidRDefault="00FA0779" w:rsidP="00FA0779">
      <w:pPr>
        <w:pStyle w:val="TextoNormal"/>
      </w:pPr>
      <w:r>
        <w:t>impuesta al demandante de amparo, y en cuanto a las accesorias legales de suspensión de todo cargo público y derecho de sufragio durante el tiempo de la condena; así como en relación con la pena de multa de 250.000 pesetas, caso de que su impago por</w:t>
      </w:r>
    </w:p>
    <w:p w:rsidR="00FA0779" w:rsidRDefault="00FA0779" w:rsidP="00FA0779">
      <w:pPr>
        <w:pStyle w:val="TextoNormal"/>
      </w:pPr>
      <w:r>
        <w:t>insolvencia diera lugar a la imposición del arresto sustitutorio de dieciséis días.</w:t>
      </w:r>
    </w:p>
    <w:p w:rsidR="00FA0779" w:rsidRDefault="00FA0779" w:rsidP="00FA0779">
      <w:pPr>
        <w:pStyle w:val="TextoNormal"/>
      </w:pPr>
      <w:r>
        <w:t>2.º No haber lugar, por el momento, a la suspensión de la ejecución de dichas Sentencias en cuanto al pago de las costas procesales y de las indemnizaciones a la víctima en concepto de responsabilidades civiles.</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0" w:name="AUTO_1997_287"/>
      <w:r>
        <w:lastRenderedPageBreak/>
        <w:t>AUTO 287/1997, de 21 de julio de 1997</w:t>
      </w:r>
    </w:p>
    <w:bookmarkEnd w:id="220"/>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ECLI:ES:TC:1997:287A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suspensión de la ejecución del acto que origina el recurso de amparo 741/1997.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con fecha 24 de febrero de 1997 la representación procesal del demandante ha interpuesto recurso de amparo contra la providencia de 10 de febrero de 1997, del Juzgado de Primera Instancia núm. 31 de los de Madrid, por la que se acuerda el lanzamiento de los demandantes de diversos locales y naves, al considerar extinguida la relación arrendaticia en virtud del cual los ocupaban.</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de que trae causa la presente demanda de amparo y que son relevantes para la resolución sobre la petición de suspensión, son, en síntesis, los siguientes: </w:t>
      </w:r>
    </w:p>
    <w:p w:rsidR="00FA0779" w:rsidRDefault="00FA0779" w:rsidP="00FA0779">
      <w:pPr>
        <w:pStyle w:val="TextoNormal"/>
      </w:pPr>
      <w:r>
        <w:t xml:space="preserve">a) Las sociedades mercantiles recurrentes suscribieron a lo largo de 1995 y 1996 diversos contratos de arrendamiento de varios locales y naves en el polígono industrial de Villaverde (Madrid). </w:t>
      </w:r>
    </w:p>
    <w:p w:rsidR="00FA0779" w:rsidRDefault="00FA0779" w:rsidP="00FA0779">
      <w:pPr>
        <w:pStyle w:val="TextoNormal"/>
      </w:pPr>
      <w:r>
        <w:t>b) A instancias del Banco Hipotecario de España se siguió juicio sumario ejecutivo contra la entidad propietaria de los locales. en ejecución de una garantía hipotecaria, en el cual se acordó la adjudicación de las fincas en favor de la citada entidad bancaria acreedora, a la que se otorgó posesión de las fincas mediante providencia de 29 de abril de 1996 que se notificó a las demandantes a las que se confirió un plazo de quince días para que alegaran lo que tuvieren por conveniente en orden a la extinción de sus derechos arrendaticios. Las pretensiones planteadas fueron desestimadas por Auto de 31 de diciembre de 1996. El recurso de apelación planteado frente a éste fue admitido a trámite en un solo efecto, por lo que, por providencia de 10 de febrero de 1997, se acordó la práctica del lanzamiento de los recurrentes.</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La demanda de amparo, que articula su queja en virtud del art. 44 LOTC, imputa a la resolución judicial recurrida vulneración del art. 24.1 C.E. que se habría producido por no haber sido oídos en el procedimiento que llevó a la adjudicación de la finca hipotecada a la entidad acreedora. </w:t>
      </w:r>
    </w:p>
    <w:p w:rsidR="00FA0779" w:rsidRDefault="00FA0779" w:rsidP="00FA0779">
      <w:pPr>
        <w:pStyle w:val="TextoNormal"/>
      </w:pPr>
      <w:r>
        <w:t>Asimismo, y por otrosí, solicitan, la suspensión de la ejecución de la resolución recurrida.</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La Sección Cuarta (Sala Segunda), mediante providencia de fecha 27 de mayo de 1997, acordó admitir a trámite el recurso de amparo, y dirigir comunicación al órgano judicial a fin de que, en el plazo de diez días, emplazara a quienes hubieran sido parte en el proceso de que trae causa la presente litis.</w:t>
      </w:r>
    </w:p>
    <w:p w:rsidR="00FA0779" w:rsidRDefault="00FA0779" w:rsidP="00FA0779">
      <w:pPr>
        <w:pStyle w:val="TextoNormal"/>
      </w:pPr>
    </w:p>
    <w:p w:rsidR="00FA0779" w:rsidRDefault="00FA0779" w:rsidP="00FA0779">
      <w:pPr>
        <w:pStyle w:val="TextoNormal"/>
      </w:pPr>
      <w:r w:rsidRPr="00FA0779">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FA0779" w:rsidRDefault="00FA0779" w:rsidP="00FA0779">
      <w:pPr>
        <w:pStyle w:val="TextoNormal"/>
      </w:pPr>
    </w:p>
    <w:p w:rsidR="00FA0779" w:rsidRDefault="00FA0779" w:rsidP="00FA0779">
      <w:pPr>
        <w:pStyle w:val="TextoNormal"/>
      </w:pPr>
      <w:r w:rsidRPr="00FA0779">
        <w:rPr>
          <w:rStyle w:val="NumeroAFNegritaCaracter"/>
        </w:rPr>
        <w:t>6</w:t>
      </w:r>
      <w:r>
        <w:t>. Mediante sendos escritos de fecha 2 y 5 de junio de 1997, las entidades recurrentes en amparo y el Ministerio Fiscal han presentado sus alegaciones en el incidente de suspensión, reiterando aquéllas la petición de suspensión y alegando perjuicios irreparables en la actividad mercantil de sus representadas en el caso de que se lleve a cabo el lanzamiento. Por su parte el Ministerio Fiscal muestra su criterio favorable a la petición de suspensión de la resolución impugnada en esta sede ya que entiende que pese a que cabe entender que el lanzamiento de los arrendatarios no produce una situación irreversible si el amparo prosperase, o si en definitiva no se produjera el desahucio, es lo cierto que la entrega de los locales al adjudicatario daría lugar a una situación de difícil retorno a su estado inicial, dados los poderes de disposición del nuevo poseedor.</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FA0779" w:rsidRDefault="00FA0779" w:rsidP="00FA0779">
      <w:pPr>
        <w:pStyle w:val="TextoNormal"/>
      </w:pPr>
      <w:r>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FA0779" w:rsidRDefault="00FA0779" w:rsidP="00FA0779">
      <w:pPr>
        <w:pStyle w:val="TextoNormal"/>
      </w:pPr>
      <w:r>
        <w:t xml:space="preserve">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w:t>
      </w:r>
      <w:r>
        <w:lastRenderedPageBreak/>
        <w:t>Queda a salvo el supuesto expresamente previsto en la LOTC y aún en este caso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FA0779" w:rsidRDefault="00FA0779" w:rsidP="00FA0779">
      <w:pPr>
        <w:pStyle w:val="TextoNormal"/>
      </w:pPr>
    </w:p>
    <w:p w:rsidR="00FA0779" w:rsidRDefault="00FA0779" w:rsidP="00FA0779">
      <w:pPr>
        <w:pStyle w:val="TextoNormal"/>
      </w:pPr>
      <w:r w:rsidRPr="00FA0779">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En general hemos dicho que las resoluciones judiciales con efectos meramente patrimoniales, como la aquí impugnada,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ó 275/1990). 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y 52/1989, entre otros) hemos accedido eventualmente a la suspensión.</w:t>
      </w:r>
    </w:p>
    <w:p w:rsidR="00FA0779" w:rsidRDefault="00FA0779" w:rsidP="00FA0779">
      <w:pPr>
        <w:pStyle w:val="TextoNormal"/>
      </w:pPr>
      <w:r>
        <w:t>En el caso concreto que analizamos, como se ha expuesto en los antecedentes de esta resolución, los demandantes de amparo, si bien tras la adjudicación del inmueble a la entidad acreedora, fueron oídos en el procedimiento sumario de ejecución y se les permitió alegar sobre la preferencia de su derecho arrendaticio sobre la hipoteca que se ejecutaba. El éxito del amparo conllevaría únicamente la posibilidad de participación de las entidades arrendatarias demandantes en la fase previa del proceso sumario de ejecución, con la limitada intervención que los terceros poseedores tienen en la misma, y por ello no garantizaría un pronunciamiento sobre la inviabilidad del procedimiento ejecutivo instado ni sobre los efectos que la adjudicación a terceros produciría sobre los contratos de arrendamiento posteriores a la hipoteca.</w:t>
      </w:r>
    </w:p>
    <w:p w:rsidR="00FA0779" w:rsidRDefault="00FA0779" w:rsidP="00FA0779">
      <w:pPr>
        <w:pStyle w:val="TextoNormal"/>
      </w:pPr>
      <w:r>
        <w:t xml:space="preserve">Es cierto también que la ejecución de la providencia impugnada mediante el lanzamiento supondría la materialización de la transmisión del dominio acordada con todas sus consecuencias creando una situación jurídica difícilmente reversible. Tales circunstancias nos llevan a adoptar la medida cautelar pretendida. Ahora bien, en la medida en que con ello se hace inefectiva la tutela judicial obtenida por la entidad acreedora que promovió el juicio hipotecario, se hace necesario un contrapeso para conseguir el justo equilibrio de los intereses en conflicto, mediante la exigencia de afianzamiento suficiente, cuya cuantía dejamos al prudente arbitrio del Juez encargado de llevar a puro y debido término lo decidido, quien habrá de concretar también la modalidad o modalidades en que aquél pueda materializarse dentro de las admitidas en Derecho, para asegurar a la contraparte la eventual indemnización de los perjuicios que pudiera sufrir como consecuencia de la medida </w:t>
      </w:r>
      <w:r>
        <w:lastRenderedPageBreak/>
        <w:t>cautelar adoptada y el objetivo retraso en que en su ejecución ésta produce si al final de este proceso triunfaran sus pretensiones.</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suspender la ejecución de providencia de 10 de febrero de 1997, del Juzgado de Primera Instancia núm. 31 de los de Madrid por la que se acuerda el lanzamiento de los demandantes de amparo, condicionando dicha suspensión a</w:t>
      </w:r>
    </w:p>
    <w:p w:rsidR="00FA0779" w:rsidRDefault="00FA0779" w:rsidP="00FA0779">
      <w:pPr>
        <w:pStyle w:val="TextoNormal"/>
      </w:pPr>
      <w:r>
        <w:t>la previa prestación de fianza por parte de éstos, en la cuantía, modalidad y condiciones que establezca el Juez encargado de la ejecución para responder de los perjuicios económicos que pudieran ocasionarse con esta medida cautelar a la entidad</w:t>
      </w:r>
    </w:p>
    <w:p w:rsidR="00FA0779" w:rsidRDefault="00FA0779" w:rsidP="00FA0779">
      <w:pPr>
        <w:pStyle w:val="TextoNormal"/>
      </w:pPr>
      <w:r>
        <w:t>promotora del juicio donde tal providencia fue dictada.</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1" w:name="AUTO_1997_288"/>
      <w:r>
        <w:lastRenderedPageBreak/>
        <w:t>AUTO 288/1997, de 21 de julio de 1997</w:t>
      </w:r>
    </w:p>
    <w:bookmarkEnd w:id="221"/>
    <w:p w:rsidR="00FA0779" w:rsidRDefault="00FA0779" w:rsidP="00FA0779">
      <w:pPr>
        <w:pStyle w:val="TtuloResolucin"/>
      </w:pPr>
      <w:r>
        <w:t>Sala Segunda</w:t>
      </w:r>
    </w:p>
    <w:p w:rsidR="00FA0779" w:rsidRDefault="00FA0779" w:rsidP="00FA0779">
      <w:pPr>
        <w:pStyle w:val="TtuloResolucin"/>
      </w:pPr>
    </w:p>
    <w:p w:rsidR="00FA0779" w:rsidRDefault="00FA0779" w:rsidP="00FA0779">
      <w:pPr>
        <w:pStyle w:val="SntesisDescriptiva"/>
      </w:pPr>
      <w:r>
        <w:t>ECLI:ES:TC:1997:288A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don Rafael de Mendizábal Allende, don Julio D. González Campos, don Carles Viver Pi-Sunyer y don Tomás Salvador Vives Antón.</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1.155/1997.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20 de marzo de 1997, procedente del Juzgado de Guardia de Madrid, tuvo entrada en el Registro de este Tribunal escrito de la representación procesal de don Ángel Isidoro Rodríguez Sáez por medio del cual interpone recurso de amparo contra el Auto de la Sección Tercera de la Sala de lo Penal de la Audiencia Nacional de fecha 20 de febrero anterior, dictada en recurso de apelación núm. 80/96 sobre el del Juzgado Central de Instrucción núm. 5, de 9 de agosto de 1996, en expediente de extradición núm. 30/96, a su vez, previamente confirmado en reforma el día 27 del mismo mes y año.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en que se fundamenta la demanda de amparo son, en síntesis, los siguientes: </w:t>
      </w:r>
    </w:p>
    <w:p w:rsidR="00FA0779" w:rsidRDefault="00FA0779" w:rsidP="00FA0779">
      <w:pPr>
        <w:pStyle w:val="TextoNormal"/>
      </w:pPr>
      <w:r>
        <w:t xml:space="preserve">a) Con causa en la orden de aprehensión dictada el 12 de marzo de 1996 por el Juzgado Primero de Distrito en Materia Penal del Distrito Federal de México, el Juzgado Central de Instrucción núm. 5 dictó, el 29 de julio de 1996, Auto por el que, entre otros extremos, se decretó la prisión provisional incondicional del demandante de amparo, prisión que quedaría sin efecto a los cuarenta y cinco días de no haberse presentado para entonces y en forma la correspondiente demanda de extradición. </w:t>
      </w:r>
    </w:p>
    <w:p w:rsidR="00FA0779" w:rsidRDefault="00FA0779" w:rsidP="00FA0779">
      <w:pPr>
        <w:pStyle w:val="TextoNormal"/>
      </w:pPr>
      <w:r>
        <w:t xml:space="preserve">b) Celebrada ulteriormente la audiencia prevista en el art. 504 bis, 2, L.E.Crim., con fecha 9 de agosto siguiente el propio Juzgado Central acordó sustituir la medida de prisión por la libertad del recurrente bajo fianza de 5.000.000 de pesetas y otra serie de cargas personales. Tal resolución fue confirmada en recurso de reforma, presentado por la Procuraduría General de los EE.UU. de México, por el propio Juzgado, con fecha 27 del mismo mes y año. </w:t>
      </w:r>
    </w:p>
    <w:p w:rsidR="00FA0779" w:rsidRDefault="00FA0779" w:rsidP="00FA0779">
      <w:pPr>
        <w:pStyle w:val="TextoNormal"/>
      </w:pPr>
      <w:r>
        <w:t xml:space="preserve">e) Entretanto, la orden de aprehensión mexicana de 12 de marzo de 1996 fue objeto de un proceso de amparo constitucional en aquella República, en el que recayeron sucesivas decisiones del Juez Decimoprimero de Distrito en Materia Penal del Distrito Federal, de 26 de agosto de 1996, y del Primer Tribunal Colegiado en Materia Penal del Primer Distrito, en grado de revisión, de 11 de diciembre de 1996. En cumplimiento de esta última resolución parece que el Juez Primero de Distrito, del que emanó la orden de aprehensión de 12 de marzo, la dejó insubsistente, con fecha 18 de diciembre. </w:t>
      </w:r>
    </w:p>
    <w:p w:rsidR="00FA0779" w:rsidRDefault="00FA0779" w:rsidP="00FA0779">
      <w:pPr>
        <w:pStyle w:val="TextoNormal"/>
      </w:pPr>
      <w:r>
        <w:lastRenderedPageBreak/>
        <w:t xml:space="preserve">d) Esto no obstante, el mismo Juez Primero de Distrito dictó el 20 de diciembre nueva orden de aprehensión. </w:t>
      </w:r>
    </w:p>
    <w:p w:rsidR="00FA0779" w:rsidRDefault="00FA0779" w:rsidP="00FA0779">
      <w:pPr>
        <w:pStyle w:val="TextoNormal"/>
      </w:pPr>
      <w:r>
        <w:t xml:space="preserve">e) El Auto del Juzgado Central de Instrucción por el que se acordó la libertad bajo fianza del recurrente fue objeto de recurso de apelación, al que se adhirió el Fiscal, recayendo Auto de la Sección Tercera de la Sala de lo Penal de la Audiencia Nacional de fecha 20 de febrero de 1997, notificado el siguiente día 21, por el que se declaró haber lugar al recurso, modificando de nuevo la situación personal del recurrente que quedó sometido a prisión sin fianza. Se fundamentó esta medida con los siguientes razonamientos, que se reproducen literalmente: </w:t>
      </w:r>
    </w:p>
    <w:p w:rsidR="00FA0779" w:rsidRDefault="00FA0779" w:rsidP="00FA0779">
      <w:pPr>
        <w:pStyle w:val="TextoNormal"/>
      </w:pPr>
      <w:r>
        <w:t xml:space="preserve">«Primero: La Orden de detención internacional de 12 de marzo de 1996 dictada por el Juez Primero de Distrito en Materia Penal del Distrito Federal de México en causa 29/96, sigue en principio subsistente según la Resolución de 20 de diciembre de 1996 del Juez Primero citado que obra en autos, dictada después de que la Juez Decimoprimero de Distrito en Materia Penal en el Distrito Federal mediante oficio núm. 30.213 de 16 de diciembre de 1996, comunicase el fallo dictado el 111 de diciembre de 1996 por el Primer Tribunal Colegiado en materia Penal del primer circuito </w:t>
      </w:r>
    </w:p>
    <w:p w:rsidR="00FA0779" w:rsidRDefault="00FA0779" w:rsidP="00FA0779">
      <w:pPr>
        <w:pStyle w:val="TextoNormal"/>
      </w:pPr>
      <w:r>
        <w:t xml:space="preserve">Por esto no pueden acogerse las razones del Letrado del reclamado que interesadamente sólo citó la Sentencia referenciada de 11 de diciembre de 1996, sin que pueda alegarse, por no tener fundamento de que se trata de una persecución política. </w:t>
      </w:r>
    </w:p>
    <w:p w:rsidR="00FA0779" w:rsidRDefault="00FA0779" w:rsidP="00FA0779">
      <w:pPr>
        <w:pStyle w:val="TextoNormal"/>
      </w:pPr>
      <w:r>
        <w:t xml:space="preserve">Segundo: En lo referente a la situación personal de los reclamados en extradición, la práctica habitual de este Tribunal es seguir los dictados del país reclamante, siempre que esa situación no vulnere los preceptos legales españoles sobre el particular. Debiendo añadir, que en general el riesgo de fuga de los reclamados es grande. </w:t>
      </w:r>
    </w:p>
    <w:p w:rsidR="00FA0779" w:rsidRDefault="00FA0779" w:rsidP="00FA0779">
      <w:pPr>
        <w:pStyle w:val="TextoNormal"/>
      </w:pPr>
      <w:r>
        <w:t>Teniendo en cuenta lo anterior, partiendo del hecho objetivo de que el país reclamante solicitó su prisión, que los hechos por los que se le reclama son graves y que el riesgo de fuga es cierto dados los medios económicos ostensibles de que dispone, procede revocar el Auto apelado, acordando la prisión de Ángel Isidoro Rodríguez Sáez.»</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Con anclaje en los derechos fundamentales a la tutela judicial efectiva, a un proceso con todas las garantías, a la legalidad penal non bis in ídem y a la libertad personal, la demanda relata las siguientes vulneraciones de derechos fundamentales: l.ª) Que se admitiera y diera curso a los recursos presentados en el procedimiento extraditorio por la Procuraduría General de los EE.UU. de México, no parte en el proceso en ese momento, quien, por ende, se personó en apelación un mes después de finalizado el término de personación en la apelación. 2.ª) La argumentación en que se apoya la Sala para acordar la imposición de la prisión resulta inconsecuente con la doctrina constitucional relativa al derecho a la libertad y a la legalidad penal por cuanto: </w:t>
      </w:r>
    </w:p>
    <w:p w:rsidR="00FA0779" w:rsidRDefault="00FA0779" w:rsidP="00FA0779">
      <w:pPr>
        <w:pStyle w:val="TextoNormal"/>
      </w:pPr>
      <w:r>
        <w:t xml:space="preserve">A) Entender subsistente «en principio» la orden de aprehensión de 12 de marzo de 1996, lo que demuestra la duda del Tribunal, vulnera la regla interpretativa pro reo; B) La nueva orden de aprehensión de 20 de diciembre de 1996 incurre en patente vulneración del principio non bis in ídem, incluido en el derecho a la legalidad penal, por dictarse respecto a hechos idénticos a los que fundaron la orden de 12 de marzo anterior, luego anulada en proceso de amparo constitucional; C) El riesgo de fuga es inexistente en el caso, como lo demuestra el hecho de que, ya iniciado el procedimiento, se encontrara en libertad desde el 9 de agosto anterior; D) La extradición se fundamenta en delitos no sometidos a pena superior a la de prisión menor, por lo que la imposición de la prisión debiera ser excepcionalísima (art. 503.2 L.E.Crim.); E) El ser práctica del Tribunal seguir los criterios del Estado requirente no es argumento constitucionalmente atendible. </w:t>
      </w:r>
    </w:p>
    <w:p w:rsidR="00FA0779" w:rsidRDefault="00FA0779" w:rsidP="00FA0779">
      <w:pPr>
        <w:pStyle w:val="TextoNormal"/>
      </w:pPr>
      <w:r>
        <w:lastRenderedPageBreak/>
        <w:t>3. La decisión recurrida la reputa el recurrente abiertamente irrazonable, por lo que vulneraría por esto mismo el derecho a la tutela judicial.</w:t>
      </w:r>
    </w:p>
    <w:p w:rsidR="00FA0779" w:rsidRDefault="00FA0779" w:rsidP="00FA0779">
      <w:pPr>
        <w:pStyle w:val="TextoNormal"/>
      </w:pPr>
    </w:p>
    <w:p w:rsidR="00FA0779" w:rsidRDefault="00FA0779" w:rsidP="00FA0779">
      <w:pPr>
        <w:pStyle w:val="TextoNormal"/>
      </w:pPr>
      <w:r w:rsidRPr="00FA0779">
        <w:rPr>
          <w:rStyle w:val="NumeroAFNegritaCaracter"/>
        </w:rPr>
        <w:t>4</w:t>
      </w:r>
      <w:r>
        <w:t>. Por sendas providencias de 9 de junio de 1997, la Sección Tercera acordó admitir a trámite la demanda de amparo y formar pieza para la tramitación de incidente sobre suspensión y conforme determina el art. 56 de la Ley Orgánica de este Tribunal, conceder un plazo común de tres días a la parte recurrente y al Ministerio Fiscal para que alegasen lo que estimaran pertinente sobre dicha suspensión.</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Por escrito registrado en los Juzgados de Guardia de Madrid el 13 de junio de 1997, y el 16 siguiente en este Tribunal, el recurrente interesa la suspensión de la ejecución de la resolución impugnada por el enorme e irreparable perjuicio que entiende le supone seguir en prisión. </w:t>
      </w:r>
    </w:p>
    <w:p w:rsidR="00FA0779" w:rsidRDefault="00FA0779" w:rsidP="00FA0779">
      <w:pPr>
        <w:pStyle w:val="TextoNormal"/>
      </w:pPr>
      <w:r>
        <w:t xml:space="preserve">Alega que no se da ninguno de los requisitos que legalmente se exigen para ordenar tan grave medida. Además, dice, hay un vicio de origen que es la orden de aprehensión liberada que es ilegal por ser inexistente en España, al no haber sido instada ante las autoridades españolas por la única autoridad mejicana con competencia, que es la Secretaría de Relaciones Exteriores como señala el art. 19 del Tratado Bilateral entre España y Méjico. </w:t>
      </w:r>
    </w:p>
    <w:p w:rsidR="00FA0779" w:rsidRDefault="00FA0779" w:rsidP="00FA0779">
      <w:pPr>
        <w:pStyle w:val="TextoNormal"/>
      </w:pPr>
      <w:r>
        <w:t xml:space="preserve">Se afirma en el escrito que «el riesgo de fuga es aquí inexistente, y con ello la ausencia de perturbación grave de los intereses generales, de los derechos fundamentales o libertades públicas de un tercero, y ello porque mi representado no tiene ninguna intención de evadir la acción de la justicia, es más en el momento de acordarse la prisión provisional incondicional de mi representado, su situación era de libertad condicional acordada por Auto de 9 de agosto de 1996 en el marco de este expediente extradicional 30/96, situación en la que permaneció mi representado durante casi dos meses, del 9 de agosto al 7 de octubre de 1996 cumpliendo escrupulosamente todas las condiciones que le fueron impuestas en tal Auto, y así, fue reconocido en la vista de la apelación de 20 de febrero de 1997 por la representación del Gobierno mexicano. Es más mi representado tiene un gran arraigo en España, la familia de mi representado, esposa e hijos españoles, residen en España, asistiendo sus hijos a colegios españoles así como sus padres y familiares más cercanos... Por ello es inadmisible y desproporcionado el seguir manteniendo esta situación cuando existen medidas igualmente válidas, tales como establecer una fianza, vigilancia policial, retirada de pasaporte, designación de teléfono y domicilio donde esté permanentemente localizado, a fin de garantizar la presencia de mi defendido ante la Audiencia Nacional en el expediente de extradición y para que, si es necesario, en su día se garantice la entrega al país requirente, medidas todas ellas referenciadas, en la Ley de Enjuiciamiento Criminal, en la Ley de Extradición Pasiva y en el Tratado Bilateral sobre Extradición y Asistencia judicial en su art. 19.4... por tanto no se perturba el interés general, ya que la presencia del reclamado en el proceso de extradición se puede garantizar con medidas alternativas a la tan gravosa prisión </w:t>
      </w:r>
    </w:p>
    <w:p w:rsidR="00FA0779" w:rsidRDefault="00FA0779" w:rsidP="00FA0779">
      <w:pPr>
        <w:pStyle w:val="TextoNormal"/>
      </w:pPr>
      <w:r>
        <w:t>También invoca la doctrina del Tribunal Constitucional en el sentido de suspender la ejecución cuando dicha resolución ocasionara un perjuicio que haría perder al amparo su finalidad, como entiende se produce en este caso.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por escrito que tuvo entrada en este Tribunal el 17 de junio de 1997, interesa que se deniegue la suspensión de la ejecución del Auto recurrido. </w:t>
      </w:r>
    </w:p>
    <w:p w:rsidR="00FA0779" w:rsidRDefault="00FA0779" w:rsidP="00FA0779">
      <w:pPr>
        <w:pStyle w:val="TextoNormal"/>
      </w:pPr>
      <w:r>
        <w:lastRenderedPageBreak/>
        <w:t>Alega que «entre los supuestos que la doctrina constitucional ha señalado como perturbadores del interés general y, por lo tanto, que pueden justiticar la no suspensión de una resolución denegatoria de una petición de libertad, ocupan un lugar destacado aquellos en que la prisión provisional se funda en el riesgo o peligro de fuga (ATC 169/1995), habiéndose expresado que la declaración de tal peligro por dos instancias judiciales distintas es suficiente para poder afirmar la realidad del riesgo, no correspondiendo al Tribunal Constitucional entrar a dilucidar esa realidad. Por otra parte, existe un indudable interés general en que los tratados y compromisos internacionales en materia de extradición suscritos por el Estado español sean cumplidos, lo que no podía tener lugar si no se adoptasen las medidas necesarias para asegurar SU cumplimiento, entre las que la prisión provisional ocupa un lugar destacado».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En el recurso de amparo interpuesto contra el Auto de la Sección Tercera de la Sala de lo Penal de la Audiencia Nacional de 20 de febrero de 1997, dictado en el expediente de extradición núm. 30/96 resolviendo la apelación interpuesta contra el Auto del Juzgado Central núm. 5, de 9 de agosto de 1996, y acordando la prisión sin fianza del recurrente, se nos ha solicitado, una vez admitido el amparo, la suspensión del referido Auto. Y a tal efecto habremos de tener en cuenta que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00FA0779" w:rsidRDefault="00FA0779" w:rsidP="00FA0779">
      <w:pPr>
        <w:pStyle w:val="TextoNormal"/>
      </w:pPr>
    </w:p>
    <w:p w:rsidR="00FA0779" w:rsidRDefault="00FA0779" w:rsidP="00FA0779">
      <w:pPr>
        <w:pStyle w:val="TextoNormal"/>
      </w:pPr>
      <w:r w:rsidRPr="00FA0779">
        <w:rPr>
          <w:rStyle w:val="NumeroAFNegritaCaracter"/>
        </w:rPr>
        <w:t>2</w:t>
      </w:r>
      <w:r>
        <w:t>. Este Tribunal ha consagrado el criterio de que cuando el recurso de amparo tiene como objeto resoluciones que establecen medidas privativas de libertad, la ejecución de las mismas vacía de toda trascendencia práctica efectiva a las Sentencias que con posterioridad puedan otorgar el amparo solicitado, haciéndoles así perder su finalidad. Igualmente hemos advertido que, cuando lo que se recurre son resoluciones judiciales, existe un interés general en su ejecución. Para que la suspensión pueda producirse, la perturbación del interés general debe ser grave y debe apreciarse en cada caso atendiendo a las circunstancias específicas que concurren en cada una de las resoluciones judiciales recurridas,</w:t>
      </w:r>
    </w:p>
    <w:p w:rsidR="00FA0779" w:rsidRDefault="00FA0779" w:rsidP="00FA0779">
      <w:pPr>
        <w:pStyle w:val="TextoNormal"/>
      </w:pPr>
      <w:r>
        <w:t>En el presente caso, el peligro de fuga no es una hipótesis genérica o abstracta, sino que ha sido apreciado por los órganos judiciales. Entrar a dilucidar si el peligro es real no corresponde a este Tribunal que carece de la inmediación respecto de los hechos que sí han tenido los órganos judiciales y a partir de cuya ponderación han resuelto (ATC 169/1995). Por otra parte el tipo de delitos que se le imputan y las circunstancias personales y objetivas que concurren en el caso de autos, permiten sostener que una eventual fuga del recurrente podría producir graves perturbaciones del interés general e incluso de derechos de terceros. Por otra parte, en este caso, la suspensión equivaldría a un otorgamiento anticipado del amparo.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lastRenderedPageBreak/>
        <w:t>ACUERDA</w:t>
      </w:r>
    </w:p>
    <w:p w:rsidR="00FA0779" w:rsidRDefault="00FA0779" w:rsidP="00FA0779">
      <w:pPr>
        <w:pStyle w:val="TextoNormalCentrado"/>
      </w:pPr>
    </w:p>
    <w:p w:rsidR="00FA0779" w:rsidRDefault="00FA0779" w:rsidP="00FA0779">
      <w:pPr>
        <w:pStyle w:val="TextoNormal"/>
      </w:pPr>
      <w:r>
        <w:t>Por todo lo expuesto, la Sala acuerda no haber lugar a la suspensión solicitada.</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2" w:name="AUTO_1997_289"/>
      <w:r>
        <w:lastRenderedPageBreak/>
        <w:t>AUTO 289/1997, de 21 de julio de 1997</w:t>
      </w:r>
    </w:p>
    <w:bookmarkEnd w:id="222"/>
    <w:p w:rsidR="00FA0779" w:rsidRDefault="00FA0779" w:rsidP="00FA0779">
      <w:pPr>
        <w:pStyle w:val="TtuloResolucin"/>
      </w:pPr>
      <w:r>
        <w:t>Sala Primera</w:t>
      </w:r>
    </w:p>
    <w:p w:rsidR="00FA0779" w:rsidRDefault="00FA0779" w:rsidP="00FA0779">
      <w:pPr>
        <w:pStyle w:val="TtuloResolucin"/>
      </w:pPr>
    </w:p>
    <w:p w:rsidR="00FA0779" w:rsidRDefault="00FA0779" w:rsidP="00FA0779">
      <w:pPr>
        <w:pStyle w:val="SntesisDescriptiva"/>
      </w:pPr>
      <w:r>
        <w:t>ECLI:ES:TC:1997:289A</w:t>
      </w:r>
    </w:p>
    <w:p w:rsidR="00FA0779" w:rsidRDefault="00FA0779" w:rsidP="00FA0779">
      <w:pPr>
        <w:pStyle w:val="SntesisDescriptiva"/>
      </w:pPr>
    </w:p>
    <w:p w:rsidR="00FA0779" w:rsidRDefault="00FA0779" w:rsidP="00FA0779">
      <w:pPr>
        <w:pStyle w:val="SntesisDescriptiva"/>
      </w:pPr>
      <w:r>
        <w:t>Excms. Srs. don Álvaro Rodríguez Bereijo, don José Vicente Gimeno Sendra, don Pedro Cruz Villalón, don Enrique Ruiz Vadillo, don Manuel Jiménez de Parga y Cabrera y don Pablo García Manzano.</w:t>
      </w:r>
    </w:p>
    <w:p w:rsidR="00FA0779" w:rsidRDefault="00FA0779" w:rsidP="00FA0779">
      <w:pPr>
        <w:pStyle w:val="SntesisDescriptiva"/>
      </w:pPr>
    </w:p>
    <w:p w:rsidR="00FA0779" w:rsidRDefault="00FA0779" w:rsidP="00FA0779">
      <w:pPr>
        <w:pStyle w:val="SntesisDescriptiva"/>
      </w:pPr>
      <w:r>
        <w:t>Denegando la suspensión de la ejecución del acto que origina el recurso de amparo 1.266/1997.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26 de marzo de 1997, don Paulino Rodríguez Peñamaría. Procurador de los Tribunales, en nombre y representación de don Francisco Javier González López, interpuso recurso de amparo contra las providencias del Juzgado de Primera Instancia núm. 2 de Madrid, de 25 de febrero y 14 de marzo de 1997. en autos de juicio ejecutivo núm. 623/96.</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La demanda se fundamenta en los siguientes hechos: </w:t>
      </w:r>
    </w:p>
    <w:p w:rsidR="00FA0779" w:rsidRDefault="00FA0779" w:rsidP="00FA0779">
      <w:pPr>
        <w:pStyle w:val="TextoNormal"/>
      </w:pPr>
      <w:r>
        <w:t xml:space="preserve">El Juzgado de Primera Instancia núm. 2 de Madrid dictó providencia de 17 de marzo de 1997, en autos de juicio ejecutivo núm. 623/96, seguido contra el hoy recurrente en amparo por la que se acordó librar exhorto al Juzgado de Primera Instancia núm. 55 de Madrid, participando el embargo trabado sobre determinados avales bancarios, al objeto de quedar retenidos a disposición del citado Juzgado de Primera Instancia núm. 2. </w:t>
      </w:r>
    </w:p>
    <w:p w:rsidR="00FA0779" w:rsidRDefault="00FA0779" w:rsidP="00FA0779">
      <w:pPr>
        <w:pStyle w:val="TextoNormal"/>
      </w:pPr>
      <w:r>
        <w:t xml:space="preserve">Contra dicha resolución se interpuso recurso de reposición, en virtud del art. 377 de la Ley de Enjuiciamiento Civil, citándose como expresamente infringidos los arts. 1.822 y 1.827 del Código Civil, que fue inadmitido por providencia de 25 de febrero de 1997, por no citarse la disposición de la Ley de Enjuiciamiento Civil. </w:t>
      </w:r>
    </w:p>
    <w:p w:rsidR="00FA0779" w:rsidRDefault="00FA0779" w:rsidP="00FA0779">
      <w:pPr>
        <w:pStyle w:val="TextoNormal"/>
      </w:pPr>
      <w:r>
        <w:t>Frente a esta última providencia se formuló nuevamente recurso de reposición, dictando el Juzgado de Primera Instancia núm. 2, providencia de 14 de marzo de 1997, declarando no haber lugar a la admisión del recurso de reposición «toda vez que según el párrafo segundo del art. 377 de la Ley de Enjuiciamiento Civil, no cabe recurso contra la providencia dictada».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El recurrente estima vulnerado su derecho a la tutela judicial efectiva (art. 24.1. C.E.), en su vertiente de derecho a los recursos, por entender que cabe recurso de reposición, al amparo del art. 377 de la Ley de Enjuiciamiento Civil, no sólo cuando se fundamente en la infracción de normas procesales (L.E.C.), sino también en preceptos de carácter sustantivo. </w:t>
      </w:r>
    </w:p>
    <w:p w:rsidR="00FA0779" w:rsidRDefault="00FA0779" w:rsidP="00FA0779">
      <w:pPr>
        <w:pStyle w:val="TextoNormal"/>
      </w:pPr>
      <w:r>
        <w:lastRenderedPageBreak/>
        <w:t>Por otrosí solicita, al amparo de lo dispuesto en el art. 56 de la LOTC, la suspensión sin afianzamiento de la ejecución de la providencia impugnada, pues de llevarse aquélla a efecto, se le ocasionaría un perjuicio que haría perder al amparo su finalidad.</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8 de julio de 1997, la Sección Segunda de este Tribunal acordó la admisión a trámite de la demanda de amparo, sin perjuicio de lo que resultare de los antecedentes, así como, a tenor de lo dispuesto en el art. 51 de la Ley Orgánica de este Tribunal, requerir al Juzgado de Primera Instancia núm. 2 de Madrid, para que remitiere testimonio del juicio ejecutivo núm. 623/96, interesándole al propio tiempo que emplazase a quienes fueron parte en el referido procedimiento, con excepción del demandante en amparo, para que en el plazo de diez días pudieran comparecer en el presente proceso constitucional.</w:t>
      </w:r>
    </w:p>
    <w:p w:rsidR="00FA0779" w:rsidRDefault="00FA0779" w:rsidP="00FA0779">
      <w:pPr>
        <w:pStyle w:val="TextoNormal"/>
      </w:pPr>
    </w:p>
    <w:p w:rsidR="00FA0779" w:rsidRDefault="00FA0779" w:rsidP="00FA0779">
      <w:pPr>
        <w:pStyle w:val="TextoNormal"/>
      </w:pPr>
      <w:r w:rsidRPr="00FA0779">
        <w:rPr>
          <w:rStyle w:val="NumeroAFNegritaCaracter"/>
        </w:rPr>
        <w:t>5</w:t>
      </w:r>
      <w:r>
        <w:t>. Por otra providencia de la misma fecha, la Sección Segunda acordó formar pieza separada de suspensión y, de conformidad con lo prevenido en el art. 56 LOTC, conceder un plazo común de tres días al Ministerio Fiscal y al solicitante del amparo, para que, dentro de dicho término, alegaren lo que estimasen pertinente en relación con la petición de suspensión.</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mediante escrito de 11 de julio de 1997, se opuso a la suspensión de las resoluciones recurridas en amparo. </w:t>
      </w:r>
    </w:p>
    <w:p w:rsidR="00FA0779" w:rsidRDefault="00FA0779" w:rsidP="00FA0779">
      <w:pPr>
        <w:pStyle w:val="TextoNormal"/>
      </w:pPr>
      <w:r>
        <w:t xml:space="preserve">Dice, en primer término, que solicitándose la suspensión de providencias que inadmiten un recurso de reposición contra una resolución que decreta el embargo de dos avales prestados por un Banco para garantizar la ejecución provisional de una Sentencia dictada en un procedimiento diferente, no procede decretar la pretendida suspensión, pues tendría el mismo efecto que la admisión del recurso de reposición. lo que precisamente constituye el objeto del presente amparo. </w:t>
      </w:r>
    </w:p>
    <w:p w:rsidR="00FA0779" w:rsidRDefault="00FA0779" w:rsidP="00FA0779">
      <w:pPr>
        <w:pStyle w:val="TextoNormal"/>
      </w:pPr>
      <w:r>
        <w:t xml:space="preserve">Sí lo que se pretende, en definitiva. es impedir el embargo de los avales, tampoco procedería la suspensión, pues produciría un efecto más amplio que el amparo solicitado, ya que se lograría por este medio la suspensión, lo solicitado en cuanto al fondo en el recurso de reposición. </w:t>
      </w:r>
    </w:p>
    <w:p w:rsidR="00FA0779" w:rsidRDefault="00FA0779" w:rsidP="00FA0779">
      <w:pPr>
        <w:pStyle w:val="TextoNormal"/>
      </w:pPr>
      <w:r>
        <w:t>En segundo término, se trata de resoluciones con efectos meramente económicos, que en principio no causan ningún perjuicio irreparable, puesto que tampoco se expone en la demanda razonamiento alguno que lo acredite.</w:t>
      </w:r>
    </w:p>
    <w:p w:rsidR="00FA0779" w:rsidRDefault="00FA0779" w:rsidP="00FA0779">
      <w:pPr>
        <w:pStyle w:val="TextoNormal"/>
      </w:pPr>
    </w:p>
    <w:p w:rsidR="00FA0779" w:rsidRDefault="00FA0779" w:rsidP="00FA0779">
      <w:pPr>
        <w:pStyle w:val="TextoNormal"/>
      </w:pPr>
      <w:r w:rsidRPr="00FA0779">
        <w:rPr>
          <w:rStyle w:val="NumeroAFNegritaCaracter"/>
        </w:rPr>
        <w:t>7</w:t>
      </w:r>
      <w:r>
        <w:t>. El recurrente, mediante escrito que tuvo su entrada en el Registro de este Tribunal el 14 de julio de 1997, reitera su solicitud, alegando que, de no accederse a ella, el Juzgado de Primera Instancia núm. 55 de Madrid podría declarar insuficientes los avales presentados ante dicho Juzgado, para proseguir la ejecución provisional, solicitando su ampliación, lo que le produciría perjuicios dada su insolvencia económica, mientras que el Juzgado de Primera Instancia núm. 2 seguiría adelante por la vía de apremio, ejecutando los mismos.</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xml:space="preserve">. Según dispone el art. 56.1 LOTC, la Sala que conozca de un recurso de amparo acordará la suspensión del acto de los poderes públicos, por razón del cual se reclame el </w:t>
      </w:r>
      <w:r>
        <w:lastRenderedPageBreak/>
        <w:t>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FA0779" w:rsidRDefault="00FA0779" w:rsidP="00FA0779">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FA0779" w:rsidRDefault="00FA0779" w:rsidP="00FA0779">
      <w:pPr>
        <w:pStyle w:val="TextoNormal"/>
      </w:pPr>
    </w:p>
    <w:p w:rsidR="00FA0779" w:rsidRDefault="00FA0779" w:rsidP="00FA0779">
      <w:pPr>
        <w:pStyle w:val="TextoNormal"/>
      </w:pPr>
      <w:r w:rsidRPr="00FA0779">
        <w:rPr>
          <w:rStyle w:val="NumeroAFNegritaCaracter"/>
        </w:rPr>
        <w:t>2</w:t>
      </w:r>
      <w:r>
        <w:t>. Lo anteriormente expuesto conduce a que debe denegarse la suspensión de la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un perjuicio que no pudiera ser reparado.</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la Sala acuerda denegar la suspensión solicitada.</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3" w:name="AUTO_1997_290"/>
      <w:r>
        <w:lastRenderedPageBreak/>
        <w:t>AUTO 290/1997, de 21 de julio de 1997</w:t>
      </w:r>
    </w:p>
    <w:bookmarkEnd w:id="223"/>
    <w:p w:rsidR="00FA0779" w:rsidRDefault="00FA0779" w:rsidP="00FA0779">
      <w:pPr>
        <w:pStyle w:val="TtuloResolucin"/>
      </w:pPr>
      <w:r>
        <w:t>Sección Tercera</w:t>
      </w:r>
    </w:p>
    <w:p w:rsidR="00FA0779" w:rsidRDefault="00FA0779" w:rsidP="00FA0779">
      <w:pPr>
        <w:pStyle w:val="TtuloResolucin"/>
      </w:pPr>
    </w:p>
    <w:p w:rsidR="00FA0779" w:rsidRDefault="00FA0779" w:rsidP="00FA0779">
      <w:pPr>
        <w:pStyle w:val="SntesisDescriptiva"/>
      </w:pPr>
      <w:r>
        <w:t>ECLI:ES:TC:1997:290A</w:t>
      </w:r>
    </w:p>
    <w:p w:rsidR="00FA0779" w:rsidRDefault="00FA0779" w:rsidP="00FA0779">
      <w:pPr>
        <w:pStyle w:val="SntesisDescriptiva"/>
      </w:pPr>
    </w:p>
    <w:p w:rsidR="00FA0779" w:rsidRDefault="00FA0779" w:rsidP="00FA0779">
      <w:pPr>
        <w:pStyle w:val="SntesisDescriptiva"/>
      </w:pPr>
      <w:r>
        <w:t>Excms. Srs. don José Gabaldón López, don Fernando García-Mon y González-Regueral y don Julio D. González Campos.</w:t>
      </w:r>
    </w:p>
    <w:p w:rsidR="00FA0779" w:rsidRDefault="00FA0779" w:rsidP="00FA0779">
      <w:pPr>
        <w:pStyle w:val="SntesisDescriptiva"/>
      </w:pPr>
    </w:p>
    <w:p w:rsidR="00FA0779" w:rsidRDefault="00FA0779" w:rsidP="00FA0779">
      <w:pPr>
        <w:pStyle w:val="SntesisDescriptiva"/>
      </w:pPr>
      <w:r>
        <w:t>Acordando la inadmisión a trámite del recurso de amparo 1.582/1997.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recurrente, mediante escrito registrado en los Juzgados de Guardia de Madrid el 14 de abril de 1997 y dos días después en este Tribunal, interpuso recurso de amparo constitucional contra la Sentencia de 21 de noviembre de 1996, dictada por la Sala de lo Contencioso-Administrativo (Sección Sexta) del Tribunal Superior de Justicia de Madrid en el recurso núm. 373/94, y por la que se estimó parcialmente la pretensión actora.</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En la vía judicial previa, el recurrente impugnó dos Decretos de la Concejalía competente del Ayuntamiento de Madrid, por los que se le trasladaba provisionalmente a un nuevo destino y se le reconocía un nivel consolidado de complemento de destino 16. Entendía que tanto el traslado ordenado como el nivel reconocido eran contrarios a Derecho. Igualmente, interesaba de forma expresa en el suplico de la demanda una doble indemnización que expresamente se condicionaba «a escrito de conclusiones»: a) Una cantidad (1.200.00 pesetas) por la imposibilidad de ejercer la abogacía a resultas de la nueva plaza que se le adjudicaba puesto que la anterior era compatible y así expresamente se lo había reconocido la Administración, y b) Otra cantidad (4.000.000 de pesetas) por daños morales. </w:t>
      </w:r>
    </w:p>
    <w:p w:rsidR="00FA0779" w:rsidRDefault="00FA0779" w:rsidP="00FA0779">
      <w:pPr>
        <w:pStyle w:val="TextoNormal"/>
      </w:pPr>
      <w:r>
        <w:t xml:space="preserve">En el curso del proceso, interesó la práctica de un amplio conjunto de pruebas, de las cuales el órgano judicial únicamente estimó pertinentes la documentación y la pericial, rechazando la de confesión, reconocimiento judicial y la testifical. </w:t>
      </w:r>
    </w:p>
    <w:p w:rsidR="00FA0779" w:rsidRDefault="00FA0779" w:rsidP="00FA0779">
      <w:pPr>
        <w:pStyle w:val="TextoNormal"/>
      </w:pPr>
      <w:r>
        <w:t xml:space="preserve">Abierto el pertinente trámite en relación con la pericial propuesta, consistente básicamente en requerir del Colegio de Abogados de Madrid informes sobre los perjuicios patrimoniales derivados de la imposibilidad de ejercer la abogacía, así como la repercusión que una prohibición injusta pudiera tener sobre la esfera profesional del actor, la Administración demandada se opuso a la práctica de la misma, lo que fue confirmado por la Sala mediante Auto en cuyo fundamento de Derecho único se declaró su intrascendencia para la resolución del asunto, acordándose no haber lugar a su práctica. </w:t>
      </w:r>
    </w:p>
    <w:p w:rsidR="00FA0779" w:rsidRDefault="00FA0779" w:rsidP="00FA0779">
      <w:pPr>
        <w:pStyle w:val="TextoNormal"/>
      </w:pPr>
      <w:r>
        <w:t xml:space="preserve">En la Sentencia se estimó parcialmente la demanda con apoyo, substancialmente, en los siguientes argumentos: 1.º El Decreto municipal de traslado es contrario a Derecho y, por tanto, nulo, por carecer de la debida motivación; 2.º El Decreto sobre la consolidación de nivel es ajustado a Derecho, y 3.º No proceden las indemnizaciones interesadas porque se condicionaron expresamente al escrito de conclusiones, trámite que no puede existir por </w:t>
      </w:r>
      <w:r>
        <w:lastRenderedPageBreak/>
        <w:t>tratarse de un procedimiento de personal y por la falta absoluta de prueba sobre el particular.</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su demanda de amparo aduce el recurrente la vulneración de su derecho a la prueba ex art. 24.2 C.E., a una tutela judicial efectiva y a un proceso sin delaciones indebidas. </w:t>
      </w:r>
    </w:p>
    <w:p w:rsidR="00FA0779" w:rsidRDefault="00FA0779" w:rsidP="00FA0779">
      <w:pPr>
        <w:pStyle w:val="TextoNormal"/>
      </w:pPr>
      <w:r>
        <w:t>Denuncia la vulneración del derecho a la prueba en relación con las pretensiones indemnizatorias formuladas en el proceso judicial previo. Manifiesta que, tras la admisión inicial de la pericial consistente en solicitar un informe del Colegio de Abogados sobre los perjuicios eventualmente ocasionados al actor por la imposibilidad de ejercer la abogacía a resultas del Decreto municipal expresamente declarado nulo, el órgano judicial denegó su práctica.</w:t>
      </w:r>
    </w:p>
    <w:p w:rsidR="00FA0779" w:rsidRDefault="00FA0779" w:rsidP="00FA0779">
      <w:pPr>
        <w:pStyle w:val="TextoNormal"/>
      </w:pPr>
    </w:p>
    <w:p w:rsidR="00FA0779" w:rsidRDefault="00FA0779" w:rsidP="00FA0779">
      <w:pPr>
        <w:pStyle w:val="TextoNormal"/>
      </w:pPr>
      <w:r w:rsidRPr="00FA0779">
        <w:rPr>
          <w:rStyle w:val="NumeroAFNegritaCaracter"/>
        </w:rPr>
        <w:t>4</w:t>
      </w:r>
      <w:r>
        <w:t>. La Sección Tercera, por providencia de 2 de junio de 1997, acordó, de conformidad con lo dispuesto en el núm. 3 del art. 50 de la LOTC, conceder al demandante de amparo y al Ministerio Fiscal el plazo común de diez días para que formulasen, tras las aportaciones documentales precedentes, las alegaciones que estimaran pertinentes en relación con la carencia manifiesta de contenido constitucional de la demanda -art. 50.1 c-.</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Por escrito registrado en este Tribunal el 18 de junio de 1997, el recurrente alega «que habiendo pedido en tiempo y forma el sometimiento del pleito a prueba y la concreción de las mismas (documental, testifical, exhibición de Ebro de ingresos y gastos profesionales, pericial e inspección ocular) ninguna de estas pruebas son admitidas por la Sala de lo Contencioso-Administrativo del Tribunal Superior de Justicia de Madrid. Luego. si únicamente mediante estas pruebas podía llegar la Sala Sentenciadora al conocimiento del daño moral y material producidos al funcionario durante cuatro años, casi que injustamente se le ha privado de su plaza en el Teatro Español y de ejercer en su tiempo libre (mañanas) la abogacía ante los Tribunales con pérdida de ingresos económicos, en ningún caso puede llegar el Constitucional a la conclusión de carencia manifiesta de contenido constitucional... Dicha denegación, suficientemente documentada, razonada y fundada, en demanda, está vedada en nuestra Constitución, estableciendo en el 24.2 el acogimiento como derecho fundamental el uso de los medios de prueba pertinentes para su defensa... La Sentencia recurrida dice en el cuarto fundamento de derecho, refiriéndose a la reclamación de daños materiales y morales, del mismo modo en ambos, que no «pueden prosperar atendida la falta absoluta de prueba sobre la que pueda asentarse». Hubiera sido más ajustado a Derecho afirmar que no podía prosperar porque el Tribunal obstaculizó las pruebas al punto de denegarlas todas aquellas que conducían a los fines requeridos (daños morales y materiales). Decir la Sentencia recurrida, en su cuarto fundamento de derecho, para denegar las indemnizaciones solicitadas, que además condicionaba el demandante la reclamación al escrito de conclusiones, es ignorar la posibilidad que tenía el actor vía art. 84 c) de la L.J.C.A., ante el error material manifiesto sufrido por el actor [art. 117 por el 84 c)] de establecer la cuantía de los daños en el momento de ejecución de Sentencia. El art. 78 de la L.J.C.A. no es de aplicación en casos de personal, como el presente, pero reside la misma virtualidad pretendida por el actor en el mencionado precepto 84 c); por tanto, cabe argumentar que en el 78 no reside la posibilidad pretendida, pero no por ello debe cerrarse el camino que ofrece el 84 c), tanto más, cuanto lo que pretende el actor en la demanda contenciosa es saber la cuantía del daño, dependiendo de la mayor o menor prolongación </w:t>
      </w:r>
      <w:r>
        <w:lastRenderedPageBreak/>
        <w:t>del proceso en el tiempo, como efectivamente así ha resultado... Por otra parte, si en ese momento procesal (art. 78) no es posible la determinación de la cuantía de los daños, no puede cerrársele la vía que le deja el precepto 84 c) para el momento de la ejecución de la Sentencia, sin incurrir, por suerte, de un formalismo brutal (irracional), en la intutela judicial, como derecho fundamental (24.1 C.E.)... Dice nuestra Constitución, en el art. 24.2, y los derechos que dicho precepto guarda son fundamentales, que todas las personas tienen derecho «a un proceso público sin dilaciones indebidas». ¿Puede considerarse «debida» la dilación que ha sufrido el procedimiento que se analiza? ¿Son «debidos» los tres años empleados en hacer justicia a este ciudadano? Si se considera que no es materia de amparo o que carece manifiestamente de contenido constitucional. la conclusión parece obvia, pero hay que expresarla: Un contencioso-administrativo tan simple como el presente, no obstante las reiteradas denuncias con apoyo en el precepto constitucional, que ha transcurrido por los trescientos sesenta y cinco días que tiene cada año, durante tres años, se entiende que ha protegido adecuada y justamente a este ciudadano. Y esto no es cierto. No se puede llegar a esa conclusión disparatada, por absurda, sin echar abajo todo un ordenamiento jurídico sustentador de un Estado de Derecho».</w:t>
      </w:r>
    </w:p>
    <w:p w:rsidR="00FA0779" w:rsidRDefault="00FA0779" w:rsidP="00FA0779">
      <w:pPr>
        <w:pStyle w:val="TextoNormal"/>
      </w:pPr>
    </w:p>
    <w:p w:rsidR="00FA0779" w:rsidRDefault="00FA0779" w:rsidP="00FA0779">
      <w:pPr>
        <w:pStyle w:val="TextoNormal"/>
      </w:pPr>
      <w:r w:rsidRPr="00FA0779">
        <w:rPr>
          <w:rStyle w:val="NumeroAFNegritaCaracter"/>
        </w:rPr>
        <w:t>6</w:t>
      </w:r>
      <w:r>
        <w:t xml:space="preserve">. El Ministerio Fiscal, por escrito que tuvo entrada en este Tribunal el 20 de junio de 1997, interesa se inadmita el recurso de amparo por carecer manifiestamente de contenido constitucional. También alega la posible extemporaneidad de la demanda. </w:t>
      </w:r>
    </w:p>
    <w:p w:rsidR="00FA0779" w:rsidRDefault="00FA0779" w:rsidP="00FA0779">
      <w:pPr>
        <w:pStyle w:val="TextoNormal"/>
      </w:pPr>
      <w:r>
        <w:t>Manifiesta que «el motivo de amparo tiende simplemente a tratar de someter a revisión el juicio de pertinencia realizado por la Sala del Tribunal Superior de Justicia de Madrid, lo que no constituye materia propia del recurso de amparo». En cuanto a la alegada vulneración del derecho a la tutela judicial efectiva, al rechazar la petición de indemnización por haberse condicionado al escrito de conclusiones, entiende aplicable la STC 90/1986, en el sentido de que el cumplimiento de los requisitos procesales es de orden público y de carácter imperativo, pero también considera suficiente la explicación de la propia Sentencia, que se centra en la falta de prueba idónea para demostrar la existencia del perjuicio legal. En relación a las dilaciones indebidas, el Ministerio Fiscal afirma «que el propio recurrente no alegó durante su tramitación el retraso aludido, salvo en el escrito de formalización de la demanda, en el que tan sólo hacía referencia a la tardanza de cuatro meses para la notificación de la providencia para la presentación de aquélla. El actor no volvió a hacer ninguna reclamación ante el Tribunal ni instó en ningún momento la rápida substanciación del proceso, no dando ocasión al órgano judicial de reparar su supuesta inactividad ... ».</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0270E8">
        <w:rPr>
          <w:rStyle w:val="NumeroAFNegritaCaracter"/>
        </w:rPr>
        <w:t>Único.</w:t>
      </w:r>
      <w:r>
        <w:t xml:space="preserve"> El derecho fundamental a un juicio conlleva con carácter instrumental el derecho a la defensa con las pruebas necesarias, pero, como recuerda el Ministerio Fiscal, en este caso, el motivo de amparo se limita a someter a revisión la valoración de</w:t>
      </w:r>
    </w:p>
    <w:p w:rsidR="00FA0779" w:rsidRDefault="00FA0779" w:rsidP="00FA0779">
      <w:pPr>
        <w:pStyle w:val="TextoNormal"/>
      </w:pPr>
      <w:r>
        <w:t>pertinencia realizada por los órganos judiciales, lo que no corresponde a este Tribunal, salvo manifiesta arbitrariedad, irrazonabilidad o error, supuestos que no se dan. Y esto mismo puede decirse de la invocada rigurosidad formal en que habría</w:t>
      </w:r>
    </w:p>
    <w:p w:rsidR="00FA0779" w:rsidRDefault="00FA0779" w:rsidP="00FA0779">
      <w:pPr>
        <w:pStyle w:val="TextoNormal"/>
      </w:pPr>
      <w:r>
        <w:t>incurrido el órgano judicial al recordar la improcedencia en estos procesos de los escritos de conclusiones, pues, en definitiva, la cuestión se resolvió por el órgano judicial como consecuencia de falta de la prueba necesaria. En relación a la dilación</w:t>
      </w:r>
    </w:p>
    <w:p w:rsidR="00FA0779" w:rsidRDefault="00FA0779" w:rsidP="00FA0779">
      <w:pPr>
        <w:pStyle w:val="TextoNormal"/>
      </w:pPr>
      <w:r>
        <w:lastRenderedPageBreak/>
        <w:t>indebida, la ausencia de reclamaciones que oportunamente hubiese reiterado el recurrente, invocándola durante el proceso, nos exime de cualquier razonamiento ulterior.</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todo lo expuesto, la Sección acuerda no admitir a trámite este recurso de amparo y que se archiven las actuaciones.</w:t>
      </w:r>
    </w:p>
    <w:p w:rsidR="00FA0779" w:rsidRDefault="00FA0779" w:rsidP="00FA0779">
      <w:pPr>
        <w:pStyle w:val="TextoNormal"/>
      </w:pPr>
    </w:p>
    <w:p w:rsidR="00FA0779" w:rsidRDefault="00FA0779" w:rsidP="00FA0779">
      <w:pPr>
        <w:pStyle w:val="TextoNormal"/>
      </w:pPr>
      <w:r>
        <w:t>Madrid, a veintiuno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4" w:name="AUTO_1997_291"/>
      <w:r>
        <w:lastRenderedPageBreak/>
        <w:t>AUTO 291/1997, de 22 de julio de 1997</w:t>
      </w:r>
    </w:p>
    <w:bookmarkEnd w:id="224"/>
    <w:p w:rsidR="00FA0779" w:rsidRDefault="00FA0779" w:rsidP="00FA0779">
      <w:pPr>
        <w:pStyle w:val="TtuloResolucin"/>
      </w:pPr>
      <w:r>
        <w:t>Sección Cuarta</w:t>
      </w:r>
    </w:p>
    <w:p w:rsidR="00FA0779" w:rsidRDefault="00FA0779" w:rsidP="00FA0779">
      <w:pPr>
        <w:pStyle w:val="TtuloResolucin"/>
      </w:pPr>
    </w:p>
    <w:p w:rsidR="00FA0779" w:rsidRDefault="00FA0779" w:rsidP="00FA0779">
      <w:pPr>
        <w:pStyle w:val="SntesisDescriptiva"/>
      </w:pPr>
      <w:r>
        <w:t>ECLI:ES:TC:1997:291A</w:t>
      </w:r>
    </w:p>
    <w:p w:rsidR="00FA0779" w:rsidRDefault="00FA0779" w:rsidP="00FA0779">
      <w:pPr>
        <w:pStyle w:val="SntesisDescriptiva"/>
      </w:pPr>
    </w:p>
    <w:p w:rsidR="00FA0779" w:rsidRDefault="00FA0779" w:rsidP="00FA0779">
      <w:pPr>
        <w:pStyle w:val="SntesisDescriptiva"/>
      </w:pPr>
      <w:r>
        <w:t>Excms. Srs. don Carles Viver Pi-Sunyer y don Tomás Salvador Vives Antón.</w:t>
      </w:r>
    </w:p>
    <w:p w:rsidR="00FA0779" w:rsidRDefault="00FA0779" w:rsidP="00FA0779">
      <w:pPr>
        <w:pStyle w:val="SntesisDescriptiva"/>
      </w:pPr>
    </w:p>
    <w:p w:rsidR="00FA0779" w:rsidRDefault="00FA0779" w:rsidP="00FA0779">
      <w:pPr>
        <w:pStyle w:val="SntesisDescriptiva"/>
      </w:pPr>
      <w:r>
        <w:t>Acordando la inadmisión a trámite del recurso de amparo 562/1997.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ante este Tribunal el día 12 de febrero de 1997, el Procurador de los Tribunales don Argimiro Vázquez Guillén, en nombre y representación de la mercantil «Canalsatélite Digital, S. L.», asistida del Letrado don Diego Córdoba Gracia, interpuso demanda de amparo constitucional contra el art. 1.2, en relación con la Disposición adicional única, y el art. 3 del Real Decreto-ley 1/1997, de 31 de enero.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En su demanda de amparo aduce la recurrente que las normas legales objeto de impugnación introducen graves trabas al ejercicio de su actividad y a la recepción de sus emisiones por los usuarios. Se vulneran, así, su derecho a la libertad de expresión e información ex art. 20.1 a) y d) de la Constitución. </w:t>
      </w:r>
    </w:p>
    <w:p w:rsidR="00FA0779" w:rsidRDefault="00FA0779" w:rsidP="00FA0779">
      <w:pPr>
        <w:pStyle w:val="TextoNormal"/>
      </w:pPr>
      <w:r>
        <w:t xml:space="preserve">De la lectura de la demanda se deducen sin dificultad dos grandes bloques argumentales: </w:t>
      </w:r>
    </w:p>
    <w:p w:rsidR="00FA0779" w:rsidRDefault="00FA0779" w:rsidP="00FA0779">
      <w:pPr>
        <w:pStyle w:val="TextoNormal"/>
      </w:pPr>
      <w:r>
        <w:t xml:space="preserve">a) Uno, tendente a justificar la naturaleza autoaplicativa de las normas legales impugnadas y la viabilidad procesal, en estos casos, de un recurso de amparo directo contra normas con valor de ley que -como ahora ocurre- revisten la forma de Decreto-ley con arreglo a lo dispuesto en el art. 86 de la Constitución. </w:t>
      </w:r>
    </w:p>
    <w:p w:rsidR="00FA0779" w:rsidRDefault="00FA0779" w:rsidP="00FA0779">
      <w:pPr>
        <w:pStyle w:val="TextoNormal"/>
      </w:pPr>
      <w:r>
        <w:t>b) Un segundo bloque, de contenido propiamente material, y referido a la libertad de creación de empresas de telecomunicaciones, insistiéndose en la dimensión europea del problema planteado por afectar a un «espacio común de libertad» y en el principio de intervención mínima del Estado en relación con el ejercicio de los derechos fundamentales que reconocen los arts. 20.1 a) y d) de la Constitución.</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la Sección Cuarta de 7 de mayo de 1997, se acordó abrir el trámite previsto en el art. 50.3 LOTC y, en su consecuencia, conceder a la demandante y al Ministerio Fiscal, en plazo común de diez días, para que formulasen las alegaciones que estimasen pertinentes en relación con la eventual concurrencia de las causas de inadmisión previstas en los apartados a) y c) del art. 50.3 LOTC.</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El día 22 de mayo de 1997 registró su escrito de alegaciones la representación procesal de la demandante. Con apoyo en lo previamente argumentado en el escrito de demanda se insistió tanto sobre la viabilidad procesal de la demanda como sobre la dimensión constitucional del problema planteado. </w:t>
      </w:r>
    </w:p>
    <w:p w:rsidR="00FA0779" w:rsidRDefault="00FA0779" w:rsidP="00FA0779">
      <w:pPr>
        <w:pStyle w:val="TextoNormal"/>
      </w:pPr>
      <w:r>
        <w:lastRenderedPageBreak/>
        <w:t xml:space="preserve">En relación con lo primero se precisó que no existe precedente alguno de un recurso de amparo interpuesto contra un Decreto-ley y que, ni en el tenor de la Constitución ni en el de la LOTC hay elemento alguno que justifique la inadmisión de un recurso de amparo contra una norma legal de esa naturaleza. Antes bien, la referencia en los arts. 41 y 43 LOTC a las «disposiciones» sin un ulterior calificativo, supone cobertura legal bastante para impugnar directamente mediante el remedio del amparo un Real Decreto-ley. Lo único excluido del objeto del amparo es la ley formal. De sólito, y como consecuencia del principio de subsidiariedad que informa el proceso de amparo constitucional, no será posible la impugnación directa de un Real Decreto-ley. Pero esta regla general tiene una excepción evidente: La de aquellos preceptos de un Real Decreto-ley que resulten «autoaplicativos», esto es, que afecten al status jurídico de una persona de manera inmediata, sin necesidad de acto de aplicación alguno. De no admitirse esta posibilidad, se dejaría un ámbito de inmunidad al poder ejecutivo, mediante la conversión en norma de lo que no es más que un acto con el fin de impedir toda reacción posible por parte de los destinatarios de las normas. </w:t>
      </w:r>
    </w:p>
    <w:p w:rsidR="00FA0779" w:rsidRDefault="00FA0779" w:rsidP="00FA0779">
      <w:pPr>
        <w:pStyle w:val="TextoNormal"/>
      </w:pPr>
      <w:r>
        <w:t>De otro lado, y en lo que se refiere al contenido de la demanda. insiste esta representación en el hecho de que las normas impugnadas vulneran directamente tanto el derecho a la creación de medios de comunicación como la libertad de emisión. Tan es así que la razón de ser de las normas que se impugnan no es otra que la de impedir el ejercicio de las libertades públicas mencionadas. La exigencia de autorización previa y de inscripción en el registro especial supone una quiebra del principio de intervención mínima del Estado y, por tanto, una interferencia ilegítima en la esfera de libertad de la demandante, desconociéndose, además, la normativa comunitaria sobre la materia. Todo ello ha de conducir a que se otorgue el amparo solicitado.</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Ministerio Fiscal registró su alegato el día 5 de junio de 1997. Tras una sucinta exposición del objeto del recurso y de las pretensiones de la actora, considera el Ministerio Público que concurre la primera de las causas de inadmisión que motivaron la apertura del presente trámite. </w:t>
      </w:r>
    </w:p>
    <w:p w:rsidR="00FA0779" w:rsidRDefault="00FA0779" w:rsidP="00FA0779">
      <w:pPr>
        <w:pStyle w:val="TextoNormal"/>
      </w:pPr>
      <w:r>
        <w:t xml:space="preserve">Se señala al respecto que el art. 86 C.E. califica al Real Decreto-ley como «Disposición legislativa provisional», mientras que los arts. 161 C.E. y 2.1 LOTC, al establecer las competencias del Tribunal Constitucional, le atribuyen el conocimiento del recurso de inconstitucionalidad «contra leyes y disposiciones normativas con fuerza de ley». Desde esta perspectiva constitucional, ha de afirmarse que el Decreto-ley, con todas las limitaciones, tanto de índole temporal como objetiva, que establece el art. 86 C.E., tiene el mismo rango que una Ley aprobada en Cortes y, por tanto, en principio, sólo sería susceptible de control de constitucionalidad, pero no de ser objeto de un recurso de amparo. </w:t>
      </w:r>
    </w:p>
    <w:p w:rsidR="00FA0779" w:rsidRDefault="00FA0779" w:rsidP="00FA0779">
      <w:pPr>
        <w:pStyle w:val="TextoNormal"/>
      </w:pPr>
      <w:r>
        <w:t xml:space="preserve">Por otra parte, es de señalar que el art. 43 LOTC, al aludir al recurso de amparo contra disposiciones, actos o simples vías de hecho de los poderes públicos, expresamente indica que aquél procederá «una vez que se haya agotado la vía judicial procedente», lo que resulta imposible en el caso de Decretos-leyes, significando que bajo la expresión «disposiciones» se está haciendo referencia exclusivamente a las de rango reglamentario. </w:t>
      </w:r>
    </w:p>
    <w:p w:rsidR="00FA0779" w:rsidRDefault="00FA0779" w:rsidP="00FA0779">
      <w:pPr>
        <w:pStyle w:val="TextoNormal"/>
      </w:pPr>
      <w:r>
        <w:t>Pero, además, los preceptos impugnados no pueden ser calificados como autoaplicativos. El art. 1.2 del Real Decreto-ley exige la inscripción en un registro que se crea en la Comisión del Mercado de las Telecomunicaciones. Inscripción que, en sí misma, no afecta a los derechos fundamentales, cuya violación se denuncia, en la demanda, como tampoco lo hace la necesidad de autorización para prestar servicios de televisión por satélite. Fi</w:t>
      </w:r>
      <w:r>
        <w:lastRenderedPageBreak/>
        <w:t xml:space="preserve">nalmente, la Disposición adicional única remite a la Ley 31/1987, por lo que tampoco puede considerarse como una norma de aplicación directa. </w:t>
      </w:r>
    </w:p>
    <w:p w:rsidR="00FA0779" w:rsidRDefault="00FA0779" w:rsidP="00FA0779">
      <w:pPr>
        <w:pStyle w:val="TextoNormal"/>
      </w:pPr>
      <w:r>
        <w:t>Por todo ello, el Ministerio Fiscal interesa la inadmisión de la demanda por incumplir los presupuestos procesales legalmente exigidos y, subsidiariamente, por carecer manifiestamente de contenido.</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demanda de amparo se dirige contra la Disposición adicional única y los arts. 1.2 y 3 del Real Decreto-ley 1/1997, de 31 de enero, que, literalmente, dice:</w:t>
      </w:r>
    </w:p>
    <w:p w:rsidR="00FA0779" w:rsidRDefault="00FA0779" w:rsidP="00FA0779">
      <w:pPr>
        <w:pStyle w:val="TextoNormal"/>
      </w:pPr>
      <w:r>
        <w:t>«Disposición adicional única. Régimen sancionador.</w:t>
      </w:r>
    </w:p>
    <w:p w:rsidR="00FA0779" w:rsidRDefault="00FA0779" w:rsidP="00FA0779">
      <w:pPr>
        <w:pStyle w:val="TextoNormal"/>
      </w:pPr>
      <w:r>
        <w:t>La comercialización, distribución, cesión temporal o alquiler de aparatos, equipos, descodificadores o cualquier sistema regulado en este Real Decreto-ley, sin la previa certificación que acredite el cumplimiento de las normas que en él se establecen, se sancionará con arreglo a los apartados 2 h) y 3 e) del art. 33 de la Ley 31/1987, de Ordenación de las Telecomunicaciones, modificada por la Ley 32/1992, de 3 de diciembre, como infracción muy grave o grave. En el expediente sancionador que se instruya se podrán adoptar, en su caso, las medidas cautelares previstas en los apartados 2 y 3 del art. 34 de la referida Ley e imponerse las sanciones que en este mismo precepto se recogen.</w:t>
      </w:r>
    </w:p>
    <w:p w:rsidR="00FA0779" w:rsidRDefault="00FA0779" w:rsidP="00FA0779">
      <w:pPr>
        <w:pStyle w:val="TextoNormal"/>
      </w:pPr>
      <w:r>
        <w:t>Artículo 1.2.</w:t>
      </w:r>
    </w:p>
    <w:p w:rsidR="00FA0779" w:rsidRDefault="00FA0779" w:rsidP="00FA0779">
      <w:pPr>
        <w:pStyle w:val="TextoNormal"/>
      </w:pPr>
      <w:r>
        <w:t>Con el fin de conocer el cumplimiento de las especificaciones técnicas contenidas en este Real Decreto-ley, los operadores de los servicios de acceso condicional deberán inscribirse en el registro que para ello se crea en la Comisión del Mercado de las Telecomunicaciones. Este registro, que tendrá carácter público, contendrá los datos personales de los operadores, las características de los medios técnicos que empleen y la declaración responsable por ellos formulada de ajustarse a las citadas especificaciones técnicas, a las que se unirá la oportuna documentación que lo acredite. Su estructura y funcionamiento se establecerán mediante Real Decreto.</w:t>
      </w:r>
    </w:p>
    <w:p w:rsidR="00FA0779" w:rsidRDefault="00FA0779" w:rsidP="00FA0779">
      <w:pPr>
        <w:pStyle w:val="TextoNormal"/>
      </w:pPr>
      <w:r>
        <w:t>Artículo 3. Supuestos especiales de autorización para la prestación de servicios de televisión por satélite.</w:t>
      </w:r>
    </w:p>
    <w:p w:rsidR="00FA0779" w:rsidRDefault="00FA0779" w:rsidP="00FA0779">
      <w:pPr>
        <w:pStyle w:val="TextoNormal"/>
      </w:pPr>
      <w:r>
        <w:t>La prestación de servicios de televisión por satélite con tecnología digital que sean de acceso condicional exigirá el otorgamiento de la correspondiente autorización, que se regirá por su normativa específica. En todo caso, el otorgamiento de la autorización estará supeditado al cumplimiento de los requisitos establecidos en el presente Real Decreto-ley y en la citada normativa.»</w:t>
      </w:r>
    </w:p>
    <w:p w:rsidR="00FA0779" w:rsidRDefault="00FA0779" w:rsidP="00FA0779">
      <w:pPr>
        <w:pStyle w:val="TextoNormal"/>
      </w:pPr>
      <w:r>
        <w:t>Procede destacar que dichos preceptos se impugnan, exclusivamente, desde la perspectiva del art. 20.1 de la C.E. y, en especial, desde la del derecho a difundir o comunicar pensamientos, ideas, opiniones e informaciones -apartados a) y d) del citado precepto-, sin que se analicen desde ninguna otra perspectiva constitucional ni se citen como infringidos otros preceptos de la Ley suprema. Por consiguiente, dado que no es misión del Tribunal reconstruir las demandas (SSTC 73/1988, fundamento jurídico 2.º, y ATC 256/1991), nuestro análisis se limitará a examinar el problema planteado en los términos propuestos por la demanda.</w:t>
      </w:r>
    </w:p>
    <w:p w:rsidR="00FA0779" w:rsidRDefault="00FA0779" w:rsidP="00FA0779">
      <w:pPr>
        <w:pStyle w:val="TextoNormal"/>
      </w:pPr>
    </w:p>
    <w:p w:rsidR="00FA0779" w:rsidRDefault="00FA0779" w:rsidP="00FA0779">
      <w:pPr>
        <w:pStyle w:val="TextoNormal"/>
      </w:pPr>
      <w:r w:rsidRPr="00FA0779">
        <w:rPr>
          <w:rStyle w:val="NumeroAFNegritaCaracter"/>
        </w:rPr>
        <w:t>2</w:t>
      </w:r>
      <w:r>
        <w:t>. El recurso se articula directamente contra los preceptos del Decreto-ley y no por vía indirecta contra los actos de aplicación de los mismos.</w:t>
      </w:r>
    </w:p>
    <w:p w:rsidR="00FA0779" w:rsidRDefault="00FA0779" w:rsidP="00FA0779">
      <w:pPr>
        <w:pStyle w:val="TextoNormal"/>
      </w:pPr>
      <w:r>
        <w:lastRenderedPageBreak/>
        <w:t>Desde luego, la impugnación de leyes o actos con fuerza de Ley por vía indirecta es admisible y ha venido siendo admitida por este Tribunal de modo constante a partir de la STC 41/1981 (fundamento jurídico 1.").</w:t>
      </w:r>
    </w:p>
    <w:p w:rsidR="00FA0779" w:rsidRDefault="00FA0779" w:rsidP="00FA0779">
      <w:pPr>
        <w:pStyle w:val="TextoNormal"/>
      </w:pPr>
      <w:r>
        <w:t>No sucede, sin embargo, lo mismo con la impugnación directa. El art. 42 de la LOTC. a contrario, excluye, en principio, del amparo los actos con valor de Ley emanados de las Cortes o de las Asambleas legislativas de las Comunidades Autónomas. Así lo hemos declarado en diversas resoluciones (AATC 183/1984, 206/1986, y 244/1986 y SSTC 206/1990, fundamento jurídico 5.º; 119/1991, fundamento jurídico 4.º: 31/1994, fundamento jurídico 4.º, y 88/1995, fundamento jurídico 5.º, in fine). Ciertamente, todas esas resoluciones se refieren a leyes o actos parlamentarios con valor de Ley.</w:t>
      </w:r>
    </w:p>
    <w:p w:rsidR="00FA0779" w:rsidRDefault="00FA0779" w:rsidP="00FA0779">
      <w:pPr>
        <w:pStyle w:val="TextoNormal"/>
      </w:pPr>
      <w:r>
        <w:t>No obstante, contienen algunas declaraciones efectuadas en términos genéricos que, entendidas literalmente, conducirían a la conclusión de que tampoco cabe impugnar directamente en amparo los Decretos-leyes. Así, se dice que la regulación de la LOTC «no permite ni que los ciudadanos recurran directamente las leyes o normas con rango de Ley en los procesos constitucionales aptos para ello, ni que el de amparo sea un proceso adecuado para impugnar una Ley o norma con valor de tal» (ATC 46/1993, fundamento jurídico 3.`). Por otra parte, el entendimiento literal de tal declaración, a que acaba de aludirse y que conduciría derechamente a la inadmisión del amparo, se fundamenta en el hecho de que el art. 43.1 de la LOTC, al regular el recurso de amparo contra actos del Gobierno, lo admite sólo «una vez que se haya agotado la vía procedente».</w:t>
      </w:r>
    </w:p>
    <w:p w:rsidR="00FA0779" w:rsidRDefault="00FA0779" w:rsidP="00FA0779">
      <w:pPr>
        <w:pStyle w:val="TextoNormal"/>
      </w:pPr>
      <w:r>
        <w:t>En todo caso, lo que no cabe negar es que el recurso de amparo exige, como ha venido declarando este Tribunal a partir de la STC 40/1982, la vulneración concreta del derecho fundamental alegado y no es un instrumento apto para enjuiciar la constitucionalidad abstracta de normas, tengan o no valor de Ley (SSTC 141/1985, fundamento jurídico 3.º; 162/1985, fundamento jurídico l.º, y 123/1987, fundamento jurídico 1.º). Por consiguiente, en el ámbito del recurso de amparo sólo podrá procederse al enjuiciamiento de normas cuando por su mera existencia o entrada en vigor se cause la lesión concreta y actual del derecho fundamental (STC 167/1987, fundamento jurídico 2.º).</w:t>
      </w:r>
    </w:p>
    <w:p w:rsidR="00FA0779" w:rsidRDefault="00FA0779" w:rsidP="00FA0779">
      <w:pPr>
        <w:pStyle w:val="TextoNormal"/>
      </w:pPr>
      <w:r>
        <w:t>Pues bien: La recurrente no pretende combatir esa interpretación en términos generales, sino sólo acomodarla al supuesto de que los preceptos del Decreto-ley sean autoaplicativos, pues entonces la vulneración procedería inmediatamente de la propia disposición legislativa. En ese caso, puesto que los Decretos-leyes, pese a su rango de Ley, siguen siendo disposiciones del Gobierno y, pese a su carácter legislativo (art. 86.1 C.E.), puesto que las disposiciones del Gobierno al igual que los actos, pueden ser recurridas en amparo (v.g., STC 31/1984, fundamento jurídico 7.º), y puesto que no cabe, frente a su aplicación inmediata, agotar una vía judicial previa ocluida, argumenta que han de poderse recurrir directamente en amparo, si vulneran concretamente derechos fundamentales, como dijimos en la STC 220/1991, fundamento jurídico 2.º. De lo contrario, podría haber una ilegítima injerencia del Gobierno en los derechos fundamentales de un particular exenta de toda posibilidad de amparo, pues ni podría acudirse a la jusrisdicción ordinaria ni a la constitucional.</w:t>
      </w:r>
    </w:p>
    <w:p w:rsidR="00FA0779" w:rsidRDefault="00FA0779" w:rsidP="00FA0779">
      <w:pPr>
        <w:pStyle w:val="TextoNormal"/>
      </w:pPr>
      <w:r>
        <w:t>La determinación de si el supuesto de la admisibilidad del amparo, tal como la recurrente la concibe, concurre en el presente caso ha de abordarse con carácter previo a la valoración de las razones en que la funda.</w:t>
      </w:r>
    </w:p>
    <w:p w:rsidR="00FA0779" w:rsidRDefault="00FA0779" w:rsidP="00FA0779">
      <w:pPr>
        <w:pStyle w:val="TextoNormal"/>
      </w:pPr>
      <w:r>
        <w:t>Preciso es, pues, examinar si la exención aducida se da efectivamente, es decir, si los preceptos impugnados son autoaplicativos. Pues, si no lo fuesen, el mismo razonamiento genérico que se articula en la demanda conduciría a la inadmisión.</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3</w:t>
      </w:r>
      <w:r>
        <w:t>. Antes de entrar en el análisis de los concretos preceptos, hemos de hacer algunas precisiones conceptuales de carácter general, estrechamente relacionadas con el pretendido carácter autoaplicativo de los preceptos impugnados, que, tal y como los hemos definido (SSTC 47/1990, fundamento jurídico 4.º; 119/1990, fundamento jurídico 2.º, y 74/1991, fundamento jurídico 1.º), comporta, salvo lo que luego se dirá, la condición de leyes singulares.</w:t>
      </w:r>
    </w:p>
    <w:p w:rsidR="00FA0779" w:rsidRDefault="00FA0779" w:rsidP="00FA0779">
      <w:pPr>
        <w:pStyle w:val="TextoNormal"/>
      </w:pPr>
      <w:r>
        <w:t>En primer término, ha de aclararse que, por más que puedan afectar a situaciones jurídicas nacidas con anterioridad, en sentido estricto o propio, no estamos ante normas retroactivas, esto es, ante normas que pretendan aplicarse hacia atrás, incidiendo en la valoración jurídica de actividades ya realizadas y proyectándose por ello sobre supuestos singulares: Rigen sólo a partir de su entrada en vigor, contemplan plazos de adaptación de las situaciones anteriores y gozan, desde esta perspectiva, de generalidad formal.</w:t>
      </w:r>
    </w:p>
    <w:p w:rsidR="00FA0779" w:rsidRDefault="00FA0779" w:rsidP="00FA0779">
      <w:pPr>
        <w:pStyle w:val="TextoNormal"/>
      </w:pPr>
      <w:r>
        <w:t>A la misma conclusión de que estamos ante normas formalmente generales ha de llegarse si se examinan sus prescripciones, en las que no se contiene referencia alguna a supuestos concretos.</w:t>
      </w:r>
    </w:p>
    <w:p w:rsidR="00FA0779" w:rsidRDefault="00FA0779" w:rsidP="00FA0779">
      <w:pPr>
        <w:pStyle w:val="TextoNormal"/>
      </w:pPr>
      <w:r>
        <w:t>De modo que, cuando la actora habla de ellas como leyes singulares o de caso único apela a una singularidad material, esto es, al propósito discriminatorio que, a su juicio, preside la regulación impugnada. Pero esa es una alegación que ni se apoya en el art. 14 de la C.E., ni se fundamenta en datos fácticos y jurídicos que permitan tomarla en consideración, sino que descansa exclusivamente en el hecho de que la empresa recurrente era la única que venía operando en el mercado que en las normas impugnadas se regula. Y ese dato, sin ulteriores especificaciones acerca del supuesto de hecho y su tratamiento normativo, es manifiestamente insuficiente para extraer conclusión alguna en orden a la falta de generalidad material y, por consiguiente, al carácter autoaplicativo de la norma impugnada. Antes al contrario, nos conduce a un examen abstracto, inadmisible en el ámbito del presente recurso (STC 25/1989, fundamento jurídico 3.º).</w:t>
      </w:r>
    </w:p>
    <w:p w:rsidR="00FA0779" w:rsidRDefault="00FA0779" w:rsidP="00FA0779">
      <w:pPr>
        <w:pStyle w:val="TextoNormal"/>
      </w:pPr>
    </w:p>
    <w:p w:rsidR="00FA0779" w:rsidRDefault="00FA0779" w:rsidP="00FA0779">
      <w:pPr>
        <w:pStyle w:val="TextoNormal"/>
      </w:pPr>
      <w:r w:rsidRPr="00FA0779">
        <w:rPr>
          <w:rStyle w:val="NumeroAFNegritaCaracter"/>
        </w:rPr>
        <w:t>4</w:t>
      </w:r>
      <w:r>
        <w:t>. Esta afirmación, la de que las normas impugnadas no son autoaplicativas a los efectos de este recurso, esto es, que en la medida en que puedan serlo no afectan al derecho reconocido en el art. 20 de la C.E., se refuerza si se examinan individualmente los preceptos de los que se predica tal carácter en sentido propio:</w:t>
      </w:r>
    </w:p>
    <w:p w:rsidR="00FA0779" w:rsidRDefault="00FA0779" w:rsidP="00FA0779">
      <w:pPr>
        <w:pStyle w:val="TextoNormal"/>
      </w:pPr>
      <w:r>
        <w:t>A) El art. 1.2 del Decreto-ley 1/1997 obliga a las empresas operadoras a inscribirse en un registro «cuya estructura y funcionamiento se establecerán mediante Real Decreto». En modo alguno puede estimarse que esa obligación, en sí misma considerada, afecte al derecho fundamental cuya vulneración se aduce, aunque tampoco puede ponerse en duda que ese derecho puede verse mermado tanto por las exigencias que se establezcan en las normas de desarrollo cuanto por los actos de aplicación. Por consiguiente, la sociedad demandante podrá, en su caso, impugnar unas u otros en la vía procedente, y sólo después acudir en amparo a este Tribunal.</w:t>
      </w:r>
    </w:p>
    <w:p w:rsidR="00FA0779" w:rsidRDefault="00FA0779" w:rsidP="00FA0779">
      <w:pPr>
        <w:pStyle w:val="TextoNormal"/>
      </w:pPr>
      <w:r>
        <w:t>B) Por su parte, el art. 3 del Real Decreto-ley 1/1997 somete a autorización la prestación de servicios de televisión por satélite con tecnología digital que sean de acceso condicional.</w:t>
      </w:r>
    </w:p>
    <w:p w:rsidR="00FA0779" w:rsidRDefault="00FA0779" w:rsidP="00FA0779">
      <w:pPr>
        <w:pStyle w:val="TextoNormal"/>
      </w:pPr>
      <w:r>
        <w:t xml:space="preserve">El mero hecho de la sumisión a autorización de una actividad empresarial en materia de televisión no constituye. por sí solo, una vulneración del art. 20.  El art. 10.1 del Convenio Europeo para la Protección de los Derechos Humanos y las Libertades Fundamentales lo declara expresamente, y así se desprende, también. de nuestras reiteradas resoluciones en materia de televisión por cable y por ondas (SSTC 206/1990, 31/1994, 127/1994, 88/1995 y las restantes, que aplican la doctrina en ellas sentada), sin que tenga virtualidad alguna </w:t>
      </w:r>
      <w:r>
        <w:lastRenderedPageBreak/>
        <w:t>para desvirtuar esa conclusión la doctrina sentada por el C.E.D.H. en la Sentencia de 22 de mayo de 1990 (caso Autronic). en la que no se enjuicia una ley sino un acto carente de cobertura legal y materialmente contrario a las exigencias del Convenio; ni, menos aún, las restantes resoluciones que se aducen, que abordan problemas muy distintos. Por lo demás, resulta casi innecesario decir que el que la exigencia de autorización sea o no compatible con las normas del Derecho Comunitario es, desde la perspectiva constitucional aducida -esto es, desde las libertades de expresión e información- absolutamente irrelevante.</w:t>
      </w:r>
    </w:p>
    <w:p w:rsidR="00FA0779" w:rsidRDefault="00FA0779" w:rsidP="00FA0779">
      <w:pPr>
        <w:pStyle w:val="TextoNormal"/>
      </w:pPr>
      <w:r>
        <w:t>Nada de eso significa negar la posibilidad, siquiera sea como mera hipótesis de que las condiciones exigidas para el otorgamiento de la autorización, establecidas en el Real Decreto-ley y en la normativa a la que remite, pudieran vulnerar el derecho fundamental aducido u otras normas constitucionales. Pero, para obtener esa conclusión o la contraria, habríamos de examinar las normas del Real Decreto-ley desde una perspectiva abstracta, desvinculada de su concreta aplicación al caso y, por consiguiente, de la concreta vulneración del derecho fundamental de la recurrente, lo que, como hemos puesto de manifiesto en reiteradas ocasiones, excede los límites de los procesos de amparo y sólo puede resolverse en los de inconstítucionalidad (SSTC 206/1990, fundamento jurídico 5.º, y 31/1994, fundamento jurídico 4.º, entre otras).</w:t>
      </w:r>
    </w:p>
    <w:p w:rsidR="00FA0779" w:rsidRDefault="00FA0779" w:rsidP="00FA0779">
      <w:pPr>
        <w:pStyle w:val="TextoNormal"/>
      </w:pPr>
    </w:p>
    <w:p w:rsidR="00FA0779" w:rsidRDefault="00FA0779" w:rsidP="00FA0779">
      <w:pPr>
        <w:pStyle w:val="TextoNormal"/>
      </w:pPr>
      <w:r w:rsidRPr="00FA0779">
        <w:rPr>
          <w:rStyle w:val="NumeroAFNegritaCaracter"/>
        </w:rPr>
        <w:t>5</w:t>
      </w:r>
      <w:r>
        <w:t>. Una consideración separada merece la Disposición adicional única, que establece el régimen sancionador por incumplimiento de las exigencias de dicho Real Decreto.</w:t>
      </w:r>
    </w:p>
    <w:p w:rsidR="00FA0779" w:rsidRDefault="00FA0779" w:rsidP="00FA0779">
      <w:pPr>
        <w:pStyle w:val="TextoNormal"/>
      </w:pPr>
      <w:r>
        <w:t>Aquí tampoco puede hablarse de autoaplicación en sentido propio, pues si hay normas necesitadas de aplicación ulterior son, justamente, las sancionadoras.  Cierto es que puede argüirse que la mera conminación penal, por el solo hecho de existir, es efectiva sin necesidad de actos de aplicación y que, además, justamente eso es lo que pretende, con lo cual incide sobre los,, derechos de manera inmediata. Y puede pensarse que no resulta satisfactorio que, ante esa incidencia, el particular haya de asumir el riesgo de ser sancionado efectivamente para poder iniciar la vía de amparo. Pero difícilmente cabe negar que ese es el régimen que establece la LOTC, a la que este Tribunal se halla sometido, salvo supuestos excepcionalísimos, en los que pudiera prevalecer su vinculación más fuerte a la C.E. Y éste no es uno de ellos, no sólo porque la configuración del Derecho Administrativo sancionador permite acudir en amparo, incluso ante este Tribunal, abriendo la posibilidad de que hasta su resolución última quede en suspenso la sanción eventualmente impuesta; sino también porque, no siendo autoaplicativos los presupuestos que determinan la existencia de infracción, según hemos concluido en el fundamento jurídico anterior, la eficacia de la norma sancionadora no opera de modo inmediato, sino sólo tras la realización de unos previos actos de aplicación de las prescripciones que pretende tutelar, actos que, de suyo, se hallan abiertos a todas las vías de impugnación que el ordenamiento prevé y que, innecesario es decirlo, pueden en ellas resultar suspendidos, quedando, entretanto, enervada la posibilidad de sanción.</w:t>
      </w:r>
    </w:p>
    <w:p w:rsidR="00FA0779" w:rsidRDefault="00FA0779" w:rsidP="00FA0779">
      <w:pPr>
        <w:pStyle w:val="TextoNormal"/>
      </w:pPr>
    </w:p>
    <w:p w:rsidR="00FA0779" w:rsidRDefault="00FA0779" w:rsidP="00FA0779">
      <w:pPr>
        <w:pStyle w:val="TextoNormal"/>
      </w:pPr>
      <w:r w:rsidRPr="00FA0779">
        <w:rPr>
          <w:rStyle w:val="NumeroAFNegritaCaracter"/>
        </w:rPr>
        <w:t>6</w:t>
      </w:r>
      <w:r>
        <w:t>. Por todo lo expuesto, ha de concluirse que no concurren en el presente caso los requisitos que, a tenor de lo dispuesto en el art. 50.1 a) de la LOTC, resultan indispensables para que este Tribunal pueda conocer, en vía de amparo, de la pretensión aducida y, por consiguiente, pronunciarse en ningún sentido sobre la cuestión de fondo, que sólo podrá ser examinada, en su caso, en procedimiento de inconstitucionalidad.</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cuanto antecede, la Sección acuerda la inadmisión a trámite del presente recurso de amparo.</w:t>
      </w:r>
    </w:p>
    <w:p w:rsidR="00FA0779" w:rsidRDefault="00FA0779" w:rsidP="00FA0779">
      <w:pPr>
        <w:pStyle w:val="TextoNormal"/>
      </w:pPr>
    </w:p>
    <w:p w:rsidR="00FA0779" w:rsidRDefault="00FA0779" w:rsidP="00FA0779">
      <w:pPr>
        <w:pStyle w:val="TextoNormal"/>
      </w:pPr>
      <w:r>
        <w:t>Madrid, a veintidós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5" w:name="AUTO_1997_292"/>
      <w:r>
        <w:lastRenderedPageBreak/>
        <w:t>AUTO 292/1997, de 22 de julio de 1997</w:t>
      </w:r>
    </w:p>
    <w:bookmarkEnd w:id="225"/>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ECLI:ES:TC:1997:292A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1.999/1997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día 13 de mayo de 1997 tuvo entrada en el Registro General de este Tribunal un escrito del Presidente de la Audiencia Provincial de Madrid al que se acompaña, junto al testimonio del correspondiente procedimiento, el Auto de 18 de marzo de 1997, en el que se acuerda plantear cuestión de inconstitucionalidad en relación con el artículo 142.6 de la Ley 30/1992, de Régimen Jurídico de las Administraciones Públicas y del Procedimiento Administrativo Común, por su posible contradicción con los arts. 9.3, 24.1, 81 y 122 C.E.</w:t>
      </w:r>
    </w:p>
    <w:p w:rsidR="00FA0779" w:rsidRDefault="00FA0779" w:rsidP="00FA0779">
      <w:pPr>
        <w:pStyle w:val="TextoNormal"/>
      </w:pPr>
    </w:p>
    <w:p w:rsidR="00FA0779" w:rsidRDefault="00FA0779" w:rsidP="00FA0779">
      <w:pPr>
        <w:pStyle w:val="TextoNormal"/>
      </w:pPr>
      <w:r w:rsidRPr="00FA0779">
        <w:rPr>
          <w:rStyle w:val="NumeroAFNegritaCaracter"/>
        </w:rPr>
        <w:t>2</w:t>
      </w:r>
      <w:r>
        <w:t>. En el trámite a que se refiere el art. 35.2 LOTC, el Ministerio Fiscal y el Abogado del Estado se han opuesto al planteamiento de la cuestión. Coinciden en considerar que la cuestión carece de relevancia constitucional y que no hay tal infracción de la reserva de Ley Orgánica. Sólo el recurrente en el proceso a quo entiende pertinente que se eleve la cuestión ante este Tribunal.</w:t>
      </w:r>
    </w:p>
    <w:p w:rsidR="00FA0779" w:rsidRDefault="00FA0779" w:rsidP="00FA0779">
      <w:pPr>
        <w:pStyle w:val="TextoNormal"/>
      </w:pPr>
    </w:p>
    <w:p w:rsidR="00FA0779" w:rsidRDefault="00FA0779" w:rsidP="00FA0779">
      <w:pPr>
        <w:pStyle w:val="TextoNormal"/>
      </w:pPr>
      <w:r w:rsidRPr="00FA0779">
        <w:rPr>
          <w:rStyle w:val="NumeroAFNegritaCaracter"/>
        </w:rPr>
        <w:t>3</w:t>
      </w:r>
      <w:r>
        <w:t>. Por providencia de 3 de junio de 1997, el Pleno acordó oír al Fiscal General del Estado para que, a los efectos prevenidos en el art. 37.1 LOTC, expusiera lo que considerara conveniente sobre la admisibilidad de la presente cuestión de inconstitucionalidad.</w:t>
      </w:r>
    </w:p>
    <w:p w:rsidR="00FA0779" w:rsidRDefault="00FA0779" w:rsidP="00FA0779">
      <w:pPr>
        <w:pStyle w:val="TextoNormal"/>
      </w:pPr>
    </w:p>
    <w:p w:rsidR="00FA0779" w:rsidRDefault="00FA0779" w:rsidP="00FA0779">
      <w:pPr>
        <w:pStyle w:val="TextoNormal"/>
      </w:pPr>
      <w:r w:rsidRPr="00FA0779">
        <w:rPr>
          <w:rStyle w:val="NumeroAFNegritaCaracter"/>
        </w:rPr>
        <w:t>4</w:t>
      </w:r>
      <w:r>
        <w:t>. Por escrito presentado el 23 de julio de 1997, el Fiscal General del Estado interesa su inadmisión. Considera que no existe contradicción alguna entre la reserva de Ley Orgánica que establece la Constitución (art. 122.1), el art. 9 de la Ley Orgánica de Poder Judicial y el precepto legal cuestionado, tanto desde una interpretación restrictiva de la reserva de Ley Orgánica, cuanto por el tenor literal del artículo en cuestión, del que se infiere una clara opción del legislador ordinario en favor de la jurisdicción contencioso-administrativa, opción que, en modo alguno, puede ser calificada de arbitraria, puesto que no desborda la libre esfera que al legislador corresponde. Por último, invoca la jurisprudencia constitucional que entiende avala tal conclusión.</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Consiste el problema capital que aquí se plantea por parte del Tribunal a quo en la contradicción entre la definición genérica del orden jurisdiccional contencioso-administrativo que realiza el legislador orgánico (art. 9.4 de la Ley Orgánica del Poder Judicial), de un lado, y la previsión del legislador ordinario que se contiene en el cuestionado art. 142.6 de la Ley 30/1992, de Régimen Jurídico de las Administraciones Públicas y del Procedimiento Administrativo Común, de otro. De esa contradicción resultaría que el legislador ordinario habría violado la reserva de Ley Orgánica que prescribe el art. 122.1 C.E. De forma colateral, y en apoyo de la argumentación principal, el órgano proponente sostiene que el sistema resultante del art.  142.6 de la Ley 30/1992 es contrario al art. 24.1 C.E. (por generar un largo e inseguro «peregrinaje» del justiciable); arbitrario (por permitir que una controversia de naturaleza civil sea enjuiciada por el orden contencioso-administrativo y, en consecuencia, lesivo del art. 9.3 C.E.), y, por último, atentatorio del principio de legalidad (en la medida en que la norma reglamentaria que desarrolla el art. 142.6 de la Ley 30/1992 carecería de la suficiente cobertura legal).</w:t>
      </w:r>
    </w:p>
    <w:p w:rsidR="00FA0779" w:rsidRDefault="00FA0779" w:rsidP="00FA0779">
      <w:pPr>
        <w:pStyle w:val="TextoNormal"/>
      </w:pPr>
      <w:r>
        <w:t>Para mejor centrar la cuestión planteada conviene tener en cuenta que el art.  122.1 C.E. reserva a la Ley Orgánica la determinación de la «constitución, funcionamiento y gobierno de los Juzgados y Tribunales». En su cumplimiento, y en lo que ahora importa, el art. 9.4 de la Ley Orgánica del Poder Judicial establece que los Juzgados y Tribunales «del orden contencioso-administrativo conocerán de las pretensiones que se deduzcan en relación con los actos de la Administración pública sujetos al Derecho Administrativo y con las disposiciones reglamentarias». Por último, el precepto cuestionado, el art.  142.6 de la Ley 30/1992, previene que «la resolución administrativa de los procedimientos de responsabilidad patrimonial, cualquiera que fuese el tipo de relación, pública o privada, de que derive, pone fin a la vía administrativa».</w:t>
      </w:r>
    </w:p>
    <w:p w:rsidR="00FA0779" w:rsidRDefault="00FA0779" w:rsidP="00FA0779">
      <w:pPr>
        <w:pStyle w:val="TextoNormal"/>
      </w:pPr>
    </w:p>
    <w:p w:rsidR="00FA0779" w:rsidRDefault="00FA0779" w:rsidP="00FA0779">
      <w:pPr>
        <w:pStyle w:val="TextoNormal"/>
      </w:pPr>
      <w:r w:rsidRPr="00FA0779">
        <w:rPr>
          <w:rStyle w:val="NumeroAFNegritaCaracter"/>
        </w:rPr>
        <w:t>2</w:t>
      </w:r>
      <w:r>
        <w:t>. La cuestión suscitada incurre en la causa de inadmisibilidad consistente en ser notoriamente infundada (art. 37.1 LOTC).</w:t>
      </w:r>
    </w:p>
    <w:p w:rsidR="00FA0779" w:rsidRDefault="00FA0779" w:rsidP="00FA0779">
      <w:pPr>
        <w:pStyle w:val="TextoNormal"/>
      </w:pPr>
      <w:r>
        <w:t>Ha de recordarse que este concepto de lo «notoriamente infundado» (art. 37.1 LOTC) o la referencia a que la «cuestión aparezca como manifiestamente constitucional», como se ha afirmado en jurisprudencia constante, encierra un cierto grado de indefinición que se traduce procesalmente en otorgar a este Tribunal un margen a la hora de apreciar la fundamentación de las cuestiones planteadas (entre tantas resoluciones reiteradas hasta nuestros días, por ejemplo, ATC 134/1995). Dentro de esa noción, cabrá entender incluidos, según las circunstancias, aquellos supuestos en los que sea evidente la falta de contradicción con el precepto constitucional invocado; se pretenda de este Tribunal que opte por una interpretación entre las varias posibles; o se imponga manifiestamente, también según las circunstancias del caso, una interpretación conforme con la Constitución [con carácter general, vid. STC 222/1992, fundamento jurídico 2.1 b].</w:t>
      </w:r>
    </w:p>
    <w:p w:rsidR="00FA0779" w:rsidRDefault="00FA0779" w:rsidP="00FA0779">
      <w:pPr>
        <w:pStyle w:val="TextoNormal"/>
      </w:pPr>
      <w:r>
        <w:t>Pues bien, la falta notoria de fundamento de la cuestión suscitada (art. 37.1 LOTC) obedece a las siguientes consideraciones:</w:t>
      </w:r>
    </w:p>
    <w:p w:rsidR="00FA0779" w:rsidRDefault="00FA0779" w:rsidP="00FA0779">
      <w:pPr>
        <w:pStyle w:val="TextoNormal"/>
      </w:pPr>
      <w:r>
        <w:t>a) En primer lugar, porque a tenor del art. 122.1 C.E. no está reservada a la Ley Orgánica del Poder Judicial la definición concreta y detallada del ámbito de cada una de las jurisdicciones (cfr. STC 224/1993, fundamento jurídico 3); de ahí que difícilmente puede concluirse en invasión de la materia reservada por parte de un precepto como el aquí cuestionado.</w:t>
      </w:r>
    </w:p>
    <w:p w:rsidR="00FA0779" w:rsidRDefault="00FA0779" w:rsidP="00FA0779">
      <w:pPr>
        <w:pStyle w:val="TextoNormal"/>
      </w:pPr>
      <w:r>
        <w:lastRenderedPageBreak/>
        <w:t>En efecto, la STC 224/1993 (fundamento jurídico 3) postula una interpretación restrictiva de la reserva de Ley Orgánica a que se refiere el art. 122.1 C.E., de acuerdo con la cual, y en lo que aquí interesa, comprende la definición genérica del ámbito de conocimiento litigioso, razón por la que se estimó conforme con aquélla lo dispuesto por el art. 9.4 de la Ley Orgánica del Poder Judicial, a cuya virtud los Juzgados y Tribunales «del orden contencioso-administrativo conocerán de las pretensiones que se deduzcan en relación con los actos de la Administración pública sujetos al Derecho Administrativo y con las disposiciones reglamentarias». Como concluye dicha STC 224/1993, «cabe que el legislador ordinario concrete las materias específicas objeto del conocimiento de tales órdenes, produciéndose, de este modo, una colaboración entre ambas formas normativas Ley Orgánica y Ley Ordinaria que no obsta a la reserva establecida en el art. 122.1 C.E. y que, por tanto, resulta constitucionalmente lícita» (fundamento jurídico 3.º).</w:t>
      </w:r>
    </w:p>
    <w:p w:rsidR="00FA0779" w:rsidRDefault="00FA0779" w:rsidP="00FA0779">
      <w:pPr>
        <w:pStyle w:val="TextoNormal"/>
      </w:pPr>
      <w:r>
        <w:t>b) En segundo término porque si la cuestión radica en la «verificación del grado de acomodo de aquélla (la Ley Ordinaria) a ésta (la Ley Orgánica)... de modo que la Ley Ordinaria no pueda excepcionar frontalmente o contradecir el diseño que de los distintos órdenes jurisdiccionales haya establecido la Ley Orgánica» (cfr. STC 224/1993, fundamento jurídico 3.1), es también evidente que el art. 142.6 de la Ley 30/1992 puede ser interpretado -nótese bien, de forma manifiesta, dato éste capital en la fase de admisión- de conformidad con la Constitución y, en concreto, con la reserva la Ley Orgánica a que se refiere el art. 122.1 C.E., de acuerdo con la propia jurisprudencia constitucional y, desde luego, con el art. 9.4 L.O.P.J. Es claro, en efecto, que el art. 142.6 de la Ley 30/1992 («La resolución administrativa de los procedimientos de responsabilidad patrimonial, cualquiera que fuese el tipo de relación, pública o privada, de que derive, pone fin a la vía administrativa»), no contradice por sí mismo el enunciado genérico que contiene el art. 9.4 de la Ley Orgánica del Poder Judicial, antes transcrito.  Nótese que este precepto no realiza una atribución jurisdiccional concreta sino que se limita a establecer que con esa resolución termina la vía gubernativa.</w:t>
      </w:r>
    </w:p>
    <w:p w:rsidR="00FA0779" w:rsidRDefault="00FA0779" w:rsidP="00FA0779">
      <w:pPr>
        <w:pStyle w:val="TextoNormal"/>
      </w:pPr>
    </w:p>
    <w:p w:rsidR="00FA0779" w:rsidRDefault="00FA0779" w:rsidP="00FA0779">
      <w:pPr>
        <w:pStyle w:val="TextoNormal"/>
      </w:pPr>
      <w:r w:rsidRPr="00FA0779">
        <w:rPr>
          <w:rStyle w:val="NumeroAFNegritaCaracter"/>
        </w:rPr>
        <w:t>3</w:t>
      </w:r>
      <w:r>
        <w:t>. Por otra parte, a través del planteamiento de la cuestión de inconstitucionalidad la Sala proponente pretende articular y suscitar ante este Tribunal un problema abstracto de deslinde jurisdiccional, que no le corresponde resolver. El propio Auto, en efecto, parece admitirlo cuando afirma que la opción del legislador ordinario (art. 142.6 de la Ley 30/1992) supone atribuir por Ley Ordinaria a la jurisdicción contencioso-administrativa una materia que es dudoso que sea administrativa en todos los casos.</w:t>
      </w:r>
    </w:p>
    <w:p w:rsidR="00FA0779" w:rsidRDefault="00FA0779" w:rsidP="00FA0779">
      <w:pPr>
        <w:pStyle w:val="TextoNormal"/>
      </w:pPr>
      <w:r>
        <w:t>Debe subrayarse, como se ha reiterado, que la cuestión de inconstitucionalidad «no puede ser instrumentada al modo de un cauce consultivo mediante el cual la jurisdicción constitucional vendría a despejar las dudas del órgano judicial no ya sobre la constitucionalidad de un precepto legal, sino sobre cuál fuera, de entre las varias posibles, su interpretación y aplicación más acomodada a la Constitución» [cfr. 222/1992, fundamento jurídico 2.1 b), y, en la misma línea, STC 157/1990, fundamento jurídico 2.1].</w:t>
      </w:r>
    </w:p>
    <w:p w:rsidR="00FA0779" w:rsidRDefault="00FA0779" w:rsidP="00FA0779">
      <w:pPr>
        <w:pStyle w:val="TextoNormal"/>
      </w:pPr>
    </w:p>
    <w:p w:rsidR="00FA0779" w:rsidRDefault="00FA0779" w:rsidP="00FA0779">
      <w:pPr>
        <w:pStyle w:val="TextoNormal"/>
      </w:pPr>
      <w:r w:rsidRPr="00FA0779">
        <w:rPr>
          <w:rStyle w:val="NumeroAFNegritaCaracter"/>
        </w:rPr>
        <w:t>4</w:t>
      </w:r>
      <w:r>
        <w:t xml:space="preserve">. Por lo demás, la discrepancia con la solución ofrecida por el art. 142.6 de la Ley 30/1992 o la disconformidad con las dudas interpretativas que pudiera suscitar tampoco convierten al sistema en arbitrario (art. 9.3 C.E.)  «por cuanto añade a la directa vía judicial civil el plus de agotamiento del expediente administrativo o vía administrativa previa, suponiendo el establecimiento de un privilegio sin justificación alguna a favor de las Administraciones demandadas» (cfr. fundamento jurídico 7 del Auto de planteamiento). De acuerdo con cuanto antecede, carecen de fundamento constitucional -a la luz de nuestra </w:t>
      </w:r>
      <w:r>
        <w:lastRenderedPageBreak/>
        <w:t>jurisprudencia- tanto la afirmación de que se infringe el principio de arbitrariedad de los poderes públicos (art. 9.3 C.E.)  en la medida en que algo que es -en opinión del órgano proponente- de naturaleza civil pueda ser enjuiciado por la jurisdicción contencioso-administrativa; como la pretendida infracción del principio de legalidad porque el reglamento habría infringido preceptos de rango legal, puesto que, de admitirse tal hipótesis, no sería la cuestión de inconstitucionalidad el cauce adecuado para su depuración.</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acuerda la inadmisión de la presente cuestión de inconstitucionalidad.</w:t>
      </w:r>
    </w:p>
    <w:p w:rsidR="00FA0779" w:rsidRDefault="00FA0779" w:rsidP="00FA0779">
      <w:pPr>
        <w:pStyle w:val="TextoNormal"/>
      </w:pPr>
    </w:p>
    <w:p w:rsidR="00FA0779" w:rsidRDefault="00FA0779" w:rsidP="00FA0779">
      <w:pPr>
        <w:pStyle w:val="TextoNormal"/>
      </w:pPr>
      <w:r>
        <w:t>Madrid, a veintidós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6" w:name="AUTO_1997_293"/>
      <w:r>
        <w:lastRenderedPageBreak/>
        <w:t>AUTO 293/1997, de 22 de julio de 1997</w:t>
      </w:r>
    </w:p>
    <w:bookmarkEnd w:id="226"/>
    <w:p w:rsidR="00FA0779" w:rsidRDefault="00FA0779" w:rsidP="00FA0779">
      <w:pPr>
        <w:pStyle w:val="TtuloResolucin"/>
      </w:pPr>
      <w:r>
        <w:t>Pleno</w:t>
      </w:r>
    </w:p>
    <w:p w:rsidR="00FA0779" w:rsidRDefault="00FA0779" w:rsidP="00FA0779">
      <w:pPr>
        <w:pStyle w:val="TtuloResolucin"/>
      </w:pPr>
    </w:p>
    <w:p w:rsidR="00FA0779" w:rsidRDefault="00FA0779" w:rsidP="00FA0779">
      <w:pPr>
        <w:pStyle w:val="SntesisDescriptiva"/>
      </w:pPr>
      <w:r>
        <w:t>ECLI:ES:TC:1997:293A</w:t>
      </w:r>
    </w:p>
    <w:p w:rsidR="00FA0779" w:rsidRDefault="00FA0779" w:rsidP="00FA0779">
      <w:pPr>
        <w:pStyle w:val="SntesisDescriptiva"/>
      </w:pPr>
    </w:p>
    <w:p w:rsidR="00FA0779" w:rsidRDefault="00FA0779" w:rsidP="00FA0779">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FA0779" w:rsidRDefault="00FA0779" w:rsidP="00FA0779">
      <w:pPr>
        <w:pStyle w:val="SntesisDescriptiva"/>
      </w:pPr>
    </w:p>
    <w:p w:rsidR="00FA0779" w:rsidRDefault="00FA0779" w:rsidP="00FA0779">
      <w:pPr>
        <w:pStyle w:val="SntesisDescriptiva"/>
      </w:pPr>
      <w:r>
        <w:t>Acordando la inadmisión a trámite de la cuestión de inconstitucionalidad 2.100/1997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El 20 de mayo de 1997 tuvo entrada en el Registro de este Tribunal escrito del Magistrado-Juez de lo Penal núm. 2 de Lleida al que se adjuntaba testimonio de las actuaciones del procedimiento abreviado núms. 370/96, 393/96 y 6/97, así como Autos de fechas 5 de mayo de 1997, 29 de abril de 1997 y 5 de mayo de 1997, por los que se acordaba plantear cuestión de inconstítucionalidad en relación con el art. 2.3 b) de la Ley Orgánica 12/1995, de 12 de diciembre, de Represión del Contrabando, por posible infracción del art. 14 de la Constitución.</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FA0779" w:rsidRDefault="00FA0779" w:rsidP="00FA0779">
      <w:pPr>
        <w:pStyle w:val="TextoNormal"/>
      </w:pPr>
      <w:r>
        <w:t xml:space="preserve">a) En los tres procedimientos de que traen causa los Autos de planteamiento de la presente cuestión se procesa a personas a las que se imputa la comisión de un delito de contrabando de tabaco. La ley aplicable al caso resulta ser la Orgánica 12/1995, de 12 de diciembre, de Represión del Contrabando, cuyo art. 2.3 b) dispone: </w:t>
      </w:r>
    </w:p>
    <w:p w:rsidR="00FA0779" w:rsidRDefault="00FA0779" w:rsidP="00FA0779">
      <w:pPr>
        <w:pStyle w:val="TextoNormal"/>
      </w:pPr>
      <w:r>
        <w:t xml:space="preserve">«Cometen asimismo delito de contrabando quienes realicen alguno de los hechos descritos en el apartado 1 de este artículo, si concurren alguna de las circunstancias siguientes: ... b) Cuando se trate de labores de tabaco cuyo valor sea igual o superior a 1.000.000 de pesetas.» </w:t>
      </w:r>
    </w:p>
    <w:p w:rsidR="00FA0779" w:rsidRDefault="00FA0779" w:rsidP="00FA0779">
      <w:pPr>
        <w:pStyle w:val="TextoNormal"/>
      </w:pPr>
      <w:r>
        <w:t xml:space="preserve">b) El Juzgado de lo Penal núm. 2 de Lleida tramitó los procedimientos hasta el momento de dictar Sentencia. Ya en el acto de la vista puso de manifiesto que el referido art. 2.3 b) de la Ley Orgánica 12/1995 podría ser inconstitucional por contrario al art. 14 C.E. Emplazados los procesados y el Ministerio Fiscal para que alegaran acerca de la conveniencia de plantear cuestión de inconstitucionalidad, el Ministerio Público se opuso en todos los casos, sosteniendo que la diversidad de trato dispensada al contrabando de tabaco frente al de otras mercancías responde a un criterio perfectamente razonable. </w:t>
      </w:r>
    </w:p>
    <w:p w:rsidR="00FA0779" w:rsidRDefault="00FA0779" w:rsidP="00FA0779">
      <w:pPr>
        <w:pStyle w:val="TextoNormal"/>
      </w:pPr>
      <w:r>
        <w:t>c) El Juzgado de lo Penal, por sendos Autos de 5 de mayo, 29 de abril y 5 de mayo de 1997, acuerda el planteamiento de la presente cuestión de inconstitucionalidad.</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opinión del órgano judicial proponente, el art. 2.3 b) de la Ley Orgánica 12/1995, de 12 de diciembre, de Represión del Contrabando, puede ser contrario al art. 14 de la Constitución. </w:t>
      </w:r>
    </w:p>
    <w:p w:rsidR="00FA0779" w:rsidRDefault="00FA0779" w:rsidP="00FA0779">
      <w:pPr>
        <w:pStyle w:val="TextoNormal"/>
      </w:pPr>
      <w:r>
        <w:t xml:space="preserve">A su juicio, no hay «justificación objetiva y razonable que legitime la excepcionalidad en la fijación del límite cuantitativo en 1.000.000 de pesetas del delito de contrabando de labores de tabaco» (fundamento jurídico 5.º 1). Del examen de los trabajos parlamentarios de la Ley Orgánica 12/1995 se deduce, en opinión del órgano judicial, que «el principal motivo para defender esta excepcionalidad es de índole fiscal, a saber, el grave daño que tales conductas causan al Erario público, que deja de recaudar bastante dinero, al eludirse el pago de impuestos especiales»; se pretende, con merma de la igualdad, «mantener una especial protección al monopolio estatal de tabacos» (ibid). Para el Juzgado, «el delito de contrabando, en general, despliega su radio de acción sobre todo el espectro comercial, géneros de lícito comercio, estancados, prohibidos, obras de arte e históricas, protección del Patrimonio Histórico Español, de la fauna y flora silvestres, cuyo grado de desvalor moral y antijuridicidad son cuando menos idénticos al del contrabando de tabaco (,) y (,) sin embargo (,) en los supuestos anteriores ( ... ) la diferencia entre el ilícito administrativo y el delito se cuantifica en 3.000.000 de pesetas» (ibid). </w:t>
      </w:r>
    </w:p>
    <w:p w:rsidR="00FA0779" w:rsidRDefault="00FA0779" w:rsidP="00FA0779">
      <w:pPr>
        <w:pStyle w:val="TextoNormal"/>
      </w:pPr>
      <w:r>
        <w:t xml:space="preserve">El órgano judicial imputa asimismo al precepto cuestionado una infracción del principio de proporcionalidad de las penas, pues «el legislador de 1995 no contento con mantener invariable la cuantía de 1.000.000 de pesetas en el contrabando de labores de tabaco, frente al tipo básico general de 3.000.000 de pesetas, establece la misma pena de prisión menor en grado medio o máximo, en lugar de fijar un tipo penal privilegiado como ( ... ) hace con los supuestos previstos en las letras a) y b) del apartado 1 del art. 2, con prisión menor en grado mínimo. No existen criterios de justificación objetiva y razonable para imponer una protección penal tan rigurosa a dicha conducta, manteniendo la misma cuantía de 1982 y desoyendo un espíritu general de la reforma de 1995, a saber, actualizar el valor de las mercancías a la equivalencia real de la peseta» (fundamento jurídico 5.º 2). </w:t>
      </w:r>
    </w:p>
    <w:p w:rsidR="00FA0779" w:rsidRDefault="00FA0779" w:rsidP="00FA0779">
      <w:pPr>
        <w:pStyle w:val="TextoNormal"/>
      </w:pPr>
      <w:r>
        <w:t xml:space="preserve">Abundando en esta línea, se argumenta que «no tiene sentido mantener la misma cuantía económica cuando en otras materias, como los específicos delitos contra la Hacienda Pública (arts. 305 y siguientes del nuevo Código Penal), de mucha más gravedad y repercusión social, se [ha] elevado la cuantía a 15.000.000 de pesetas, es decir, se ha multiplicado por tres, con grave merma de los ingresos de la Hacienda Pública ( ... ); o también se ha elevado de 30.000 a 50.000 pesetas la diferenciación entre la falta y el delito contra el patrimonio. Incluso, la repercusión social que tienen estos actos delictivos [es] de menor intensidad que los referidos anteriormente, hasta se considera una forma de subsistencia para muchas personas que no encuentran trabajo, por lo que la alarma social es menor que si se dedicaran a cometer otros delitos contra la salud pública o contra el patrimonio» (fundamento jurídico 5.º 3). </w:t>
      </w:r>
    </w:p>
    <w:p w:rsidR="00FA0779" w:rsidRDefault="00FA0779" w:rsidP="00FA0779">
      <w:pPr>
        <w:pStyle w:val="TextoNormal"/>
      </w:pPr>
      <w:r>
        <w:t>En consecuencia, se plantea cuestión de inconstitucionalidad respecto del art. 2.3 b) de la Ley Orgánica 12/1995, de 12 de diciembre, de Represión del Contrabando, por posible infracción del art. 14 de la Constitución.</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3 de junio de 1997, la Sección Segunda de este Tribunal acordó oír al Fiscal General del Estado para que, en el plazo de diez días y a los efectos que determina el último inciso del art. 37.1 LOTC, alegara lo que estimase oportuno sobre la admisibilidad de la presente cuestión de inconstitucionalidad, por si pudiera resultar notoriamente infundada.</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El escrito de alegaciones del Fiscal General del Estado se registró en este Tribunal el 20 de junio de 1997. En él se cifran en tres las críticas vertidas por el órgano judicial al precepto cuestionado: a) Falta de justificación objetiva y razonable que legitime la excepcionalidad del límite cuantitativo; b) Infracción del principio de proporcionalidad de las penas al separar la punición de los supuestos privilegiados de contrabando de géneros de lícito comercio de los géneros estancados, y, c) Quiebra del principio de igualdad al no haber tenido en cuenta el legislador el desfase monetario en el contrabando de tabaco manteniendo la cuantía, en relación con la subida de cuantías en otros supuestos legales. </w:t>
      </w:r>
    </w:p>
    <w:p w:rsidR="00FA0779" w:rsidRDefault="00FA0779" w:rsidP="00FA0779">
      <w:pPr>
        <w:pStyle w:val="TextoNormal"/>
      </w:pPr>
      <w:r>
        <w:t xml:space="preserve">El Fiscal General estima conveniente recordar que el art. 14 de la Constitución implica la imposibilidad de que supuestos de hecho iguales originen consecuencias jurídicas distintas, lo que exige -a la hora de la comparación- comprobar si existe o no identidad de supuestos. También ha de tenerse en cuenta que, en casos como el contemplado, no pueden perderse de vista las facultades del legislador en orden a la definición de las conductas delictivas, las consecuencias inherentes a la transgresión de las normas y el juicio de proporcionalidad entre ambos, cuya competencia parlamentaria ha sido puesta profusamente de manifiesto por este Tribunal (STC 24/1993). </w:t>
      </w:r>
    </w:p>
    <w:p w:rsidR="00FA0779" w:rsidRDefault="00FA0779" w:rsidP="00FA0779">
      <w:pPr>
        <w:pStyle w:val="TextoNormal"/>
      </w:pPr>
      <w:r>
        <w:t xml:space="preserve">A partir de estas ideas, sostiene el Fiscal General del Estado que la distinta configuración dada al contrabando en la Ley Orgánica 12/1995 no puede ser considerada contraría al principio de igualdad en ninguna de las dimensiones pretendidas por el órgano judicial. Así, el primer requisito ausente sería el de la identidad de supuestos comparados. </w:t>
      </w:r>
    </w:p>
    <w:p w:rsidR="00FA0779" w:rsidRDefault="00FA0779" w:rsidP="00FA0779">
      <w:pPr>
        <w:pStyle w:val="TextoNormal"/>
      </w:pPr>
      <w:r>
        <w:t xml:space="preserve">En este sentido, la doctrina es constante al afirmar, de un lado, que el delito de contrabando tiene un carácter pluriofensivo y, de otro, que su persecución obedece al amparo de un bien jurídico diverso en cada uno de sus tipos, sin que puedan equipararse ni compararse los distintos géneros que en la Ley son objeto del delito. </w:t>
      </w:r>
    </w:p>
    <w:p w:rsidR="00FA0779" w:rsidRDefault="00FA0779" w:rsidP="00FA0779">
      <w:pPr>
        <w:pStyle w:val="TextoNormal"/>
      </w:pPr>
      <w:r>
        <w:t xml:space="preserve">No es posible la comparación entre las labores de tabaco, cuyo comercio ilegal se trata de evitar, y los géneros de lícito comercio a los que se alude en las letras a) y b) del apartado 1 del art. 2, en los que sólo se penaliza la conducta en la ausencia del requisito de no presentación al despacho aduanero. Tampoco son equiparables, por falta de homogeneidad de objetos de contrabando, las labores de tabaco y los géneros previstos en las letras c), d), e), f), g), h), i) y j), cuya cuantía para la punición delictiva se establece en 3.000.000. El legislador ha entendido que debía reaccionar con más intensidad jurídica contra estas conductas por razones de impacto social, económico y recaudatorio, y ello es suficiente para cubrir la previsión legislativa de la justificación objetiva y razonable que excepciona la concurrencia de desigualdad. </w:t>
      </w:r>
    </w:p>
    <w:p w:rsidR="00FA0779" w:rsidRDefault="00FA0779" w:rsidP="00FA0779">
      <w:pPr>
        <w:pStyle w:val="TextoNormal"/>
      </w:pPr>
      <w:r>
        <w:t xml:space="preserve">Igualmente ocurre -continúa el Fiscal General- con la crítica sobre la no elevación de cuantías para el delito de contrabando de tabaco. El órgano judicial señala como baremos comparativos la legislación atinente a otras materias, tales como delitos contra el patrimonio o delito fiscal, cuya similitud con el supuesto controvertido no existe. A este respecto ha de tenerse en cuenta lo ya dicho a propósito de la competencia legislativa, a la que habría que añadir la competencia del Ejecutivo para el diseño de la política criminal. Es, por tanto, conceptualmente asumible que, dirigida ésta a la represión del contrabando de tabaco con más intensidad que la de otros géneros, tal decisión sea una opción no revisable por este Tribunal. </w:t>
      </w:r>
    </w:p>
    <w:p w:rsidR="00FA0779" w:rsidRDefault="00FA0779" w:rsidP="00FA0779">
      <w:pPr>
        <w:pStyle w:val="TextoNormal"/>
      </w:pPr>
      <w:r>
        <w:t xml:space="preserve">El Fiscal General del Estado concluye afirmando que el cuestionamiento de la norma obedece a una postura doctrinal del juzgador, postura que, respetable en cuanto a la crítica de la formulación legal y de la punición del delito de contrabando, es notoriamente infundada en lo relacionado con su oposición al principio constitucional de igualdad. </w:t>
      </w:r>
    </w:p>
    <w:p w:rsidR="00FA0779" w:rsidRDefault="00FA0779" w:rsidP="00FA0779">
      <w:pPr>
        <w:pStyle w:val="TextoNormal"/>
      </w:pPr>
      <w:r>
        <w:lastRenderedPageBreak/>
        <w:t>Por lo expuesto, se interesa la inadmisión de la presente cuestión de inconstitucionalidad por ser notoriamente infundada.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La Ley Orgánica 12/1995 cifra en 3.000.000 de pesetas, con carácter general, el límite a partir del cual el contrabando de bienes, mercancías, géneros o efectos se tipifica como delito. El art. 2.3 b), sin embargo, rebaja ese límite a 1.000.000 de pesetas para el caso de que el contrabando lo sea de labores del tabaco. Se da, pues, un tratamiento diferenciado a la especie del contrabando de tabaco. El órgano judicial que promueve esta cuestión advierte que las razones de esa diferencia no pueden encontrarse en la propia Ley. Es más, en su Exposición de Motivos se señala que «parece oportuno proceder a una revisión de la Ley Orgánica 7/1982 ( ... ) para, entre otras finalidades, actualizar el valor limite que en la misma se fijó de 1.000.000 de pesetas para la distinción entre delito e infracción administrativa de contrabando ( ... )». Más adelante. se insiste en que «se incrementa la cuantía del valor de las mercancías para la tipificación del delito hasta 3.000.000 de pesetas, no solo para actualizar la equivalencia real del valor de la peseta, sino también para aliviar la carga que pesa sobre el orden jurisdiccional penal».  Ciertamente, en la exposición se alude específicamente al contrabando de tabaco, apuntándose que el «el impacto social, económico y recaudatorio del comercio ilegítimo de labores del tabaco obliga a intensificar la reacción jurídica frente a este ilícito». Podría pensarse que esa intensificación de la reacción jurídica se traduce, precisamente, en el mantenimiento del límite de 1.000.000 de pesetas. Sin embargo, la propia exposición de motivos aclara, a renglón seguido, que aquella intensificación se ha intentado por la vía de considerar «géneros estancados, a efectos de la nueva Ley, las labores del tabaco, aunque se trate de mercancías comunicarías». A los géneros estancados se refiere, con carácter general, el art. 2.1 d) de la Ley (en el que opera el límite general de los 3.000.000 de pesetas).</w:t>
      </w:r>
    </w:p>
    <w:p w:rsidR="00FA0779" w:rsidRDefault="00FA0779" w:rsidP="00FA0779">
      <w:pPr>
        <w:pStyle w:val="TextoNormal"/>
      </w:pPr>
      <w:r>
        <w:t>El órgano judicial proponente considera que la única justificación imaginable de esta diferencia de trato viene dada por el mayor quebranto que para la Hacienda Pública supone el contrabando de tabaco frente al de otros bienes y mercancías. En su opinión, sin embargo, esa sola circunstancia no puede contribuir una justificación objetiva y razonable, pues el contrabando de otros bienes puede producir idéntico quebranto y llevar aparejado, además, un juicio de valor negativo de mayor entidad.</w:t>
      </w:r>
    </w:p>
    <w:p w:rsidR="00FA0779" w:rsidRDefault="00FA0779" w:rsidP="00FA0779">
      <w:pPr>
        <w:pStyle w:val="TextoNormal"/>
      </w:pPr>
      <w:r>
        <w:t>El Fiscal General del Estado, por su parte, sostiene que falta el primero de los requisitos exigidos para hacer posible un juicio en término de igualdad, toda vez que los supuestos de hecho comparados son manifiestamente heterogéneos; además, a su juicio, el diverso tratamiento criminal de los distintos tipos de contrabando se enmarca en el ámbito de las competencias del legislativo, sin que este Tribunal, advertida la inexistencia de identidad en los supuestos de hecho, pueda inmiscuirse en ese ámbito.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El órgano judicial imputa al precepto cuestionado una posible vulneración del art. 14 C.E. Sin embargo, de la simple lectura de los antecedentes se desprende que lo que aduce es una desigualdad en el tratamiento de diversas especies de delitos, es decir, en la sanción de conductas que, a su juicio, son equivalentes. Planteado así el asunto, procede inadmitir la duda de constitucionalidad planteada, dado que el principio constitucional de igualdad opera entre personas y proscribe tratarlas desigualmente de modo injustificado, sin que esa </w:t>
      </w:r>
      <w:r>
        <w:lastRenderedPageBreak/>
        <w:t>prohibición de trato desigual, de él dímanante, pueda extenderse al trato diverso otorgado a conductas, sean o no equivalentes.</w:t>
      </w:r>
    </w:p>
    <w:p w:rsidR="00FA0779" w:rsidRDefault="00FA0779" w:rsidP="00FA0779">
      <w:pPr>
        <w:pStyle w:val="TextoNormal"/>
      </w:pPr>
      <w:r>
        <w:t>Las diferencias en la sanción de actos que, desde una perspectiva material, puedan ser considerados iguales habrán de enjuiciarse, pues, desde la perspectiva del principio de proporcionalidad. No obstante, como dijimos en la STC 55/1996, fundamento jurídico 3, la presunta vulneración del principio de proporcionalidad no puede ser tenida en cuenta por sí sola en esta sede, salvo que se conecte a algún precepto específico de la Constitución relevante para el enjuiciamiento del caso. El órgano que plantea la cuestión la aduce, precisamente, en relación con el principio de igualdad, cuya aplicación al enjuiciamiento constitucional del precepto objeto de este proceso es, en los términos en que se plantea el problema, inviable.</w:t>
      </w:r>
    </w:p>
    <w:p w:rsidR="00FA0779" w:rsidRDefault="00FA0779" w:rsidP="00FA0779">
      <w:pPr>
        <w:pStyle w:val="TextoNormal"/>
      </w:pPr>
      <w:r>
        <w:t>Lo dicho bastaría para inadmitir también la cuestión desde la perspectiva del principio de proporcionalidad. No obstante, cabría añadir que, por las razones que aduce el Fiscal General del Estado, el cuestionamiento de la norma obedece a una serie de razones doctrinales que no rebasan el ámbito de la legalidad ordinaria.</w:t>
      </w:r>
    </w:p>
    <w:p w:rsidR="00FA0779" w:rsidRDefault="00FA0779" w:rsidP="00FA0779">
      <w:pPr>
        <w:pStyle w:val="TextoNormal"/>
      </w:pPr>
      <w:r>
        <w:t>Debe concluirse, en suma, afirmando que la presente cuestión de inconstítucionalidad es notoriamente infundada.</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Por lo expuesto, el Pleno del Tribunal Constitucional acuerda la inadmisión de la presente cuestión de inconstitucionalidad y el archivo de las actuaciones.</w:t>
      </w:r>
    </w:p>
    <w:p w:rsidR="00FA0779" w:rsidRDefault="00FA0779" w:rsidP="00FA0779">
      <w:pPr>
        <w:pStyle w:val="TextoNormal"/>
      </w:pPr>
    </w:p>
    <w:p w:rsidR="00FA0779" w:rsidRDefault="00FA0779" w:rsidP="00FA0779">
      <w:pPr>
        <w:pStyle w:val="TextoNormal"/>
      </w:pPr>
      <w:r>
        <w:t>Madrid, a veintidós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7" w:name="AUTO_1997_294"/>
      <w:r>
        <w:lastRenderedPageBreak/>
        <w:t>AUTO 294/1997, de 23 de julio de 1997</w:t>
      </w:r>
    </w:p>
    <w:bookmarkEnd w:id="227"/>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ECLI:ES:TC:1997:294A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inadmisión a trámite del recurso de amparo 2.481/1996.</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Por escrito registrado en este Tribunal el día 18 de junio de 1996, procedente del Juzgado de Guardia de Madrid, el Procurador de los Tribunales don Santos Gandarillas Carmona, en nombre y representación de doña María Concepción Zamora Iribarne, interpuso recurso de amparo contra el Auto de la Sala Tercera del Tribunal Supremo de 26 de marzo de 1996, dictado en el recurso contencioso-administrativo núm. 188/87, procedente de la Audiencia de Bilbao.</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Según se deduce de la demanda y de la documentación que se acompaña, el recurso se basa en los siguientes hechos: </w:t>
      </w:r>
    </w:p>
    <w:p w:rsidR="00FA0779" w:rsidRDefault="00FA0779" w:rsidP="00FA0779">
      <w:pPr>
        <w:pStyle w:val="TextoNormal"/>
      </w:pPr>
      <w:r>
        <w:t xml:space="preserve">a) La recurrente, farmacéutica de profesión, fue emplazada en la instancia, como posible perjudicada, en el recurso contencioso-administrativo núm. 188/87, relativo a declaración de caducidad de reserva de titularidad de farmacia, que fue instado por el hijo del farmacéutico afectado por la decisión del Colegio de declarar caducado el derecho a continuar la oficina de farmacia de su padre. </w:t>
      </w:r>
    </w:p>
    <w:p w:rsidR="00FA0779" w:rsidRDefault="00FA0779" w:rsidP="00FA0779">
      <w:pPr>
        <w:pStyle w:val="TextoNormal"/>
      </w:pPr>
      <w:r>
        <w:t xml:space="preserve">b) No obstante, el emplazamiento, cuya existencia fue expresamente reconocida en la demanda, la recurrente no se personó en el procedimiento. </w:t>
      </w:r>
    </w:p>
    <w:p w:rsidR="00FA0779" w:rsidRDefault="00FA0779" w:rsidP="00FA0779">
      <w:pPr>
        <w:pStyle w:val="TextoNormal"/>
      </w:pPr>
      <w:r>
        <w:t xml:space="preserve">c) El referido pleito terminó por Sentencia del Tribunal Superior de Justicia del País Vasco, de fecha 19 de julio de 1991, que fue recurrida por el demandante ante la jurisdicción ordinaria. </w:t>
      </w:r>
    </w:p>
    <w:p w:rsidR="00FA0779" w:rsidRDefault="00FA0779" w:rsidP="00FA0779">
      <w:pPr>
        <w:pStyle w:val="TextoNormal"/>
      </w:pPr>
      <w:r>
        <w:t xml:space="preserve">d) Encontrándose los autos en el Tribunal Supremo, la recurrente decidió personarse y solicitar que se le diera vista de las actuaciones, para formular alegaciones y, en su caso, valerse de los medios de prueba que estimare pertinentes. </w:t>
      </w:r>
    </w:p>
    <w:p w:rsidR="00FA0779" w:rsidRDefault="00FA0779" w:rsidP="00FA0779">
      <w:pPr>
        <w:pStyle w:val="TextoNormal"/>
      </w:pPr>
      <w:r>
        <w:t>e) El Tribunal Supremo, mediante la resolución objeto de este recurso, decidió tener por personada a la recurrente en la apelación que se estaba tramitando, pero denegar las otras solicitudes formuladas, en atención al avanzado estado de tramitación del procedimiento, y ser por causa a ella imputable la falta de personación en la instancia.</w:t>
      </w:r>
    </w:p>
    <w:p w:rsidR="00FA0779" w:rsidRDefault="00FA0779" w:rsidP="00FA0779">
      <w:pPr>
        <w:pStyle w:val="TextoNormal"/>
      </w:pPr>
    </w:p>
    <w:p w:rsidR="00FA0779" w:rsidRDefault="00FA0779" w:rsidP="00FA0779">
      <w:pPr>
        <w:pStyle w:val="TextoNormal"/>
      </w:pPr>
      <w:r w:rsidRPr="00FA0779">
        <w:rPr>
          <w:rStyle w:val="NumeroAFNegritaCaracter"/>
        </w:rPr>
        <w:t>3</w:t>
      </w:r>
      <w:r>
        <w:t xml:space="preserve">. En la demanda de amparo se considera que la inadmisión del recurso de casación ha supuesto una infracción del art. 24.1 C.E. que imputa a la resolución recurrida, por negarle el derecho a ser oída. </w:t>
      </w:r>
    </w:p>
    <w:p w:rsidR="00FA0779" w:rsidRDefault="00FA0779" w:rsidP="00FA0779">
      <w:pPr>
        <w:pStyle w:val="TextoNormal"/>
      </w:pPr>
      <w:r>
        <w:lastRenderedPageBreak/>
        <w:t xml:space="preserve">En contra del argumento de que el pleito se encuentra en un avanzado estado de tramitación, señala que en fecha 31 de diciembre de 1993, presentó escrito de personación ante el Tribunal Supremo, que no fue proveído hasta el 4 de septiembre de 1995, siendo en esa misma fecha cuando consta la presentación del escrito de alegaciones del Colegio de Farmacéuticos, teniéndole por instruido y hechas sus alegaciones en el recurso de apelación. </w:t>
      </w:r>
    </w:p>
    <w:p w:rsidR="00FA0779" w:rsidRDefault="00FA0779" w:rsidP="00FA0779">
      <w:pPr>
        <w:pStyle w:val="TextoNormal"/>
      </w:pPr>
      <w:r>
        <w:t>Esta circunstancia pone de manifiesto que la petición de la recurrente era un acto posible, no realizado únicamente por causa de la lenta tramitación del proceso, teniendo, además en cuenta, la previsión legal contenida en el art. 100.4 de la L.J.C.A., entonces vigente, según la cual las partes deberán evacuar el trámite de instrucción de manera sucesiva, presentando las alegaciones correspondientes a sus pretensiones.</w:t>
      </w:r>
    </w:p>
    <w:p w:rsidR="00FA0779" w:rsidRDefault="00FA0779" w:rsidP="00FA0779">
      <w:pPr>
        <w:pStyle w:val="TextoNormal"/>
      </w:pPr>
    </w:p>
    <w:p w:rsidR="00FA0779" w:rsidRDefault="00FA0779" w:rsidP="00FA0779">
      <w:pPr>
        <w:pStyle w:val="TextoNormal"/>
      </w:pPr>
      <w:r w:rsidRPr="00FA0779">
        <w:rPr>
          <w:rStyle w:val="NumeroAFNegritaCaracter"/>
        </w:rPr>
        <w:t>4</w:t>
      </w:r>
      <w:r>
        <w:t>. Por providencia de fecha 21 de octubre de 1996, la Sección acordó tener por recibido el escrito presentado por la recurrente, y de conformidad con lo dispuesto en el art. 50.3 de la LOTC, conceder al Ministerio Fiscal y a los solicitantes de amparo, un plazo de diez días para que alegaran cuanto estimasen pertinente en relación con la posible concurrencia del motivo de inadmisión, consistente en la carencia manifiesta de contenido de la demanda que justifique una decisión por parte del Tribunal, de conformidad con lo prevenido en el art. 50.1 c) de la LOTC.</w:t>
      </w:r>
    </w:p>
    <w:p w:rsidR="00FA0779" w:rsidRDefault="00FA0779" w:rsidP="00FA0779">
      <w:pPr>
        <w:pStyle w:val="TextoNormal"/>
      </w:pPr>
    </w:p>
    <w:p w:rsidR="00FA0779" w:rsidRDefault="00FA0779" w:rsidP="00FA0779">
      <w:pPr>
        <w:pStyle w:val="TextoNormal"/>
      </w:pPr>
      <w:r w:rsidRPr="00FA0779">
        <w:rPr>
          <w:rStyle w:val="NumeroAFNegritaCaracter"/>
        </w:rPr>
        <w:t>5</w:t>
      </w:r>
      <w:r>
        <w:t xml:space="preserve">. Mediante escrito de fecha 10 de diciembre de 1996, el Ministerio Fiscal presentó escrito interesando la inadmisión de la demanda, pero por aplicación del art. 50.1 a) de la LOTC, ya que al no haberse dictado Sentencia en el proceso a quo, no es posible determinar si la solicitante de amparo ha sufrido una merma real y efectiva de sus derechos fundamentales (AATC 168/1995 y 173/1995). Aunque efectivamente no caben recursos contra la resolución del Tribunal Supremo impugnada en amparo, señala el Ministerio Público que, de conformidad con lo dicho en la STC 147/1994, fundamento jurídico 3, debe concluirse que la actora puede ver sus derechos debidamente tutelados en la Sentencia que resuelva la apelación, con lo que el recurso de amparo deviene prematuro, sin respetarse su carácter subsidiario y último. </w:t>
      </w:r>
    </w:p>
    <w:p w:rsidR="00FA0779" w:rsidRDefault="00FA0779" w:rsidP="00FA0779">
      <w:pPr>
        <w:pStyle w:val="TextoNormal"/>
      </w:pPr>
      <w:r>
        <w:t>El Fiscal puso también de manifiesto que con la documentación aportada, carecía de datos suficientes para emitir un informe sobre el contenido constitucional de la demanda.</w:t>
      </w:r>
    </w:p>
    <w:p w:rsidR="00FA0779" w:rsidRDefault="00FA0779" w:rsidP="00FA0779">
      <w:pPr>
        <w:pStyle w:val="TextoNormal"/>
      </w:pPr>
    </w:p>
    <w:p w:rsidR="00FA0779" w:rsidRDefault="00FA0779" w:rsidP="00FA0779">
      <w:pPr>
        <w:pStyle w:val="TextoNormal"/>
      </w:pPr>
      <w:r w:rsidRPr="00FA0779">
        <w:rPr>
          <w:rStyle w:val="NumeroAFNegritaCaracter"/>
        </w:rPr>
        <w:t>6</w:t>
      </w:r>
      <w:r>
        <w:t>. Por su parte, el demandante de amparo, mediante escrito registrado en esta sede el día 9 de diciembre de 1996, reiteró su petición inicial en favor de la admisión a trámite de la demanda, dando por reproducidos los argumentos contenidos en la misma.</w:t>
      </w:r>
    </w:p>
    <w:p w:rsidR="00FA0779" w:rsidRDefault="00FA0779" w:rsidP="00FA0779">
      <w:pPr>
        <w:pStyle w:val="TextoNormal"/>
      </w:pPr>
    </w:p>
    <w:p w:rsidR="00FA0779" w:rsidRDefault="00FA0779" w:rsidP="00FA0779">
      <w:pPr>
        <w:pStyle w:val="TextoNormal"/>
      </w:pPr>
      <w:r w:rsidRPr="00FA0779">
        <w:rPr>
          <w:rStyle w:val="NumeroAFNegritaCaracter"/>
        </w:rPr>
        <w:t>7</w:t>
      </w:r>
      <w:r>
        <w:t xml:space="preserve">. Mediante providencia de 20 de febrero de 1997, la Sección acordó requerir a los órganos judiciales la remisión del testimonio de las actuaciones sustanciadas ante ellos, de lo que dio traslado a la parte. </w:t>
      </w:r>
    </w:p>
    <w:p w:rsidR="00FA0779" w:rsidRDefault="00FA0779" w:rsidP="00FA0779">
      <w:pPr>
        <w:pStyle w:val="TextoNormal"/>
      </w:pPr>
      <w:r>
        <w:t>S. La recurrente se ratificó en sus alegaciones anteriores, mientras que el Fiscal interesó la inadmisión de la demanda, habida cuenta la falta de personación de la recurrente en la instancia, lo que hizo precluir su derecho a la proposición de prueba.</w:t>
      </w:r>
    </w:p>
    <w:p w:rsidR="00FA0779" w:rsidRDefault="00FA0779" w:rsidP="00FA0779">
      <w:pPr>
        <w:pStyle w:val="TextoNormal"/>
      </w:pPr>
    </w:p>
    <w:p w:rsidR="00FA0779" w:rsidRDefault="00FA0779" w:rsidP="00FA0779">
      <w:pPr>
        <w:pStyle w:val="TextoNormalNegritaCentrado"/>
        <w:keepNext/>
      </w:pPr>
      <w:r>
        <w:lastRenderedPageBreak/>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Tras examinar las alegaciones de la recurrente y del Ministerio Fiscal, hemos de confirmar nuestra inicial apreciación de que la demanda carece manifiestamente de contenido constitucional que justifique su resolución mediante Sentencia y, por tanto, no procede su admisión a trámite [art. 50.1 c) LOTC].</w:t>
      </w:r>
    </w:p>
    <w:p w:rsidR="00FA0779" w:rsidRDefault="00FA0779" w:rsidP="00FA0779">
      <w:pPr>
        <w:pStyle w:val="TextoNormal"/>
      </w:pPr>
      <w:r>
        <w:t>Un primer análisis de las actuaciones pone de manifiesto que de las tres peticiones que, en fase de apelación, se formularon por la recurrente ante el Tribunal Supremo, derecho a personarse en las actuaciones, a proponer prueba y a formular alegaciones, únicamente la primera de ellas fue atendida. En consecuencia, la posible infracción del art. 24.1 C.E. se reduce a determinar, si bien, respecto de la denegación de proposición de prueba, o bien, por lo que se refiere a la privación del derecho a formular alegaciones, el Tribunal Supremo incurrió en un rigor incompatible con los postulados del derecho a la tutela judicial efectiva.</w:t>
      </w:r>
    </w:p>
    <w:p w:rsidR="00FA0779" w:rsidRDefault="00FA0779" w:rsidP="00FA0779">
      <w:pPr>
        <w:pStyle w:val="TextoNormal"/>
      </w:pPr>
    </w:p>
    <w:p w:rsidR="00FA0779" w:rsidRDefault="00FA0779" w:rsidP="00FA0779">
      <w:pPr>
        <w:pStyle w:val="TextoNormal"/>
      </w:pPr>
      <w:r w:rsidRPr="00FA0779">
        <w:rPr>
          <w:rStyle w:val="NumeroAFNegritaCaracter"/>
        </w:rPr>
        <w:t>2</w:t>
      </w:r>
      <w:r>
        <w:t>. En relación con la primera de las cuestiones antes planteada, es preciso recordar que el supuesto se contrae a una petición de práctica de prueba en segunda instancia, pues el recurso contencioso-administrativo ante el Tribunal Supremo se sustancia aún por los trámites del recurso de apelación. Sobre este punto la norma, Disposición adicional sexta L.J.C.A. en relación con los arts.  897 y 862 L.E.C., es clara y contundente, pues únicamente cabrá la admisión y práctica de prueba en los supuestos tasados que expresamente se prevén en los preceptos indicados, que, de forma indubitada, puede afirmarse que no concurren en este caso.</w:t>
      </w:r>
    </w:p>
    <w:p w:rsidR="00FA0779" w:rsidRDefault="00FA0779" w:rsidP="00FA0779">
      <w:pPr>
        <w:pStyle w:val="TextoNormal"/>
      </w:pPr>
      <w:r>
        <w:t>En definitiva, por lo que a este extremo atañe, la decisión del Tribunal Supremo en modo alguno puede calificarse de arbitraria, por lo que la cuestión no merece mayor comentario.</w:t>
      </w:r>
    </w:p>
    <w:p w:rsidR="00FA0779" w:rsidRDefault="00FA0779" w:rsidP="00FA0779">
      <w:pPr>
        <w:pStyle w:val="TextoNormal"/>
      </w:pPr>
    </w:p>
    <w:p w:rsidR="00FA0779" w:rsidRDefault="00FA0779" w:rsidP="00FA0779">
      <w:pPr>
        <w:pStyle w:val="TextoNormal"/>
      </w:pPr>
      <w:r w:rsidRPr="00FA0779">
        <w:rPr>
          <w:rStyle w:val="NumeroAFNegritaCaracter"/>
        </w:rPr>
        <w:t>3</w:t>
      </w:r>
      <w:r>
        <w:t>. Así las cosas, resta analizar la última de las peticiones articuladas ante el Tribunal Supremo, derecho a formular alegaciones, que mereció una respuesta adversa a los intereses de la recurrente.</w:t>
      </w:r>
    </w:p>
    <w:p w:rsidR="00FA0779" w:rsidRDefault="00FA0779" w:rsidP="00FA0779">
      <w:pPr>
        <w:pStyle w:val="TextoNormal"/>
      </w:pPr>
      <w:r>
        <w:t>En primer lugar conviene realizar una precisión conceptual respecto de los términos «alegaciones» y «derecho de audiencia», que es de indudable trascendencia para la suerte de este recurso, y que la recurrente, de forma interesada, hace coincidir. El derecho a ser oído, que lleva consigo el de proponer la prueba que se estime pertinente, se ejercita en el momento de contestar la demanda, mientras que el de formular alegaciones se concibe como el trámite adecuado para realizar la valoración de la prueba, ya que realmente se trata de un informe final. Sentadas estas premisas, de la propia demanda se desprende, de forma indubitada, que la recurrente, a pesar de estar debidamente citada, por causa sólo a ella imputable no se personó en la instancia, perdiendo por este motivo la posibilidad de articular su defensa con las máximas garantías que la Ley establece, circunstancia que impide cualquier reclamación de indefensión por este motivo.</w:t>
      </w:r>
    </w:p>
    <w:p w:rsidR="00FA0779" w:rsidRDefault="00FA0779" w:rsidP="00FA0779">
      <w:pPr>
        <w:pStyle w:val="TextoNormal"/>
      </w:pPr>
      <w:r>
        <w:t>De lo anteriormente expuesto se desprende que lo que está en tela de juicio no es el derecho de la recurrente a ser oída y, por tanto, acceder a la jurisdicción, sino exactamente, su derecho a hacer llegar al Tribunal su personal valoración de la prueba, y más concretamente de la prueba ajena, ya que, como hemos visto, también habría precluído su derecho a la proposición de prueba en la instancia, sin que concurran circunstancias excepcionales que permitan la admisión de prueba en la fase de apelación.</w:t>
      </w:r>
    </w:p>
    <w:p w:rsidR="00FA0779" w:rsidRDefault="00FA0779" w:rsidP="00FA0779">
      <w:pPr>
        <w:pStyle w:val="TextoNormal"/>
      </w:pPr>
      <w:r>
        <w:lastRenderedPageBreak/>
        <w:t>Llegados a este punto, el avanzado estado de tramitación del procedimiento, argumento básico del Auto impugnado, puede admitirse, sin esfuerzo, como un elemento determinante a los efectos de denegar a la compareciente el derecho a formular alegaciones, pues en caso de accederse a ello, se retrasaría de forma injustificada el desarrollo del proceso, con el consiguiente perjuicio de las partes que comparecieron desde el inicio, cumpliendo con todas las cargas procesales. A este respecto, resulta necesario dejar constancia de que el caso que nos ocupa es substancialmente distinto del contemplado en la STC 188/1992, que garantiza en todo caso a quien se persone tardíamente en el proceso el derecho a comparecer en la vista, que por asimilación podría extenderse al de formular alegaciones. Efectivamente, en el caso citado se ventilaba una cuestión penal, que goza en la segunda instancia de una especial protección, y la tardía incomparecencia se debió a un error del Juzgado de Instancia, y no como ocurre en el presente, a la voluntaria dejación de sus derechos por la parte.</w:t>
      </w:r>
    </w:p>
    <w:p w:rsidR="00FA0779" w:rsidRDefault="00FA0779" w:rsidP="00FA0779">
      <w:pPr>
        <w:pStyle w:val="TextoNormal"/>
      </w:pPr>
    </w:p>
    <w:p w:rsidR="00FA0779" w:rsidRDefault="00FA0779" w:rsidP="00FA0779">
      <w:pPr>
        <w:pStyle w:val="TextoNormal"/>
      </w:pPr>
      <w:r w:rsidRPr="00FA0779">
        <w:rPr>
          <w:rStyle w:val="NumeroAFNegritaCaracter"/>
        </w:rPr>
        <w:t>4</w:t>
      </w:r>
      <w:r>
        <w:t>. En definitiva, puede concluirse que el Auto impugnado es una resolución ponderada, y desde luego no arbitraria, que reconoce el derecho de la recurrente a personarse en el procedimiento, pero que toma en consideración y valora un dato especialmente relevante, como es su voluntaria incomparecencia en la primera instancia, lo que no ocurre con las demás partes, para denegarle el derecho a valorar la prueba practicada en el proceso, por lo que no puede afirmarse que sea contrario al art. 24.1 C.E.</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atención a lo expuesto, la Sala ha acordado inadmitir la demanda.</w:t>
      </w:r>
    </w:p>
    <w:p w:rsidR="00FA0779" w:rsidRDefault="00FA0779" w:rsidP="00FA0779">
      <w:pPr>
        <w:pStyle w:val="TextoNormal"/>
      </w:pPr>
    </w:p>
    <w:p w:rsidR="00FA0779" w:rsidRDefault="00FA0779" w:rsidP="00FA0779">
      <w:pPr>
        <w:pStyle w:val="TextoNormal"/>
      </w:pPr>
      <w:r>
        <w:t>Madrid, a veintitrés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8" w:name="AUTO_1997_295"/>
      <w:r>
        <w:lastRenderedPageBreak/>
        <w:t>AUTO 295/1997, de 23 de julio de 1997</w:t>
      </w:r>
    </w:p>
    <w:bookmarkEnd w:id="228"/>
    <w:p w:rsidR="00FA0779" w:rsidRDefault="00FA0779" w:rsidP="00FA0779">
      <w:pPr>
        <w:pStyle w:val="TtuloResolucin"/>
      </w:pPr>
      <w:r>
        <w:t>Sección Segunda</w:t>
      </w:r>
    </w:p>
    <w:p w:rsidR="00FA0779" w:rsidRDefault="00FA0779" w:rsidP="00FA0779">
      <w:pPr>
        <w:pStyle w:val="TtuloResolucin"/>
      </w:pPr>
    </w:p>
    <w:p w:rsidR="00FA0779" w:rsidRDefault="00FA0779" w:rsidP="00FA0779">
      <w:pPr>
        <w:pStyle w:val="SntesisDescriptiva"/>
      </w:pPr>
      <w:r>
        <w:t>ECLI:ES:TC:1997:295A</w:t>
      </w:r>
    </w:p>
    <w:p w:rsidR="00FA0779" w:rsidRDefault="00FA0779" w:rsidP="00FA0779">
      <w:pPr>
        <w:pStyle w:val="SntesisDescriptiva"/>
      </w:pPr>
    </w:p>
    <w:p w:rsidR="00FA0779" w:rsidRDefault="00FA0779" w:rsidP="00FA0779">
      <w:pPr>
        <w:pStyle w:val="SntesisDescriptiva"/>
      </w:pPr>
      <w:r>
        <w:t>Excms. Srs. don José Vicente Gimeno Sendra, don Manuel Jiménez de Parga y Cabrera y don Pablo García Manzano.</w:t>
      </w:r>
    </w:p>
    <w:p w:rsidR="00FA0779" w:rsidRDefault="00FA0779" w:rsidP="00FA0779">
      <w:pPr>
        <w:pStyle w:val="SntesisDescriptiva"/>
      </w:pPr>
    </w:p>
    <w:p w:rsidR="00FA0779" w:rsidRDefault="00FA0779" w:rsidP="00FA0779">
      <w:pPr>
        <w:pStyle w:val="SntesisDescriptiva"/>
      </w:pPr>
      <w:r>
        <w:t>Acordando la inadmisión a trámite del recurso de amparo 402/1997.</w:t>
      </w:r>
    </w:p>
    <w:p w:rsidR="00FA0779" w:rsidRDefault="00FA0779" w:rsidP="00FA0779">
      <w:pPr>
        <w:pStyle w:val="SntesisDescriptiva"/>
      </w:pPr>
    </w:p>
    <w:p w:rsidR="00FA0779" w:rsidRDefault="00FA0779" w:rsidP="00FA0779">
      <w:pPr>
        <w:pStyle w:val="SntesisDescriptiva"/>
      </w:pPr>
    </w:p>
    <w:p w:rsidR="00FA0779" w:rsidRDefault="00FA0779" w:rsidP="00FA0779">
      <w:pPr>
        <w:pStyle w:val="SntesisDescriptiv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keepNext/>
      </w:pPr>
      <w:r>
        <w:t>I. Antecedentes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Mediante escrito registrado en este Tribunal el 3 de febrero de 1997 (31 de enero de 1996 ante el Juzgado de Guardia), don Pablo Sebastián Bueno y don José Luis Lobo Pérez, bajo la representación procesal del Procurador de los Tribunales don Antonio María Álvarez Buylla Ballesteros, interpusieron demanda de amparo constitucional contra la Sentencia de la Sala Primera del Tribunal Supremo, de 30 de diciembre de 1996, que estimó el recurso de casación promovido contra la Sentencia de la Audiencia Provincial de Madrid, recaída en apelación contra la dictada por el Juzgado de Primera Instancia núm. 36 de aquella capital, en autos de juicio incidental sobre protección del derecho al honor.</w:t>
      </w:r>
    </w:p>
    <w:p w:rsidR="00FA0779" w:rsidRDefault="00FA0779" w:rsidP="00FA0779">
      <w:pPr>
        <w:pStyle w:val="TextoNormal"/>
      </w:pPr>
    </w:p>
    <w:p w:rsidR="00FA0779" w:rsidRDefault="00FA0779" w:rsidP="00FA0779">
      <w:pPr>
        <w:pStyle w:val="TextoNormal"/>
      </w:pPr>
      <w:r w:rsidRPr="00FA0779">
        <w:rPr>
          <w:rStyle w:val="NumeroAFNegritaCaracter"/>
        </w:rPr>
        <w:t>2</w:t>
      </w:r>
      <w:r>
        <w:t xml:space="preserve">. Los hechos en que se fundamenta la demanda son, sucintamente expuestos, los siguientes: </w:t>
      </w:r>
    </w:p>
    <w:p w:rsidR="00FA0779" w:rsidRDefault="00FA0779" w:rsidP="00FA0779">
      <w:pPr>
        <w:pStyle w:val="TextoNormal"/>
      </w:pPr>
      <w:r>
        <w:t xml:space="preserve">a) El día 28 de marzo de 1990, el periódico «El Independiente», publicó un artículo firmado por el señor Lobo y titulado «Un hermano de Múgica y Nicolás Franco denunciados por estafa. Acusados de falsear el importe real de la venta de unos terrenos». La noticia era una versión de una nota de la Agencia EFE que se basaba en una denuncia interpuesta ante la Fiscalía del Tribunal Superior de Justicia de Valencia, y que fue publicada por otros medios de prensa escrita (así «ABC», «El País», «El Mundo» ... ). </w:t>
      </w:r>
    </w:p>
    <w:p w:rsidR="00FA0779" w:rsidRDefault="00FA0779" w:rsidP="00FA0779">
      <w:pPr>
        <w:pStyle w:val="TextoNormal"/>
      </w:pPr>
      <w:r>
        <w:t>b) Don Fernando Múgica Herzog, aludido en la citada información, interpuso demanda incidental de protección del derecho al honor. La cuestión fundamental planteada en la misma era la falta de veracidad de la noticia publicada en «El Independiente». Se afirmaba, en este sentido, que «basta leer la denuncia para comprobar que don Fernando Múgica Herzog no es el denunciado... y que su nombre sólo se menciona de modo marginal para decir que actuó como Secretario del "Casino Costa Blanca, S. A.", y, sobre todo, que es hermano del actual Ministro de Justicia... Compruébese que la denuncia no señalaba en absoluto que don Fernando Múgica Herzog negociara y firmase la supuesta venta que se le atribuye..., y menos aún que realizase declaraciones fraudulentas a la Hacienda Pública, ni que pasaran a sus manos 553.000.000 de pesetas de "dinero negro"... No sólo no son ciertos tales morbosos y escandalosamente aireados hechos supuestamente cometidos por don Fernando Múgica... sino que estos hechos ni siquiera los relata la denuncia; se deduce que constituyen una invención periodística ... ». Además, posteriormente, la Fiscalía del Tri</w:t>
      </w:r>
      <w:r>
        <w:lastRenderedPageBreak/>
        <w:t xml:space="preserve">bunal Superior de Justicia de Valencia acordó decretar el archivo por entender que los hechos denunciados no revisten caracteres de delito. </w:t>
      </w:r>
    </w:p>
    <w:p w:rsidR="00FA0779" w:rsidRDefault="00FA0779" w:rsidP="00FA0779">
      <w:pPr>
        <w:pStyle w:val="TextoNormal"/>
      </w:pPr>
      <w:r>
        <w:t xml:space="preserve">El Juzgado de Primera Instancia núm. 36 de Madrid que conoció el asunto desestimó la demanda por considerar: que el origen de la noticia era la nota difundida por la Agencia EFE y publicada en distintos medios de información; que dicha información, aunque con ciertas imprecisiones, se ajustaba a la realidad; que no podía dudarse de la relevancia pública de las personas denunciadas, y, finalmente, que en la información no se contenían expresiones injuriosas o atentatorias al honor del demandante. </w:t>
      </w:r>
    </w:p>
    <w:p w:rsidR="00FA0779" w:rsidRDefault="00FA0779" w:rsidP="00FA0779">
      <w:pPr>
        <w:pStyle w:val="TextoNormal"/>
      </w:pPr>
      <w:r>
        <w:t xml:space="preserve">c) Esta Sentencia sería confirmada en apelación por la Audiencia Provincial de Madrid. Promovido recurso de casación ante la Sala Primera del Tribunal Supremo, éste revocó la Sentencia recurrida y condenó a los demandados al pago de una indemnización de 10.000.000 de pesetas por intromisión ilegítima en el honor del demandante. </w:t>
      </w:r>
    </w:p>
    <w:p w:rsidR="00FA0779" w:rsidRDefault="00FA0779" w:rsidP="00FA0779">
      <w:pPr>
        <w:pStyle w:val="TextoNormal"/>
      </w:pPr>
      <w:r>
        <w:t xml:space="preserve">En su Sentencia, razona la Sala Primera del Tribunal Supremo que el periodista demandado no observó la debida diligencia en la comprobación de la veracidad de los hechos informados, pues, ni en los escritos de denuncia presentados ante la Fiscalía ni en la nota difundida por la Agencia EFE, aportada a los autos, se contiene un relato de hechos que permite realizar las afirmaciones vertidas en la noticia objeto de litigio. </w:t>
      </w:r>
    </w:p>
    <w:p w:rsidR="00FA0779" w:rsidRDefault="00FA0779" w:rsidP="00FA0779">
      <w:pPr>
        <w:pStyle w:val="TextoNormal"/>
      </w:pPr>
      <w:r>
        <w:t xml:space="preserve">4. En su demanda de amparo aducen los recurrentes la vulneración de su derecho fundamental a la libertad de información [art. 20.1 d) C.E.], que directamente imputan la Sentencia dictada por el Tribunal Supremo. Se alega, en este sentido, que el citado órgano judicial no ha ponderado debidamente el conflicto entre el derecho al honor del demandante y el derecho a la información de los ahora solicitantes de amparo. En efecto, la información en su día difundida tomó la noticia de la Agencia EFE y de la propia denuncia ante la Fiscalía, por lo que indudablemente los informadores cumplieron con la diligencia media que les era exigible en aras a comprobar la veracidad de la información difundida. Además, la noticia no contiene errores o imprecisiones graves ni está redactada en tono ofensivo en relación con las personas que protagonizaron esa información. </w:t>
      </w:r>
    </w:p>
    <w:p w:rsidR="00FA0779" w:rsidRDefault="00FA0779" w:rsidP="00FA0779">
      <w:pPr>
        <w:pStyle w:val="TextoNormal"/>
      </w:pPr>
      <w:r>
        <w:t xml:space="preserve">5. La Sección Segunda, por providencia de 29 de abril de 1997, acordó, a tenor de lo dispuesto en el art. 50.3 LOTC, conceder la los solicitantes de amparo y al Ministerio Fiscal el plazo común de diez días para que, en dicho término, presentase las alegaciones que estimasen pertinentes sobre la eventual concurrencia de la causa de inadmisión prevista en el art. 50.1 c) LOTC y consistente en la carencia manifiesta de contenido de la demanda. </w:t>
      </w:r>
    </w:p>
    <w:p w:rsidR="00FA0779" w:rsidRDefault="00FA0779" w:rsidP="00FA0779">
      <w:pPr>
        <w:pStyle w:val="TextoNormal"/>
      </w:pPr>
      <w:r>
        <w:t xml:space="preserve">6. El día 16 de mayo de 1997 registró su escrito de alegaciones la representación procesal de los demandantes de amparo. En línea con lo ya argumentado en su escrito de demanda, se insiste ahora en la doctrina constitucional que ha ido perfilando el concepto de información veraz como límite al ejercicio del derecho de información. Dicha jurisprudencia constitucional exige, al efecto, no una imposible prueba sobre la absoluta veracidad de la información, sino que por parte de los informantes se hubiese mantenido una mínima diligencia comprobatoria. El cumplimiento de ese deber, tendente a garantizar una información diligentemente contrastada, no es incompatible con el error o con eventuales inexactitudes en el relato de la noticia. Por esta misma razón, como en numerosas ocasiones ha declarado este Tribunal Constitucional, información veraz equivale a información comprobada según los cánones de la profesión informativa, excluyendo invenciones, rumores o meras insidias. Se deduce de todo ello, no sólo que el debate sometido a la consideración del Tribunal presenta un claro contenido constitucional, sino también que existen fundadas razones para que se otorgue el amparo solicitado. </w:t>
      </w:r>
    </w:p>
    <w:p w:rsidR="00FA0779" w:rsidRDefault="00FA0779" w:rsidP="00FA0779">
      <w:pPr>
        <w:pStyle w:val="TextoNormal"/>
      </w:pPr>
      <w:r>
        <w:t xml:space="preserve">7. El Ministerio Fiscal registró su alegato el día 19 de mayo de 1997. Tras una sucinta exposición de los hechos, estima el Ministerio Público que en la Sentencia impugnada se </w:t>
      </w:r>
      <w:r>
        <w:lastRenderedPageBreak/>
        <w:t>ha realizado una adecuada ponderación de los derechos fundamentales en conflicto. Si bien es cierto que la jurisprudencia constitucional ha señalado que la veracidad no supone un ajuste perfecto entre lo acontecido y lo publicado, admitiendo errores como amparados con la libertad de información, así como el especial esfuerzo informativo, ello no protege conductas como la presente en las que existe una diligencia insuficiente del informador y una presentación de la noticia que desvirtúa sensiblemente su contenido real (SSTC 139/1995 y 28/1996). Por todo ello, concluye el Ministerio Fiscal interesando la inadmisión a trámite de la presente demanda.</w:t>
      </w:r>
    </w:p>
    <w:p w:rsidR="00FA0779" w:rsidRDefault="00FA0779" w:rsidP="00FA0779">
      <w:pPr>
        <w:pStyle w:val="TextoNormal"/>
      </w:pPr>
    </w:p>
    <w:p w:rsidR="00FA0779" w:rsidRDefault="00FA0779" w:rsidP="00FA0779">
      <w:pPr>
        <w:pStyle w:val="TextoNormalNegritaCentrado"/>
        <w:keepNext/>
      </w:pPr>
      <w:r>
        <w:t>II. Fundamentos jurídicos</w:t>
      </w:r>
    </w:p>
    <w:p w:rsidR="00FA0779" w:rsidRDefault="00FA0779" w:rsidP="00FA0779">
      <w:pPr>
        <w:pStyle w:val="TextoNormalNegritaCentrado"/>
        <w:keepNext/>
      </w:pPr>
    </w:p>
    <w:p w:rsidR="00FA0779" w:rsidRDefault="00FA0779" w:rsidP="00FA0779">
      <w:pPr>
        <w:pStyle w:val="TextoNormal"/>
      </w:pPr>
      <w:r w:rsidRPr="00FA0779">
        <w:rPr>
          <w:rStyle w:val="NumeroAFNegritaCaracter"/>
        </w:rPr>
        <w:t>1</w:t>
      </w:r>
      <w:r>
        <w:t>. Examinadas las alegaciones de las partes, procede confirmar nuestra inicial apreciación sobre la concurrencia de la causa de inadmisión prevista en el art. 50.1 c) LOTC y consistente en que la demanda carezca manifiestamente de contenido que justifique una decisión sobre le fondo de la misma por parte de este Tribunal Constitucional.</w:t>
      </w:r>
    </w:p>
    <w:p w:rsidR="00FA0779" w:rsidRDefault="00FA0779" w:rsidP="00FA0779">
      <w:pPr>
        <w:pStyle w:val="TextoNormal"/>
      </w:pPr>
    </w:p>
    <w:p w:rsidR="00FA0779" w:rsidRDefault="00FA0779" w:rsidP="00FA0779">
      <w:pPr>
        <w:pStyle w:val="TextoNormal"/>
      </w:pPr>
      <w:r w:rsidRPr="00FA0779">
        <w:rPr>
          <w:rStyle w:val="NumeroAFNegritaCaracter"/>
        </w:rPr>
        <w:t>2</w:t>
      </w:r>
      <w:r>
        <w:t>. Una vez más se nos plantea un supuesto de colisión entre el derecho fundamental a la libertad de información [art. 20.1 d) C.E.] y el derecho al honor (art. 18.1 C.E.). En esta ocasión, como en otras muchas, la discusión gravita en torno al concepto de «veracidad» de la información que la doctrina de este Tribunal ha venido reiteradamente considerando como un límite interno a la libertad de información. Mientras los solicitantes de amparo estiman suficientemente cumplido ese requisito constitucional en relación con la noticia que difundieron, tanto la Sala Primera del Tribunal Supremo en la Sentencia que ahora se impugna, como el Ministerio Fiscal en su escrito de alegaciones, consideran que los demandantes de amparo no actuaron con el deber de diligencia mínimo que les era exigible, en punto a corroborar y reflejar la certeza de los hechos objeto de la noticia. Precisando el Fiscal que se efectuó «una presentación de la noticia que desvirtúa sensiblemente su contenido real».</w:t>
      </w:r>
    </w:p>
    <w:p w:rsidR="00FA0779" w:rsidRDefault="00FA0779" w:rsidP="00FA0779">
      <w:pPr>
        <w:pStyle w:val="TextoNormal"/>
      </w:pPr>
    </w:p>
    <w:p w:rsidR="00FA0779" w:rsidRDefault="00FA0779" w:rsidP="00FA0779">
      <w:pPr>
        <w:pStyle w:val="TextoNormal"/>
      </w:pPr>
      <w:r w:rsidRPr="00FA0779">
        <w:rPr>
          <w:rStyle w:val="NumeroAFNegritaCaracter"/>
        </w:rPr>
        <w:t>3</w:t>
      </w:r>
      <w:r>
        <w:t>. Así centrados los términos del debate, no es ocioso recordar que «cuando la Constitución requiere que la información sea "veraz" no está privando de protección a las informaciones que puedan resultar erróneas,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(STC 6/1988, fundamento jurídico 5). Pero, además, ese deber de diligencia mínima del informador requiere que, a la hora de elaborar la noticia, éste realice una presentación de los hechos que no confunda a sus destinatarios sobre la realidad de lo acaecido, construyendo en realidad una nueva información a partir de la que resulta efectivamente contrastada con las fuentes que se hubiesen utilizado. Máxime «cuando la noticia que se divulga pueda suponer por su propio contenido un descrédito en la consideración de la persona a la que la información se refiere» (SSTC 240/1992 y 178/1993), o pueda afectar al obligado respeto del derecho de todos a la presunción de inocencia (STC 219/1992 y 28/1996).</w:t>
      </w:r>
    </w:p>
    <w:p w:rsidR="00FA0779" w:rsidRDefault="00FA0779" w:rsidP="00FA0779">
      <w:pPr>
        <w:pStyle w:val="TextoNormal"/>
      </w:pPr>
    </w:p>
    <w:p w:rsidR="00FA0779" w:rsidRDefault="00FA0779" w:rsidP="00FA0779">
      <w:pPr>
        <w:pStyle w:val="TextoNormal"/>
      </w:pPr>
      <w:r w:rsidRPr="00FA0779">
        <w:rPr>
          <w:rStyle w:val="NumeroAFNegritaCaracter"/>
        </w:rPr>
        <w:lastRenderedPageBreak/>
        <w:t>4</w:t>
      </w:r>
      <w:r>
        <w:t>. Esta última circunstancia fue, precisamente, la ponderada por el Tribunal Supremo en la Sentencia cuya impugnación ahora se pretende. En efecto, después de analizar tanto la nota de prensa difundida por la Agencia EFE como el contenido de la denuncia presentado ante la Fiscalía, y aun reconociendo que las personas objeto de la noticia estaban implicadas en la misma, la Sala sentenciadora alcanzó la fundada convicción de que, pese a todo ello, de tales fuentes de información no podían deducirse las afirmaciones que se vertían en la información publicada, que no es «sino una tergiversación de la repetida noticia suministrada por la Agencia EFE que dice el periodista haberle servido de fuente... no estando éste justificado por la atribución de lo informado a los denunciantes, pues en el texto de la denuncia aportado a los autos no constan esas concretas y precisas imputaciones al demandante» (fundamento de derecho tercero).</w:t>
      </w:r>
    </w:p>
    <w:p w:rsidR="00FA0779" w:rsidRDefault="00FA0779" w:rsidP="00FA0779">
      <w:pPr>
        <w:pStyle w:val="TextoNormal"/>
      </w:pPr>
      <w:r>
        <w:t>Es claro, pues, que el Tribunal Supremo ponderó el conflicto de derechos planteado mediante la correcta aplicación de los estándares establecidos en la doctrina constitucional y que, con arreglo a los mismos, apreció que el periodista había intentado incrementar la vertiente noticiable de los hechos a costa de sobredimensionar la intervención en los mismos del Sr. Múgica Herzog.</w:t>
      </w:r>
    </w:p>
    <w:p w:rsidR="00FA0779" w:rsidRDefault="00FA0779" w:rsidP="00FA0779">
      <w:pPr>
        <w:pStyle w:val="TextoNormal"/>
      </w:pPr>
      <w:r>
        <w:t>Ciertamente, la nota emitida por la Agencia EFE describía una serie de hechos irregulares relativos a un posible fraude fiscal en los que se implicaba a todos los miembros del Consejo de Administración del Casino de Villajoyosa, del que era Secretario el señor Múgica. La información periodística, bajo el rótulo «Fernando Múgica y Nicolás Franco, acusados de defraudar a Hacienda», e ilustrando la información con las fotografías de las mencionadas personas, dio a entender que todas y cada una de las acciones relacionadas con el presunto fraude e incluso otras, que no figuraban ni en la noticia de la Agencia EFE ni en la denuncia ante la Fiscalía, eran imputables a dichas personas. De este modo, se sesgó el significado de los hechos, lo que supone, como correctamente lo entendió el Tribunal Supremo, un incumplimiento de la diligencia exigible al informador, con repercusión en el derecho al honor de los afectados por la información así difundida.</w:t>
      </w:r>
    </w:p>
    <w:p w:rsidR="00FA0779" w:rsidRDefault="00FA0779" w:rsidP="00FA0779">
      <w:pPr>
        <w:pStyle w:val="TextoNormal"/>
      </w:pPr>
      <w:r>
        <w:t>La demanda de amparo debe ser inadmitida. Con idéntica rotundidad con la que este Tribunal ha afirmado que el derecho a la libre información debe ser constitucionalmente tutelado, en cuanto que con el ejercicio de tal derecho se contribuye a la formación de la opinión pública, elemento imprescindible del pluralismo político en un Estado democrático, que por lo mismo trasciende en el significado común y propio de los demás derechos fundamentales (SSTC 6/1981, 104/1986, 165/1987, 6/1988, 107/1988 y 51/1989, entre otras), hemos de decir ahora que las informaciones deformadas pueden perjudicar la convivencia en libertad.</w:t>
      </w:r>
    </w:p>
    <w:p w:rsidR="00FA0779" w:rsidRDefault="00FA0779" w:rsidP="00FA0779">
      <w:pPr>
        <w:pStyle w:val="TextoNormal"/>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FA0779">
      <w:pPr>
        <w:pStyle w:val="TextoNormal"/>
      </w:pPr>
      <w:r>
        <w:t>En virtud de todo lo expuesto, la Sección acuerda la inadmisión del presente recurso de amparo, y el archivo de las actuaciones.</w:t>
      </w:r>
    </w:p>
    <w:p w:rsidR="00FA0779" w:rsidRDefault="00FA0779" w:rsidP="00FA0779">
      <w:pPr>
        <w:pStyle w:val="TextoNormal"/>
      </w:pPr>
    </w:p>
    <w:p w:rsidR="00FA0779" w:rsidRDefault="00FA0779" w:rsidP="00FA0779">
      <w:pPr>
        <w:pStyle w:val="TextoNormal"/>
      </w:pPr>
      <w:r>
        <w:t>Madrid, a veintitrés de julio de mil novecientos noventa y siete.</w:t>
      </w:r>
    </w:p>
    <w:p w:rsidR="00FA0779" w:rsidRDefault="00FA0779">
      <w:pPr>
        <w:rPr>
          <w:rFonts w:ascii="Times New Roman" w:eastAsia="Times New Roman" w:hAnsi="Times New Roman" w:cs="Times New Roman"/>
          <w:sz w:val="24"/>
          <w:szCs w:val="24"/>
          <w:lang w:eastAsia="es-ES"/>
        </w:rPr>
      </w:pPr>
      <w:r>
        <w:br w:type="page"/>
      </w:r>
    </w:p>
    <w:p w:rsidR="00FA0779" w:rsidRDefault="00FA0779" w:rsidP="00FA0779">
      <w:pPr>
        <w:pStyle w:val="TtuloResolucin"/>
      </w:pPr>
      <w:bookmarkStart w:id="229" w:name="AUTO_1997_296"/>
      <w:r>
        <w:lastRenderedPageBreak/>
        <w:t>AUTO 296/1997, de 14 de agosto de 1997</w:t>
      </w:r>
    </w:p>
    <w:bookmarkEnd w:id="229"/>
    <w:p w:rsidR="00FA0779" w:rsidRDefault="00FA0779" w:rsidP="00FA0779">
      <w:pPr>
        <w:pStyle w:val="TtuloResolucin"/>
      </w:pPr>
      <w:r>
        <w:t>Sección de Vacaciones</w:t>
      </w:r>
    </w:p>
    <w:p w:rsidR="00FA0779" w:rsidRDefault="00FA0779" w:rsidP="00FA0779">
      <w:pPr>
        <w:pStyle w:val="TtuloResolucin"/>
      </w:pPr>
    </w:p>
    <w:p w:rsidR="00FA0779" w:rsidRDefault="00FA0779" w:rsidP="00FA0779">
      <w:pPr>
        <w:pStyle w:val="SntesisDescriptiva"/>
      </w:pPr>
      <w:r>
        <w:t>ECLI:ES:TC:1997:296A</w:t>
      </w:r>
    </w:p>
    <w:p w:rsidR="00FA0779" w:rsidRDefault="00FA0779" w:rsidP="00FA0779">
      <w:pPr>
        <w:pStyle w:val="SntesisDescriptiva"/>
      </w:pPr>
    </w:p>
    <w:p w:rsidR="00FA0779" w:rsidRDefault="00FA0779" w:rsidP="00FA0779">
      <w:pPr>
        <w:pStyle w:val="SntesisDescriptiva"/>
      </w:pPr>
      <w:r>
        <w:t>Excms. Srs. don Álvaro Rodríguez Bereijo, don José Gabaldón López y don Rafael de Mendizábal Allende.</w:t>
      </w:r>
    </w:p>
    <w:p w:rsidR="00FA0779" w:rsidRDefault="00FA0779" w:rsidP="00FA0779">
      <w:pPr>
        <w:pStyle w:val="SntesisDescriptiva"/>
      </w:pPr>
    </w:p>
    <w:p w:rsidR="00FA0779" w:rsidRDefault="00FA0779" w:rsidP="00FA0779">
      <w:pPr>
        <w:pStyle w:val="SntesisDescriptiva"/>
      </w:pPr>
      <w:r>
        <w:t>Acuerda el desistimiento en el recurso de amparo 82/1993, promovido en causa penal.</w:t>
      </w:r>
    </w:p>
    <w:p w:rsidR="00FA0779" w:rsidRDefault="00FA0779" w:rsidP="00FA0779">
      <w:pPr>
        <w:pStyle w:val="SntesisDescriptiva"/>
      </w:pPr>
    </w:p>
    <w:p w:rsidR="00FA0779" w:rsidRDefault="00FA0779" w:rsidP="00FA0779">
      <w:pPr>
        <w:pStyle w:val="SntesisAnaltica"/>
      </w:pPr>
      <w:r>
        <w:t>Desistimiento de recurso de amparo: procede.</w:t>
      </w:r>
    </w:p>
    <w:p w:rsidR="00FA0779" w:rsidRDefault="00FA0779" w:rsidP="00FA0779">
      <w:pPr>
        <w:pStyle w:val="SntesisAnaltica"/>
      </w:pPr>
    </w:p>
    <w:p w:rsidR="00FA0779" w:rsidRDefault="00FA0779" w:rsidP="00FA0779">
      <w:pPr>
        <w:pStyle w:val="SntesisAnaltica"/>
      </w:pPr>
    </w:p>
    <w:p w:rsidR="00FA0779" w:rsidRDefault="00FA0779" w:rsidP="00FA0779">
      <w:pPr>
        <w:pStyle w:val="SntesisAnaltica"/>
      </w:pPr>
    </w:p>
    <w:p w:rsidR="00FA0779" w:rsidRDefault="00FA0779" w:rsidP="00FA0779">
      <w:pPr>
        <w:pStyle w:val="TextoNormalNegritaCentrado"/>
      </w:pPr>
      <w:r>
        <w:t>AUTO</w:t>
      </w:r>
    </w:p>
    <w:p w:rsidR="00FA0779" w:rsidRDefault="00FA0779" w:rsidP="00FA0779">
      <w:pPr>
        <w:pStyle w:val="TextoNormalNegritaCentrado"/>
      </w:pPr>
    </w:p>
    <w:p w:rsidR="00FA0779" w:rsidRDefault="00FA0779" w:rsidP="00FA0779">
      <w:pPr>
        <w:pStyle w:val="TextoNormalNegritaCentrado"/>
      </w:pPr>
      <w:r>
        <w:t>I. Antecedentes</w:t>
      </w:r>
    </w:p>
    <w:p w:rsidR="00FA0779" w:rsidRDefault="00FA0779" w:rsidP="00FA0779">
      <w:pPr>
        <w:pStyle w:val="TextoNormalNegritaCentrado"/>
      </w:pPr>
    </w:p>
    <w:p w:rsidR="00FA0779" w:rsidRDefault="00FA0779" w:rsidP="00FA0779">
      <w:pPr>
        <w:pStyle w:val="TextoNormalNegritaCentrado"/>
      </w:pPr>
      <w:r>
        <w:t>II. Fundamentos jurídicos</w:t>
      </w:r>
    </w:p>
    <w:p w:rsidR="00FA0779" w:rsidRDefault="00FA0779" w:rsidP="00FA0779">
      <w:pPr>
        <w:pStyle w:val="TextoNormalNegritaCentrado"/>
      </w:pPr>
    </w:p>
    <w:p w:rsidR="00FA0779" w:rsidRDefault="00FA0779" w:rsidP="00FA0779">
      <w:pPr>
        <w:pStyle w:val="TextoNormal"/>
      </w:pPr>
    </w:p>
    <w:p w:rsidR="00FA0779" w:rsidRDefault="00FA0779" w:rsidP="00FA0779">
      <w:pPr>
        <w:pStyle w:val="TextoNormal"/>
      </w:pPr>
    </w:p>
    <w:p w:rsidR="00FA0779" w:rsidRDefault="00FA0779" w:rsidP="00FA0779">
      <w:pPr>
        <w:pStyle w:val="TextoNormalCentrado"/>
      </w:pPr>
      <w:r>
        <w:t>ACUERDA</w:t>
      </w:r>
    </w:p>
    <w:p w:rsidR="00FA0779" w:rsidRDefault="00FA0779" w:rsidP="00FA0779">
      <w:pPr>
        <w:pStyle w:val="TextoNormalCentrado"/>
      </w:pPr>
    </w:p>
    <w:p w:rsidR="00FA0779" w:rsidRDefault="00FA0779" w:rsidP="007D461E">
      <w:pPr>
        <w:pStyle w:val="TextoNormalCentrado"/>
      </w:pPr>
    </w:p>
    <w:p w:rsidR="007D461E" w:rsidRDefault="007D461E">
      <w:pPr>
        <w:rPr>
          <w:rFonts w:ascii="Times New Roman" w:eastAsia="Times New Roman" w:hAnsi="Times New Roman" w:cs="Times New Roman"/>
          <w:sz w:val="24"/>
          <w:szCs w:val="24"/>
          <w:lang w:eastAsia="es-ES"/>
        </w:rPr>
      </w:pPr>
      <w:r>
        <w:br w:type="page"/>
      </w:r>
    </w:p>
    <w:p w:rsidR="007D461E" w:rsidRDefault="007D461E" w:rsidP="00FA0779">
      <w:pPr>
        <w:pStyle w:val="TextoNormalCentrado"/>
      </w:pPr>
    </w:p>
    <w:p w:rsidR="007D461E" w:rsidRDefault="007D461E" w:rsidP="007D461E">
      <w:pPr>
        <w:pStyle w:val="TextoNormal"/>
      </w:pPr>
    </w:p>
    <w:p w:rsidR="007D461E" w:rsidRDefault="007D461E" w:rsidP="007D461E">
      <w:pPr>
        <w:pStyle w:val="TextoNormal"/>
      </w:pPr>
    </w:p>
    <w:p w:rsidR="007D461E" w:rsidRDefault="007D461E" w:rsidP="007D461E">
      <w:pPr>
        <w:pStyle w:val="TextoNormal"/>
      </w:pPr>
    </w:p>
    <w:p w:rsidR="007D461E" w:rsidRDefault="007E1ADB" w:rsidP="007D461E">
      <w:pPr>
        <w:pStyle w:val="Ttulondice"/>
        <w:suppressAutoHyphens/>
      </w:pPr>
      <w:r>
        <w:t>3.</w:t>
      </w:r>
      <w:r w:rsidR="00C9675C">
        <w:t xml:space="preserve"> ÍNDICE DE DISPOSICIONES CON FUERZA DE LEY IMPUGNADAS</w:t>
      </w: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pPr>
    </w:p>
    <w:p w:rsidR="007D461E" w:rsidRDefault="007D461E" w:rsidP="007D461E">
      <w:pPr>
        <w:pStyle w:val="TextoNormal"/>
      </w:pPr>
      <w:bookmarkStart w:id="230" w:name="INDICE22802"/>
      <w:bookmarkEnd w:id="230"/>
    </w:p>
    <w:p w:rsidR="007D461E" w:rsidRDefault="00321BF9" w:rsidP="007D461E">
      <w:pPr>
        <w:pStyle w:val="TextoIndiceNivel2"/>
        <w:suppressAutoHyphens/>
      </w:pPr>
      <w:r>
        <w:t>A) Disposiciones con fuerza de ley del Estado</w:t>
      </w:r>
    </w:p>
    <w:p w:rsidR="007D461E" w:rsidRDefault="007D461E" w:rsidP="007D461E">
      <w:pPr>
        <w:pStyle w:val="TextoIndiceNivel2"/>
      </w:pPr>
    </w:p>
    <w:p w:rsidR="007D461E" w:rsidRDefault="007D461E" w:rsidP="007D461E">
      <w:pPr>
        <w:pStyle w:val="TextoNormalNegritaCursivandice"/>
      </w:pPr>
      <w:r>
        <w:t>Código de las Siete Partidas, 1265</w:t>
      </w:r>
    </w:p>
    <w:p w:rsidR="007D461E" w:rsidRDefault="007D461E" w:rsidP="007D461E">
      <w:pPr>
        <w:pStyle w:val="SangriaFrancesaArticulo"/>
      </w:pPr>
      <w:r w:rsidRPr="007D461E">
        <w:rPr>
          <w:rStyle w:val="TextoNormalNegritaCaracter"/>
        </w:rPr>
        <w:t>Partida II, título XV, ley II.</w:t>
      </w:r>
      <w:r w:rsidRPr="007D461E">
        <w:rPr>
          <w:rStyle w:val="TextoNormalCaracter"/>
        </w:rPr>
        <w:t>-</w:t>
      </w:r>
      <w:r>
        <w:t xml:space="preserve"> Sentencia </w:t>
      </w:r>
      <w:hyperlink w:anchor="SENTENCIA_1997_126" w:history="1">
        <w:r w:rsidRPr="007D461E">
          <w:rPr>
            <w:rStyle w:val="TextoNormalCaracter"/>
          </w:rPr>
          <w:t>126/1997</w:t>
        </w:r>
      </w:hyperlink>
      <w:r>
        <w:t>.</w:t>
      </w:r>
    </w:p>
    <w:p w:rsidR="007D461E" w:rsidRDefault="007D461E" w:rsidP="007D461E">
      <w:pPr>
        <w:pStyle w:val="SangriaFrancesaArticulo"/>
      </w:pPr>
    </w:p>
    <w:p w:rsidR="007D461E" w:rsidRDefault="007D461E" w:rsidP="007D461E">
      <w:pPr>
        <w:pStyle w:val="TextoNormalNegritaCursivandice"/>
      </w:pPr>
      <w:r>
        <w:t>Novísima recopilación, de 2 de junio de 1805</w:t>
      </w:r>
    </w:p>
    <w:p w:rsidR="007D461E" w:rsidRDefault="007D461E" w:rsidP="007D461E">
      <w:pPr>
        <w:pStyle w:val="SangriaFrancesaArticulo"/>
      </w:pPr>
      <w:r w:rsidRPr="007D461E">
        <w:rPr>
          <w:rStyle w:val="TextoNormalNegritaCaracter"/>
        </w:rPr>
        <w:t>Libro X, título XVII, leyes VIII, IX.</w:t>
      </w:r>
      <w:r w:rsidRPr="007D461E">
        <w:rPr>
          <w:rStyle w:val="TextoNormalCaracter"/>
        </w:rPr>
        <w:t>-</w:t>
      </w:r>
      <w:r>
        <w:t xml:space="preserve"> Sentencia </w:t>
      </w:r>
      <w:hyperlink w:anchor="SENTENCIA_1997_126" w:history="1">
        <w:r w:rsidRPr="007D461E">
          <w:rPr>
            <w:rStyle w:val="TextoNormalCaracter"/>
          </w:rPr>
          <w:t>126/1997</w:t>
        </w:r>
      </w:hyperlink>
      <w:r>
        <w:t>.</w:t>
      </w:r>
    </w:p>
    <w:p w:rsidR="007D461E" w:rsidRDefault="007D461E" w:rsidP="007D461E">
      <w:pPr>
        <w:pStyle w:val="SangriaFrancesaArticulo"/>
      </w:pPr>
    </w:p>
    <w:p w:rsidR="007D461E" w:rsidRDefault="007D461E" w:rsidP="007D461E">
      <w:pPr>
        <w:pStyle w:val="TextoNormalNegritaCursivandice"/>
      </w:pPr>
      <w:r>
        <w:t>Ley de 27 de septiembre/11 de octubre de 1820. Suprime todos los mayorazgos, fideicomisos, patronatos y cualquiera otra especie de vinculaciones</w:t>
      </w:r>
    </w:p>
    <w:p w:rsidR="007D461E" w:rsidRDefault="007D461E" w:rsidP="007D461E">
      <w:pPr>
        <w:pStyle w:val="SangriaFrancesaArticulo"/>
      </w:pPr>
      <w:r w:rsidRPr="007D461E">
        <w:rPr>
          <w:rStyle w:val="TextoNormalNegritaCaracter"/>
        </w:rPr>
        <w:t>Artículo 13.</w:t>
      </w:r>
      <w:r w:rsidRPr="007D461E">
        <w:rPr>
          <w:rStyle w:val="TextoNormalCaracter"/>
        </w:rPr>
        <w:t>-</w:t>
      </w:r>
      <w:r>
        <w:t xml:space="preserve"> Sentencia </w:t>
      </w:r>
      <w:hyperlink w:anchor="SENTENCIA_1997_126" w:history="1">
        <w:r w:rsidRPr="007D461E">
          <w:rPr>
            <w:rStyle w:val="TextoNormalCaracter"/>
          </w:rPr>
          <w:t>126/1997</w:t>
        </w:r>
      </w:hyperlink>
      <w:r>
        <w:t>.</w:t>
      </w:r>
    </w:p>
    <w:p w:rsidR="007D461E" w:rsidRDefault="007D461E" w:rsidP="007D461E">
      <w:pPr>
        <w:pStyle w:val="SangriaFrancesaArticulo"/>
      </w:pPr>
    </w:p>
    <w:p w:rsidR="007D461E" w:rsidRDefault="007D461E" w:rsidP="007D461E">
      <w:pPr>
        <w:pStyle w:val="TextoNormalNegritaCursivandice"/>
      </w:pPr>
      <w:r>
        <w:t>Ley de 4 de mayo de 1948. Derogando el Decreto de 1 de junio de 1931 y la Ley de 30 de diciembre del mismo año, que lo ratificó, y confiriendo al Jefe del Estado la tradicional prerrogativa de otorgar grandezas de España y títulos del Reino</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26" w:history="1">
        <w:r w:rsidRPr="007D461E">
          <w:rPr>
            <w:rStyle w:val="TextoNormalCaracter"/>
          </w:rPr>
          <w:t>126/1997</w:t>
        </w:r>
      </w:hyperlink>
      <w:r>
        <w:t>.</w:t>
      </w:r>
    </w:p>
    <w:p w:rsidR="007D461E" w:rsidRDefault="007D461E" w:rsidP="007D461E">
      <w:pPr>
        <w:pStyle w:val="SangriaFrancesaArticulo"/>
      </w:pPr>
    </w:p>
    <w:p w:rsidR="007D461E" w:rsidRDefault="007D461E" w:rsidP="007D461E">
      <w:pPr>
        <w:pStyle w:val="TextoNormalNegritaCursivandice"/>
      </w:pPr>
      <w:r>
        <w:t>Real Decreto-ley 16/1977, de 25 de febrero. Aspectos penales, administrativos y fiscales de los juegos de suerte, envite o azar y apuestas</w:t>
      </w:r>
    </w:p>
    <w:p w:rsidR="007D461E" w:rsidRDefault="007D461E" w:rsidP="007D461E">
      <w:pPr>
        <w:pStyle w:val="SangriaFrancesaArticulo"/>
      </w:pPr>
      <w:r w:rsidRPr="007D461E">
        <w:rPr>
          <w:rStyle w:val="TextoNormalNegritaCaracter"/>
        </w:rPr>
        <w:t>Artículo 3.4.2 a).</w:t>
      </w:r>
      <w:r w:rsidRPr="007D461E">
        <w:rPr>
          <w:rStyle w:val="TextoNormalCaracter"/>
        </w:rPr>
        <w:t>-</w:t>
      </w:r>
      <w:r>
        <w:t xml:space="preserve"> Sentencia </w:t>
      </w:r>
      <w:hyperlink w:anchor="SENTENCIA_1997_91" w:history="1">
        <w:r w:rsidRPr="007D461E">
          <w:rPr>
            <w:rStyle w:val="TextoNormalCaracter"/>
          </w:rPr>
          <w:t>91/1997</w:t>
        </w:r>
      </w:hyperlink>
      <w:r>
        <w:t>.</w:t>
      </w:r>
    </w:p>
    <w:p w:rsidR="007D461E" w:rsidRDefault="007D461E" w:rsidP="007D461E">
      <w:pPr>
        <w:pStyle w:val="SangriaFrancesaArticulo"/>
      </w:pPr>
    </w:p>
    <w:p w:rsidR="007D461E" w:rsidRDefault="007D461E" w:rsidP="007D461E">
      <w:pPr>
        <w:pStyle w:val="TextoNormalNegritaCursivandice"/>
      </w:pPr>
      <w:r>
        <w:t>Ley 24/1988, de 28 de julio. Mercado de valores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w:t>
      </w:r>
    </w:p>
    <w:p w:rsidR="007D461E" w:rsidRDefault="007D461E" w:rsidP="007D461E">
      <w:pPr>
        <w:pStyle w:val="SangriaFrancesaArticulo"/>
      </w:pPr>
      <w:r w:rsidRPr="007D461E">
        <w:rPr>
          <w:rStyle w:val="TextoNormalNegritaCaracter"/>
        </w:rPr>
        <w:t>Artículos 31 c), 34, 47, 59, 78.</w:t>
      </w:r>
      <w:r w:rsidRPr="007D461E">
        <w:rPr>
          <w:rStyle w:val="TextoNormalCaracter"/>
        </w:rPr>
        <w:t>-</w:t>
      </w:r>
      <w:r>
        <w:t xml:space="preserve"> Sentencia </w:t>
      </w:r>
      <w:hyperlink w:anchor="SENTENCIA_1997_133" w:history="1">
        <w:r w:rsidRPr="007D461E">
          <w:rPr>
            <w:rStyle w:val="TextoNormalCaracter"/>
          </w:rPr>
          <w:t>133/1997</w:t>
        </w:r>
      </w:hyperlink>
      <w:r>
        <w:t xml:space="preserve"> (interpreta).</w:t>
      </w:r>
    </w:p>
    <w:p w:rsidR="007D461E" w:rsidRDefault="007D461E" w:rsidP="007D461E">
      <w:pPr>
        <w:pStyle w:val="SangriaFrancesaArticulo"/>
      </w:pPr>
      <w:r w:rsidRPr="007D461E">
        <w:rPr>
          <w:rStyle w:val="TextoNormalNegritaCaracter"/>
        </w:rPr>
        <w:t>Artículos 45, 48, 64 apartado 1, disposición adicional primera.</w:t>
      </w:r>
      <w:r w:rsidRPr="007D461E">
        <w:rPr>
          <w:rStyle w:val="TextoNormalCaracter"/>
        </w:rPr>
        <w:t>-</w:t>
      </w:r>
      <w:r>
        <w:t xml:space="preserve"> Sentencia </w:t>
      </w:r>
      <w:hyperlink w:anchor="SENTENCIA_1997_133" w:history="1">
        <w:r w:rsidRPr="007D461E">
          <w:rPr>
            <w:rStyle w:val="TextoNormalCaracter"/>
          </w:rPr>
          <w:t>133/1997</w:t>
        </w:r>
      </w:hyperlink>
      <w:r>
        <w:t xml:space="preserve"> (delimita).</w:t>
      </w:r>
    </w:p>
    <w:p w:rsidR="007D461E" w:rsidRDefault="007D461E" w:rsidP="007D461E">
      <w:pPr>
        <w:pStyle w:val="SangriaFrancesaArticulo"/>
      </w:pPr>
    </w:p>
    <w:p w:rsidR="007D461E" w:rsidRDefault="007D461E" w:rsidP="007D461E">
      <w:pPr>
        <w:pStyle w:val="TextoNormalNegritaCursivandice"/>
      </w:pPr>
      <w:r>
        <w:lastRenderedPageBreak/>
        <w:t>Ley 5/1990, de 29 de junio. Medidas en materia presupuestaria, financiera y tributaria</w:t>
      </w:r>
    </w:p>
    <w:p w:rsidR="007D461E" w:rsidRDefault="007D461E" w:rsidP="007D461E">
      <w:pPr>
        <w:pStyle w:val="SangriaFrancesaArticulo"/>
      </w:pPr>
      <w:r w:rsidRPr="007D461E">
        <w:rPr>
          <w:rStyle w:val="TextoNormalNegritaCaracter"/>
        </w:rPr>
        <w:t>Artículo 38.Dos.2.</w:t>
      </w:r>
      <w:r w:rsidRPr="007D461E">
        <w:rPr>
          <w:rStyle w:val="TextoNormalCaracter"/>
        </w:rPr>
        <w:t>-</w:t>
      </w:r>
      <w:r>
        <w:t xml:space="preserve"> Sentencia </w:t>
      </w:r>
      <w:hyperlink w:anchor="SENTENCIA_1997_91" w:history="1">
        <w:r w:rsidRPr="007D461E">
          <w:rPr>
            <w:rStyle w:val="TextoNormalCaracter"/>
          </w:rPr>
          <w:t>91/1997</w:t>
        </w:r>
      </w:hyperlink>
      <w:r>
        <w:t>.</w:t>
      </w:r>
    </w:p>
    <w:p w:rsidR="007D461E" w:rsidRDefault="007D461E" w:rsidP="007D461E">
      <w:pPr>
        <w:pStyle w:val="TextoNormal"/>
      </w:pPr>
    </w:p>
    <w:p w:rsidR="007D461E" w:rsidRDefault="007D461E" w:rsidP="007D461E">
      <w:pPr>
        <w:pStyle w:val="SangriaFrancesaArticulo"/>
      </w:pPr>
      <w:bookmarkStart w:id="231" w:name="INDICE22806"/>
    </w:p>
    <w:bookmarkEnd w:id="231"/>
    <w:p w:rsidR="007D461E" w:rsidRDefault="00217AC8" w:rsidP="007D461E">
      <w:pPr>
        <w:pStyle w:val="TextoIndiceNivel2"/>
        <w:suppressAutoHyphens/>
      </w:pPr>
      <w:r>
        <w:t>B) Disposiciones con fuerza de ley de las Comunidades Autónomas</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B.1) Madrid</w:t>
      </w:r>
    </w:p>
    <w:p w:rsidR="007D461E" w:rsidRDefault="007D461E" w:rsidP="007D461E">
      <w:pPr>
        <w:pStyle w:val="TextoNormalNegritaCentrado"/>
      </w:pPr>
    </w:p>
    <w:p w:rsidR="007D461E" w:rsidRDefault="007D461E" w:rsidP="007D461E">
      <w:pPr>
        <w:pStyle w:val="TextoNormalNegritaCursivandice"/>
      </w:pPr>
      <w:r>
        <w:t>Ley de la Asamblea de Madrid 4/1987, de 23 de diciembre. Presupuestos generales de la Comunidad de Madrid para 1988</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03" w:history="1">
        <w:r w:rsidRPr="007D461E">
          <w:rPr>
            <w:rStyle w:val="TextoNormalCaracter"/>
          </w:rPr>
          <w:t>103/1997</w:t>
        </w:r>
      </w:hyperlink>
      <w:r>
        <w:t xml:space="preserve"> (anula).</w:t>
      </w:r>
    </w:p>
    <w:p w:rsidR="007D461E" w:rsidRDefault="007D461E" w:rsidP="007D461E">
      <w:pPr>
        <w:pStyle w:val="SangriaFrancesaArticulo"/>
      </w:pPr>
      <w:r w:rsidRPr="007D461E">
        <w:rPr>
          <w:rStyle w:val="TextoNormalNegritaCaracter"/>
        </w:rPr>
        <w:t>Artículo 13.1 a).</w:t>
      </w:r>
      <w:r w:rsidRPr="007D461E">
        <w:rPr>
          <w:rStyle w:val="TextoNormalCaracter"/>
        </w:rPr>
        <w:t>-</w:t>
      </w:r>
      <w:r>
        <w:t xml:space="preserve"> Sentencia </w:t>
      </w:r>
      <w:hyperlink w:anchor="SENTENCIA_1997_103" w:history="1">
        <w:r w:rsidRPr="007D461E">
          <w:rPr>
            <w:rStyle w:val="TextoNormalCaracter"/>
          </w:rPr>
          <w:t>103/1997</w:t>
        </w:r>
      </w:hyperlink>
      <w:r>
        <w:t xml:space="preserve"> (anula).</w:t>
      </w:r>
    </w:p>
    <w:p w:rsidR="007D461E" w:rsidRDefault="007D461E" w:rsidP="007D461E">
      <w:pPr>
        <w:pStyle w:val="SangriaFrancesaArticulo"/>
      </w:pPr>
      <w:r w:rsidRPr="007D461E">
        <w:rPr>
          <w:rStyle w:val="TextoNormalNegritaCaracter"/>
        </w:rPr>
        <w:t>Artículo 13.1 b).</w:t>
      </w:r>
      <w:r w:rsidRPr="007D461E">
        <w:rPr>
          <w:rStyle w:val="TextoNormalCaracter"/>
        </w:rPr>
        <w:t>-</w:t>
      </w:r>
      <w:r>
        <w:t xml:space="preserve"> Sentencia </w:t>
      </w:r>
      <w:hyperlink w:anchor="SENTENCIA_1997_103" w:history="1">
        <w:r w:rsidRPr="007D461E">
          <w:rPr>
            <w:rStyle w:val="TextoNormalCaracter"/>
          </w:rPr>
          <w:t>103/1997</w:t>
        </w:r>
      </w:hyperlink>
      <w:r>
        <w:t xml:space="preserve"> (anula).</w:t>
      </w:r>
    </w:p>
    <w:p w:rsidR="007D461E" w:rsidRDefault="007D461E" w:rsidP="007D461E">
      <w:pPr>
        <w:pStyle w:val="SangriaFrancesaArticulo"/>
      </w:pPr>
      <w:r w:rsidRPr="007D461E">
        <w:rPr>
          <w:rStyle w:val="TextoNormalNegritaCaracter"/>
        </w:rPr>
        <w:t>Artículo 13.1 d) párrafos 2, 3.</w:t>
      </w:r>
      <w:r w:rsidRPr="007D461E">
        <w:rPr>
          <w:rStyle w:val="TextoNormalCaracter"/>
        </w:rPr>
        <w:t>-</w:t>
      </w:r>
      <w:r>
        <w:t xml:space="preserve"> Sentencia </w:t>
      </w:r>
      <w:hyperlink w:anchor="SENTENCIA_1997_103" w:history="1">
        <w:r w:rsidRPr="007D461E">
          <w:rPr>
            <w:rStyle w:val="TextoNormalCaracter"/>
          </w:rPr>
          <w:t>103/1997</w:t>
        </w:r>
      </w:hyperlink>
      <w:r>
        <w:t xml:space="preserve"> (interpreta).</w:t>
      </w:r>
    </w:p>
    <w:p w:rsidR="007D461E" w:rsidRDefault="007D461E">
      <w:pPr>
        <w:rPr>
          <w:rFonts w:ascii="Times New Roman" w:eastAsia="Times New Roman" w:hAnsi="Times New Roman" w:cs="Times New Roman"/>
          <w:sz w:val="24"/>
          <w:szCs w:val="24"/>
          <w:lang w:eastAsia="es-ES"/>
        </w:rPr>
      </w:pPr>
      <w:r>
        <w:br w:type="page"/>
      </w:r>
    </w:p>
    <w:p w:rsidR="007D461E" w:rsidRDefault="007D461E" w:rsidP="007D461E">
      <w:pPr>
        <w:pStyle w:val="SangriaFrancesaArticulo"/>
      </w:pPr>
    </w:p>
    <w:p w:rsidR="007D461E" w:rsidRDefault="007D461E" w:rsidP="007D461E">
      <w:pPr>
        <w:pStyle w:val="TextoNormal"/>
      </w:pPr>
    </w:p>
    <w:p w:rsidR="007D461E" w:rsidRDefault="007D461E" w:rsidP="007D461E">
      <w:pPr>
        <w:pStyle w:val="TextoNormal"/>
      </w:pPr>
    </w:p>
    <w:p w:rsidR="007D461E" w:rsidRDefault="007D461E" w:rsidP="007D461E">
      <w:pPr>
        <w:pStyle w:val="TextoNormal"/>
      </w:pPr>
    </w:p>
    <w:p w:rsidR="007D461E" w:rsidRDefault="0074112A" w:rsidP="007D461E">
      <w:pPr>
        <w:pStyle w:val="Ttulondice"/>
        <w:suppressAutoHyphens/>
      </w:pPr>
      <w:r>
        <w:t>4. ÍNDICE DE DISPOSICIONES GENERALES IMPUGNADAS</w:t>
      </w: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pPr>
    </w:p>
    <w:p w:rsidR="007D461E" w:rsidRDefault="007D461E" w:rsidP="007D461E">
      <w:pPr>
        <w:pStyle w:val="TextoNormal"/>
      </w:pPr>
      <w:bookmarkStart w:id="232" w:name="INDICE22803"/>
      <w:bookmarkEnd w:id="232"/>
    </w:p>
    <w:p w:rsidR="007D461E" w:rsidRDefault="007D461E" w:rsidP="007D461E">
      <w:pPr>
        <w:pStyle w:val="TextoIndiceNivel2"/>
        <w:suppressAutoHyphens/>
      </w:pPr>
      <w:r>
        <w:t>A) Disposiciones del Estado</w:t>
      </w:r>
    </w:p>
    <w:p w:rsidR="007D461E" w:rsidRDefault="007D461E" w:rsidP="007D461E">
      <w:pPr>
        <w:pStyle w:val="TextoIndiceNivel2"/>
      </w:pPr>
    </w:p>
    <w:p w:rsidR="007D461E" w:rsidRDefault="007D461E" w:rsidP="007D461E">
      <w:pPr>
        <w:pStyle w:val="TextoNormalNegritaCursivandice"/>
      </w:pPr>
      <w:r>
        <w:t>Decreto de 4 de junio de 1948. Dictando las oportunas normas introduciendo en la legislación sobre títulos y grandezas las modificaciones necesarias</w:t>
      </w:r>
    </w:p>
    <w:p w:rsidR="007D461E" w:rsidRDefault="007D461E" w:rsidP="007D461E">
      <w:pPr>
        <w:pStyle w:val="SangriaFrancesaArticulo"/>
      </w:pPr>
      <w:r w:rsidRPr="007D461E">
        <w:rPr>
          <w:rStyle w:val="TextoNormalNegritaCaracter"/>
        </w:rPr>
        <w:t>Artículo 5.</w:t>
      </w:r>
      <w:r w:rsidRPr="007D461E">
        <w:rPr>
          <w:rStyle w:val="TextoNormalCaracter"/>
        </w:rPr>
        <w:t>-</w:t>
      </w:r>
      <w:r>
        <w:t xml:space="preserve"> Sentencia </w:t>
      </w:r>
      <w:hyperlink w:anchor="SENTENCIA_1997_126" w:history="1">
        <w:r w:rsidRPr="007D461E">
          <w:rPr>
            <w:rStyle w:val="TextoNormalCaracter"/>
          </w:rPr>
          <w:t>126/1997</w:t>
        </w:r>
      </w:hyperlink>
      <w:r>
        <w:t>.</w:t>
      </w:r>
    </w:p>
    <w:p w:rsidR="007D461E" w:rsidRDefault="007D461E" w:rsidP="007D461E">
      <w:pPr>
        <w:pStyle w:val="SangriaFrancesaArticulo"/>
      </w:pPr>
    </w:p>
    <w:p w:rsidR="007D461E" w:rsidRDefault="007D461E" w:rsidP="007D461E">
      <w:pPr>
        <w:pStyle w:val="TextoNormalNegritaCursivandice"/>
      </w:pPr>
      <w:r>
        <w:t>Real Decreto 295/1988, de 25 de marzo. Convenio de Cooperación entre los Ministerios de Educación y Ciencia y de Defensa sobre régimen, promoción y funcionamiento de Centros de Enseñanza</w:t>
      </w:r>
    </w:p>
    <w:p w:rsidR="007D461E" w:rsidRDefault="007D461E" w:rsidP="007D461E">
      <w:pPr>
        <w:pStyle w:val="SangriaFrancesaArticulo"/>
      </w:pPr>
      <w:r w:rsidRPr="007D461E">
        <w:rPr>
          <w:rStyle w:val="TextoNormalNegritaCaracter"/>
        </w:rPr>
        <w:t>Cláusula cuarta 3.</w:t>
      </w:r>
      <w:r w:rsidRPr="007D461E">
        <w:rPr>
          <w:rStyle w:val="TextoNormalCaracter"/>
        </w:rPr>
        <w:t>-</w:t>
      </w:r>
      <w:r>
        <w:t xml:space="preserve"> Sentencia </w:t>
      </w:r>
      <w:hyperlink w:anchor="SENTENCIA_1997_134" w:history="1">
        <w:r w:rsidRPr="007D461E">
          <w:rPr>
            <w:rStyle w:val="TextoNormalCaracter"/>
          </w:rPr>
          <w:t>134/1997</w:t>
        </w:r>
      </w:hyperlink>
      <w:r>
        <w:t xml:space="preserve"> (delimita).</w:t>
      </w:r>
    </w:p>
    <w:p w:rsidR="007D461E" w:rsidRDefault="007D461E" w:rsidP="007D461E">
      <w:pPr>
        <w:pStyle w:val="SangriaFrancesaArticulo"/>
      </w:pPr>
    </w:p>
    <w:p w:rsidR="007D461E" w:rsidRDefault="007D461E" w:rsidP="007D461E">
      <w:pPr>
        <w:pStyle w:val="TextoNormalNegritaCursivandice"/>
      </w:pPr>
      <w:r>
        <w:t>Real Decreto 276/1989, de 22 de marzo. Sociedades y agencias de valores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w:t>
      </w:r>
    </w:p>
    <w:p w:rsidR="007D461E" w:rsidRDefault="007D461E" w:rsidP="007D461E">
      <w:pPr>
        <w:pStyle w:val="SangriaFrancesaArticulo"/>
      </w:pPr>
    </w:p>
    <w:p w:rsidR="007D461E" w:rsidRDefault="007D461E" w:rsidP="007D461E">
      <w:pPr>
        <w:pStyle w:val="TextoNormalNegritaCursivandice"/>
      </w:pPr>
      <w:r>
        <w:t>Real Decreto 726/1989, de 23 de junio. Sociedades rectoras y miembros de las Bolsas de valores, Sociedad de bolsas y fianza colectiva</w:t>
      </w:r>
    </w:p>
    <w:p w:rsidR="007D461E" w:rsidRDefault="007D461E" w:rsidP="007D461E">
      <w:pPr>
        <w:pStyle w:val="SangriaFrancesaArticulo"/>
      </w:pPr>
      <w:r w:rsidRPr="007D461E">
        <w:rPr>
          <w:rStyle w:val="TextoNormalNegritaCaracter"/>
        </w:rPr>
        <w:t>Artículos 7, 15 apartados 2, 3, 17.2, 23.2.</w:t>
      </w:r>
      <w:r w:rsidRPr="007D461E">
        <w:rPr>
          <w:rStyle w:val="TextoNormalCaracter"/>
        </w:rPr>
        <w:t>-</w:t>
      </w:r>
      <w:r>
        <w:t xml:space="preserve"> Sentencia </w:t>
      </w:r>
      <w:hyperlink w:anchor="SENTENCIA_1997_133" w:history="1">
        <w:r w:rsidRPr="007D461E">
          <w:rPr>
            <w:rStyle w:val="TextoNormalCaracter"/>
          </w:rPr>
          <w:t>133/1997</w:t>
        </w:r>
      </w:hyperlink>
      <w:r>
        <w:t xml:space="preserve"> (delimita).</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33" w:history="1">
        <w:r w:rsidRPr="007D461E">
          <w:rPr>
            <w:rStyle w:val="TextoNormalCaracter"/>
          </w:rPr>
          <w:t>133/1997</w:t>
        </w:r>
      </w:hyperlink>
      <w:r>
        <w:t xml:space="preserve"> (interpreta).</w:t>
      </w:r>
    </w:p>
    <w:p w:rsidR="007D461E" w:rsidRDefault="007D461E">
      <w:pPr>
        <w:rPr>
          <w:rFonts w:ascii="Times New Roman" w:eastAsia="Times New Roman" w:hAnsi="Times New Roman" w:cs="Times New Roman"/>
          <w:sz w:val="24"/>
          <w:szCs w:val="24"/>
          <w:lang w:eastAsia="es-ES"/>
        </w:rPr>
      </w:pPr>
      <w:r>
        <w:br w:type="page"/>
      </w:r>
    </w:p>
    <w:p w:rsidR="007D461E" w:rsidRDefault="007D461E" w:rsidP="007D461E">
      <w:pPr>
        <w:pStyle w:val="SangriaFrancesaArticulo"/>
      </w:pPr>
    </w:p>
    <w:p w:rsidR="007D461E" w:rsidRDefault="007D461E" w:rsidP="007D461E">
      <w:pPr>
        <w:pStyle w:val="TextoNormal"/>
      </w:pPr>
    </w:p>
    <w:p w:rsidR="007D461E" w:rsidRDefault="007D461E" w:rsidP="007D461E">
      <w:pPr>
        <w:pStyle w:val="TextoNormal"/>
      </w:pPr>
    </w:p>
    <w:p w:rsidR="007D461E" w:rsidRDefault="007D461E" w:rsidP="007D461E">
      <w:pPr>
        <w:pStyle w:val="TextoNormal"/>
      </w:pPr>
    </w:p>
    <w:p w:rsidR="007D461E" w:rsidRDefault="007D461E" w:rsidP="007D461E">
      <w:pPr>
        <w:pStyle w:val="Ttulondice"/>
        <w:suppressAutoHyphens/>
      </w:pPr>
      <w:r>
        <w:t>5. ÍNDICE DE DISPOSICIONES CITADAS</w:t>
      </w: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pPr>
    </w:p>
    <w:p w:rsidR="007D461E" w:rsidRDefault="007D461E" w:rsidP="007D461E">
      <w:pPr>
        <w:pStyle w:val="TextoNormal"/>
      </w:pPr>
      <w:bookmarkStart w:id="233" w:name="INDICE22804"/>
      <w:bookmarkEnd w:id="233"/>
    </w:p>
    <w:p w:rsidR="007D461E" w:rsidRDefault="007D461E" w:rsidP="007D461E">
      <w:pPr>
        <w:pStyle w:val="TextoIndiceNivel2"/>
        <w:suppressAutoHyphens/>
      </w:pPr>
      <w:r>
        <w:t>A) Constitución</w:t>
      </w:r>
    </w:p>
    <w:p w:rsidR="007D461E" w:rsidRDefault="007D461E" w:rsidP="007D461E">
      <w:pPr>
        <w:pStyle w:val="TextoIndiceNivel2"/>
      </w:pPr>
    </w:p>
    <w:p w:rsidR="007D461E" w:rsidRDefault="007D461E" w:rsidP="007D461E">
      <w:pPr>
        <w:pStyle w:val="TextoNormalNegritaCursivandice"/>
      </w:pPr>
      <w:r>
        <w:t>Constitución política de la Monarquía española, de 19 de marzo de 1812</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r w:rsidRPr="007D461E">
        <w:rPr>
          <w:rStyle w:val="TextoNormalNegritaCaracter"/>
        </w:rPr>
        <w:t>Artículo 170.</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r w:rsidRPr="007D461E">
        <w:rPr>
          <w:rStyle w:val="TextoNormalNegritaCaracter"/>
        </w:rPr>
        <w:t>Artículo 171.7.</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r w:rsidRPr="007D461E">
        <w:rPr>
          <w:rStyle w:val="TextoNormalNegritaCaracter"/>
        </w:rPr>
        <w:t>Artículos 174 a 178.</w:t>
      </w:r>
      <w:r w:rsidRPr="007D461E">
        <w:rPr>
          <w:rStyle w:val="TextoNormalCaracter"/>
        </w:rPr>
        <w:t>-</w:t>
      </w:r>
      <w:r>
        <w:t xml:space="preserve"> Sentencia </w:t>
      </w:r>
      <w:hyperlink w:anchor="SENTENCIA_1997_126" w:history="1">
        <w:r w:rsidRPr="007D461E">
          <w:rPr>
            <w:rStyle w:val="TextoNormalCaracter"/>
          </w:rPr>
          <w:t>126/1997</w:t>
        </w:r>
      </w:hyperlink>
      <w:r>
        <w:t>, f. 7.</w:t>
      </w:r>
    </w:p>
    <w:p w:rsidR="007D461E" w:rsidRDefault="007D461E" w:rsidP="007D461E">
      <w:pPr>
        <w:pStyle w:val="SangriaFrancesaArticulo"/>
      </w:pPr>
      <w:r w:rsidRPr="007D461E">
        <w:rPr>
          <w:rStyle w:val="TextoNormalNegritaCaracter"/>
        </w:rPr>
        <w:t>Artículo 232.</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Constitución de la Monarquía española, de 24 de junio de 1837</w:t>
      </w:r>
    </w:p>
    <w:p w:rsidR="007D461E" w:rsidRDefault="007D461E" w:rsidP="007D461E">
      <w:pPr>
        <w:pStyle w:val="SangriaFrancesaArticulo"/>
      </w:pPr>
      <w:r w:rsidRPr="007D461E">
        <w:rPr>
          <w:rStyle w:val="TextoNormalNegritaCaracter"/>
        </w:rPr>
        <w:t>Artículo 47.9.</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Constitución de la Monarquía española, de 23 de mayo de 1845</w:t>
      </w:r>
    </w:p>
    <w:p w:rsidR="007D461E" w:rsidRDefault="007D461E" w:rsidP="007D461E">
      <w:pPr>
        <w:pStyle w:val="SangriaFrancesaArticulo"/>
      </w:pPr>
      <w:r w:rsidRPr="007D461E">
        <w:rPr>
          <w:rStyle w:val="TextoNormalNegritaCaracter"/>
        </w:rPr>
        <w:t>Artículo 45.9.</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Constitución de la Monarquía española, de 1 de junio de 1869</w:t>
      </w:r>
    </w:p>
    <w:p w:rsidR="007D461E" w:rsidRDefault="007D461E" w:rsidP="007D461E">
      <w:pPr>
        <w:pStyle w:val="SangriaFrancesaArticulo"/>
      </w:pPr>
      <w:r w:rsidRPr="007D461E">
        <w:rPr>
          <w:rStyle w:val="TextoNormalNegritaCaracter"/>
        </w:rPr>
        <w:t>Artículo 73.3.</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Constitución de la Monarquía española, de 2 de julio de 1876</w:t>
      </w:r>
    </w:p>
    <w:p w:rsidR="007D461E" w:rsidRDefault="007D461E" w:rsidP="007D461E">
      <w:pPr>
        <w:pStyle w:val="SangriaFrancesaArticulo"/>
      </w:pPr>
      <w:r w:rsidRPr="007D461E">
        <w:rPr>
          <w:rStyle w:val="TextoNormalNegritaCaracter"/>
        </w:rPr>
        <w:t>Artículo 54.</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55.8.</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Constitución de la República española, de 10 de diciembre de 1931</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p>
    <w:p w:rsidR="007D461E" w:rsidRDefault="007D461E" w:rsidP="007D461E">
      <w:pPr>
        <w:pStyle w:val="TextoNormalNegritaCursivandice"/>
      </w:pPr>
      <w:r>
        <w:t>Constitución española, de 27 de diciembre de 1978</w:t>
      </w:r>
    </w:p>
    <w:p w:rsidR="007D461E" w:rsidRDefault="007D461E" w:rsidP="007D461E">
      <w:pPr>
        <w:pStyle w:val="SangriaFrancesaArticulo"/>
      </w:pPr>
      <w:r w:rsidRPr="007D461E">
        <w:rPr>
          <w:rStyle w:val="TextoNormalNegritaCaracter"/>
        </w:rPr>
        <w:t>Título preliminar.</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SangriaFrancesaArticulo"/>
      </w:pPr>
      <w:r w:rsidRPr="007D461E">
        <w:rPr>
          <w:rStyle w:val="TextoNormalNegritaCaracter"/>
        </w:rPr>
        <w:t>Título I, capítulo II, sección primera.</w:t>
      </w:r>
      <w:r w:rsidRPr="007D461E">
        <w:rPr>
          <w:rStyle w:val="TextoNormalCaracter"/>
        </w:rPr>
        <w:t>-</w:t>
      </w:r>
      <w:r>
        <w:t xml:space="preserve"> Sentencia </w:t>
      </w:r>
      <w:hyperlink w:anchor="SENTENCIA_1997_96" w:history="1">
        <w:r w:rsidRPr="007D461E">
          <w:rPr>
            <w:rStyle w:val="TextoNormalCaracter"/>
          </w:rPr>
          <w:t>96/1997</w:t>
        </w:r>
      </w:hyperlink>
      <w:r>
        <w:t>, f. 5.</w:t>
      </w:r>
    </w:p>
    <w:p w:rsidR="007D461E" w:rsidRDefault="007D461E" w:rsidP="007D461E">
      <w:pPr>
        <w:pStyle w:val="SangriaFrancesaArticulo"/>
      </w:pPr>
      <w:r w:rsidRPr="007D461E">
        <w:rPr>
          <w:rStyle w:val="TextoNormalNegritaCaracter"/>
        </w:rPr>
        <w:t>Preámbulo.</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SangriaFrancesaArticulo"/>
      </w:pPr>
      <w:r w:rsidRPr="007D461E">
        <w:rPr>
          <w:rStyle w:val="TextoNormalNegritaCaracter"/>
        </w:rPr>
        <w:lastRenderedPageBreak/>
        <w:t>Artículo 1.</w:t>
      </w:r>
      <w:r w:rsidRPr="007D461E">
        <w:rPr>
          <w:rStyle w:val="TextoNormalCaracter"/>
        </w:rPr>
        <w:t>-</w:t>
      </w:r>
      <w:r>
        <w:t xml:space="preserve"> Autos </w:t>
      </w:r>
      <w:hyperlink w:anchor="AUTO_1997_186" w:history="1">
        <w:r w:rsidRPr="007D461E">
          <w:rPr>
            <w:rStyle w:val="TextoNormalCaracter"/>
          </w:rPr>
          <w:t>186/1997</w:t>
        </w:r>
      </w:hyperlink>
      <w:r>
        <w:t xml:space="preserve">; </w:t>
      </w:r>
      <w:hyperlink w:anchor="AUTO_1997_214" w:history="1">
        <w:r w:rsidRPr="007D461E">
          <w:rPr>
            <w:rStyle w:val="TextoNormalCaracter"/>
          </w:rPr>
          <w:t>214/1997</w:t>
        </w:r>
      </w:hyperlink>
      <w:r>
        <w:t>.</w:t>
      </w:r>
    </w:p>
    <w:p w:rsidR="007D461E" w:rsidRDefault="007D461E" w:rsidP="007D461E">
      <w:pPr>
        <w:pStyle w:val="SangriaFrancesaArticulo"/>
      </w:pPr>
      <w:r w:rsidRPr="007D461E">
        <w:rPr>
          <w:rStyle w:val="TextoNormalNegritaCaracter"/>
        </w:rPr>
        <w:t>Artículo 1.1.</w:t>
      </w:r>
      <w:r w:rsidRPr="007D461E">
        <w:rPr>
          <w:rStyle w:val="TextoNormalCaracter"/>
        </w:rPr>
        <w:t>-</w:t>
      </w:r>
      <w:r>
        <w:t xml:space="preserve"> Sentencias </w:t>
      </w:r>
      <w:hyperlink w:anchor="SENTENCIA_1997_98" w:history="1">
        <w:r w:rsidRPr="007D461E">
          <w:rPr>
            <w:rStyle w:val="TextoNormalCaracter"/>
          </w:rPr>
          <w:t>98/1997</w:t>
        </w:r>
      </w:hyperlink>
      <w:r>
        <w:t xml:space="preserve">, f. 2; </w:t>
      </w:r>
      <w:hyperlink w:anchor="SENTENCIA_1997_126" w:history="1">
        <w:r w:rsidRPr="007D461E">
          <w:rPr>
            <w:rStyle w:val="TextoNormalCaracter"/>
          </w:rPr>
          <w:t>126/1997</w:t>
        </w:r>
      </w:hyperlink>
      <w:r>
        <w:t>, f. 12.</w:t>
      </w:r>
    </w:p>
    <w:p w:rsidR="007D461E" w:rsidRDefault="007D461E" w:rsidP="007D461E">
      <w:pPr>
        <w:pStyle w:val="SangriaFrancesaArticulo"/>
      </w:pPr>
      <w:r w:rsidRPr="007D461E">
        <w:rPr>
          <w:rStyle w:val="TextoNormalNegritaCaracter"/>
        </w:rPr>
        <w:t>Artículo 3.2.</w:t>
      </w:r>
      <w:r w:rsidRPr="007D461E">
        <w:rPr>
          <w:rStyle w:val="TextoNormalCaracter"/>
        </w:rPr>
        <w:t>-</w:t>
      </w:r>
      <w:r>
        <w:t xml:space="preserve"> Sentencia </w:t>
      </w:r>
      <w:hyperlink w:anchor="SENTENCIA_1997_134" w:history="1">
        <w:r w:rsidRPr="007D461E">
          <w:rPr>
            <w:rStyle w:val="TextoNormalCaracter"/>
          </w:rPr>
          <w:t>134/1997</w:t>
        </w:r>
      </w:hyperlink>
      <w:r>
        <w:t>, ff. 1, 2.</w:t>
      </w:r>
    </w:p>
    <w:p w:rsidR="007D461E" w:rsidRDefault="007D461E" w:rsidP="007D461E">
      <w:pPr>
        <w:pStyle w:val="SangriaFrancesaArticulo"/>
      </w:pPr>
      <w:r w:rsidRPr="007D461E">
        <w:rPr>
          <w:rStyle w:val="TextoNormalNegritaCaracter"/>
        </w:rPr>
        <w:t>Artículo 3.3.</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SangriaFrancesaArticulo"/>
      </w:pPr>
      <w:r w:rsidRPr="007D461E">
        <w:rPr>
          <w:rStyle w:val="TextoNormalNegritaCaracter"/>
        </w:rPr>
        <w:t>Artículo 7.</w:t>
      </w:r>
      <w:r w:rsidRPr="007D461E">
        <w:rPr>
          <w:rStyle w:val="TextoNormalCaracter"/>
        </w:rPr>
        <w:t>-</w:t>
      </w:r>
      <w:r>
        <w:t xml:space="preserve"> Sentencia </w:t>
      </w:r>
      <w:hyperlink w:anchor="SENTENCIA_1997_121" w:history="1">
        <w:r w:rsidRPr="007D461E">
          <w:rPr>
            <w:rStyle w:val="TextoNormalCaracter"/>
          </w:rPr>
          <w:t>121/1997</w:t>
        </w:r>
      </w:hyperlink>
      <w:r>
        <w:t>, f. 9.</w:t>
      </w:r>
    </w:p>
    <w:p w:rsidR="007D461E" w:rsidRDefault="007D461E" w:rsidP="007D461E">
      <w:pPr>
        <w:pStyle w:val="SangriaFrancesaArticulo"/>
      </w:pPr>
      <w:r w:rsidRPr="007D461E">
        <w:rPr>
          <w:rStyle w:val="TextoNormalNegritaCaracter"/>
        </w:rPr>
        <w:t>Artículo 9.</w:t>
      </w:r>
      <w:r w:rsidRPr="007D461E">
        <w:rPr>
          <w:rStyle w:val="TextoNormalCaracter"/>
        </w:rPr>
        <w:t>-</w:t>
      </w:r>
      <w:r>
        <w:t xml:space="preserve"> Sentencias </w:t>
      </w:r>
      <w:hyperlink w:anchor="SENTENCIA_1997_116" w:history="1">
        <w:r w:rsidRPr="007D461E">
          <w:rPr>
            <w:rStyle w:val="TextoNormalCaracter"/>
          </w:rPr>
          <w:t>116/1997</w:t>
        </w:r>
      </w:hyperlink>
      <w:r>
        <w:t xml:space="preserve">, f. 1; </w:t>
      </w:r>
      <w:hyperlink w:anchor="SENTENCIA_1997_129" w:history="1">
        <w:r w:rsidRPr="007D461E">
          <w:rPr>
            <w:rStyle w:val="TextoNormalCaracter"/>
          </w:rPr>
          <w:t>129/1997</w:t>
        </w:r>
      </w:hyperlink>
      <w:r>
        <w:t>, ff. 2, 3.</w:t>
      </w:r>
    </w:p>
    <w:p w:rsidR="007D461E" w:rsidRDefault="007D461E" w:rsidP="007D461E">
      <w:pPr>
        <w:pStyle w:val="SangriaFrancesaArticulo"/>
      </w:pPr>
      <w:r w:rsidRPr="007D461E">
        <w:rPr>
          <w:rStyle w:val="TextoNormalNegritaCaracter"/>
        </w:rPr>
        <w:t>Artículo 9.1.</w:t>
      </w:r>
      <w:r w:rsidRPr="007D461E">
        <w:rPr>
          <w:rStyle w:val="TextoNormalCaracter"/>
        </w:rPr>
        <w:t>-</w:t>
      </w:r>
      <w:r>
        <w:t xml:space="preserve"> Auto </w:t>
      </w:r>
      <w:hyperlink w:anchor="AUTO_1997_137" w:history="1">
        <w:r w:rsidRPr="007D461E">
          <w:rPr>
            <w:rStyle w:val="TextoNormalCaracter"/>
          </w:rPr>
          <w:t>137/1997</w:t>
        </w:r>
      </w:hyperlink>
      <w:r>
        <w:t>.</w:t>
      </w:r>
    </w:p>
    <w:p w:rsidR="007D461E" w:rsidRDefault="007D461E" w:rsidP="007D461E">
      <w:pPr>
        <w:pStyle w:val="SangriaFrancesaArticulo"/>
      </w:pPr>
      <w:r w:rsidRPr="007D461E">
        <w:rPr>
          <w:rStyle w:val="TextoNormalNegritaCaracter"/>
        </w:rPr>
        <w:t>Artículo 9.3.</w:t>
      </w:r>
      <w:r w:rsidRPr="007D461E">
        <w:rPr>
          <w:rStyle w:val="TextoNormalCaracter"/>
        </w:rPr>
        <w:t>-</w:t>
      </w:r>
      <w:r>
        <w:t xml:space="preserve"> Sentencias </w:t>
      </w:r>
      <w:hyperlink w:anchor="SENTENCIA_1997_91" w:history="1">
        <w:r w:rsidRPr="007D461E">
          <w:rPr>
            <w:rStyle w:val="TextoNormalCaracter"/>
          </w:rPr>
          <w:t>91/1997</w:t>
        </w:r>
      </w:hyperlink>
      <w:r>
        <w:t xml:space="preserve">, f. 1; </w:t>
      </w:r>
      <w:hyperlink w:anchor="SENTENCIA_1997_102" w:history="1">
        <w:r w:rsidRPr="007D461E">
          <w:rPr>
            <w:rStyle w:val="TextoNormalCaracter"/>
          </w:rPr>
          <w:t>102/1997</w:t>
        </w:r>
      </w:hyperlink>
      <w:r>
        <w:t xml:space="preserve">, f. 3; </w:t>
      </w:r>
      <w:hyperlink w:anchor="SENTENCIA_1997_132" w:history="1">
        <w:r w:rsidRPr="007D461E">
          <w:rPr>
            <w:rStyle w:val="TextoNormalCaracter"/>
          </w:rPr>
          <w:t>132/1997</w:t>
        </w:r>
      </w:hyperlink>
      <w:r>
        <w:t xml:space="preserve">, f. 7; </w:t>
      </w:r>
      <w:hyperlink w:anchor="SENTENCIA_1997_135" w:history="1">
        <w:r w:rsidRPr="007D461E">
          <w:rPr>
            <w:rStyle w:val="TextoNormalCaracter"/>
          </w:rPr>
          <w:t>135/1997</w:t>
        </w:r>
      </w:hyperlink>
      <w:r>
        <w:t xml:space="preserve">, f. 3; </w:t>
      </w:r>
      <w:hyperlink w:anchor="SENTENCIA_1997_136" w:history="1">
        <w:r w:rsidRPr="007D461E">
          <w:rPr>
            <w:rStyle w:val="TextoNormalCaracter"/>
          </w:rPr>
          <w:t>136/1997</w:t>
        </w:r>
      </w:hyperlink>
      <w:r>
        <w:t xml:space="preserve">, f. 4; </w:t>
      </w:r>
      <w:hyperlink w:anchor="SENTENCIA_1997_137" w:history="1">
        <w:r w:rsidRPr="007D461E">
          <w:rPr>
            <w:rStyle w:val="TextoNormalCaracter"/>
          </w:rPr>
          <w:t>137/1997</w:t>
        </w:r>
      </w:hyperlink>
      <w:r>
        <w:t>, f. 6.</w:t>
      </w:r>
    </w:p>
    <w:p w:rsidR="007D461E" w:rsidRDefault="007D461E" w:rsidP="007D461E">
      <w:pPr>
        <w:pStyle w:val="SangriaIzquierdaArticulo"/>
      </w:pPr>
      <w:r>
        <w:t xml:space="preserve">Autos </w:t>
      </w:r>
      <w:hyperlink w:anchor="AUTO_1997_154" w:history="1">
        <w:r w:rsidRPr="007D461E">
          <w:rPr>
            <w:rStyle w:val="TextoNormalCaracter"/>
          </w:rPr>
          <w:t>154/1997</w:t>
        </w:r>
      </w:hyperlink>
      <w:r>
        <w:t xml:space="preserve">; </w:t>
      </w:r>
      <w:hyperlink w:anchor="AUTO_1997_195" w:history="1">
        <w:r w:rsidRPr="007D461E">
          <w:rPr>
            <w:rStyle w:val="TextoNormalCaracter"/>
          </w:rPr>
          <w:t>195/1997</w:t>
        </w:r>
      </w:hyperlink>
      <w:r>
        <w:t xml:space="preserve">; </w:t>
      </w:r>
      <w:hyperlink w:anchor="AUTO_1997_221" w:history="1">
        <w:r w:rsidRPr="007D461E">
          <w:rPr>
            <w:rStyle w:val="TextoNormalCaracter"/>
          </w:rPr>
          <w:t>221/1997</w:t>
        </w:r>
      </w:hyperlink>
      <w:r>
        <w:t xml:space="preserve">; </w:t>
      </w:r>
      <w:hyperlink w:anchor="AUTO_1997_235" w:history="1">
        <w:r w:rsidRPr="007D461E">
          <w:rPr>
            <w:rStyle w:val="TextoNormalCaracter"/>
          </w:rPr>
          <w:t>235/1997</w:t>
        </w:r>
      </w:hyperlink>
      <w:r>
        <w:t xml:space="preserve">; </w:t>
      </w:r>
      <w:hyperlink w:anchor="AUTO_1997_236" w:history="1">
        <w:r w:rsidRPr="007D461E">
          <w:rPr>
            <w:rStyle w:val="TextoNormalCaracter"/>
          </w:rPr>
          <w:t>236/1997</w:t>
        </w:r>
      </w:hyperlink>
      <w:r>
        <w:t xml:space="preserve">; </w:t>
      </w:r>
      <w:hyperlink w:anchor="AUTO_1997_267" w:history="1">
        <w:r w:rsidRPr="007D461E">
          <w:rPr>
            <w:rStyle w:val="TextoNormalCaracter"/>
          </w:rPr>
          <w:t>267/1997</w:t>
        </w:r>
      </w:hyperlink>
      <w:r>
        <w:t xml:space="preserve">; </w:t>
      </w:r>
      <w:hyperlink w:anchor="AUTO_1997_292" w:history="1">
        <w:r w:rsidRPr="007D461E">
          <w:rPr>
            <w:rStyle w:val="TextoNormalCaracter"/>
          </w:rPr>
          <w:t>292/1997</w:t>
        </w:r>
      </w:hyperlink>
      <w:r>
        <w:t>.</w:t>
      </w:r>
    </w:p>
    <w:p w:rsidR="007D461E" w:rsidRDefault="007D461E" w:rsidP="007D461E">
      <w:pPr>
        <w:pStyle w:val="SangriaFrancesaArticulo"/>
      </w:pPr>
      <w:r w:rsidRPr="007D461E">
        <w:rPr>
          <w:rStyle w:val="TextoNormalNegritaCaracter"/>
        </w:rPr>
        <w:t>Artículo 10.</w:t>
      </w:r>
      <w:r w:rsidRPr="007D461E">
        <w:rPr>
          <w:rStyle w:val="TextoNormalCaracter"/>
        </w:rPr>
        <w:t>-</w:t>
      </w:r>
      <w:r>
        <w:t xml:space="preserve"> Sentencias </w:t>
      </w:r>
      <w:hyperlink w:anchor="SENTENCIA_1997_123" w:history="1">
        <w:r w:rsidRPr="007D461E">
          <w:rPr>
            <w:rStyle w:val="TextoNormalCaracter"/>
          </w:rPr>
          <w:t>123/1997</w:t>
        </w:r>
      </w:hyperlink>
      <w:r>
        <w:t xml:space="preserve">, f. 6; </w:t>
      </w:r>
      <w:hyperlink w:anchor="SENTENCIA_1997_125" w:history="1">
        <w:r w:rsidRPr="007D461E">
          <w:rPr>
            <w:rStyle w:val="TextoNormalCaracter"/>
          </w:rPr>
          <w:t>125/1997</w:t>
        </w:r>
      </w:hyperlink>
      <w:r>
        <w:t xml:space="preserve">, VP I; </w:t>
      </w:r>
      <w:hyperlink w:anchor="SENTENCIA_1997_126" w:history="1">
        <w:r w:rsidRPr="007D461E">
          <w:rPr>
            <w:rStyle w:val="TextoNormalCaracter"/>
          </w:rPr>
          <w:t>126/1997</w:t>
        </w:r>
      </w:hyperlink>
      <w:r>
        <w:t>, f. 16.</w:t>
      </w:r>
    </w:p>
    <w:p w:rsidR="007D461E" w:rsidRDefault="007D461E" w:rsidP="007D461E">
      <w:pPr>
        <w:pStyle w:val="SangriaFrancesaArticulo"/>
      </w:pPr>
      <w:r w:rsidRPr="007D461E">
        <w:rPr>
          <w:rStyle w:val="TextoNormalNegritaCaracter"/>
        </w:rPr>
        <w:t>Artículo 10.1.</w:t>
      </w:r>
      <w:r w:rsidRPr="007D461E">
        <w:rPr>
          <w:rStyle w:val="TextoNormalCaracter"/>
        </w:rPr>
        <w:t>-</w:t>
      </w:r>
      <w:r>
        <w:t xml:space="preserve"> Sentencias </w:t>
      </w:r>
      <w:hyperlink w:anchor="SENTENCIA_1997_126" w:history="1">
        <w:r w:rsidRPr="007D461E">
          <w:rPr>
            <w:rStyle w:val="TextoNormalCaracter"/>
          </w:rPr>
          <w:t>126/1997</w:t>
        </w:r>
      </w:hyperlink>
      <w:r>
        <w:t xml:space="preserve">, f. 12; </w:t>
      </w:r>
      <w:hyperlink w:anchor="SENTENCIA_1997_137" w:history="1">
        <w:r w:rsidRPr="007D461E">
          <w:rPr>
            <w:rStyle w:val="TextoNormalCaracter"/>
          </w:rPr>
          <w:t>137/1997</w:t>
        </w:r>
      </w:hyperlink>
      <w:r>
        <w:t>, f. 3.</w:t>
      </w:r>
    </w:p>
    <w:p w:rsidR="007D461E" w:rsidRDefault="007D461E" w:rsidP="007D461E">
      <w:pPr>
        <w:pStyle w:val="SangriaFrancesaArticulo"/>
      </w:pPr>
      <w:r w:rsidRPr="007D461E">
        <w:rPr>
          <w:rStyle w:val="TextoNormalNegritaCaracter"/>
        </w:rPr>
        <w:t>Artículo 10.2.</w:t>
      </w:r>
      <w:r w:rsidRPr="007D461E">
        <w:rPr>
          <w:rStyle w:val="TextoNormalCaracter"/>
        </w:rPr>
        <w:t>-</w:t>
      </w:r>
      <w:r>
        <w:t xml:space="preserve"> Sentencia </w:t>
      </w:r>
      <w:hyperlink w:anchor="SENTENCIA_1997_123" w:history="1">
        <w:r w:rsidRPr="007D461E">
          <w:rPr>
            <w:rStyle w:val="TextoNormalCaracter"/>
          </w:rPr>
          <w:t>123/1997</w:t>
        </w:r>
      </w:hyperlink>
      <w:r>
        <w:t>, f. 4.</w:t>
      </w:r>
    </w:p>
    <w:p w:rsidR="007D461E" w:rsidRDefault="007D461E" w:rsidP="007D461E">
      <w:pPr>
        <w:pStyle w:val="SangriaFrancesaArticulo"/>
      </w:pPr>
      <w:r w:rsidRPr="007D461E">
        <w:rPr>
          <w:rStyle w:val="TextoNormalNegritaCaracter"/>
        </w:rPr>
        <w:t>Artículo 14.</w:t>
      </w:r>
      <w:r w:rsidRPr="007D461E">
        <w:rPr>
          <w:rStyle w:val="TextoNormalCaracter"/>
        </w:rPr>
        <w:t>-</w:t>
      </w:r>
      <w:r>
        <w:t xml:space="preserve"> Sentencias </w:t>
      </w:r>
      <w:hyperlink w:anchor="SENTENCIA_1997_90" w:history="1">
        <w:r w:rsidRPr="007D461E">
          <w:rPr>
            <w:rStyle w:val="TextoNormalCaracter"/>
          </w:rPr>
          <w:t>90/1997</w:t>
        </w:r>
      </w:hyperlink>
      <w:r>
        <w:t xml:space="preserve">, ff. 2, 3; </w:t>
      </w:r>
      <w:hyperlink w:anchor="SENTENCIA_1997_91" w:history="1">
        <w:r w:rsidRPr="007D461E">
          <w:rPr>
            <w:rStyle w:val="TextoNormalCaracter"/>
          </w:rPr>
          <w:t>91/1997</w:t>
        </w:r>
      </w:hyperlink>
      <w:r>
        <w:t xml:space="preserve">, f. 1; </w:t>
      </w:r>
      <w:hyperlink w:anchor="SENTENCIA_1997_94" w:history="1">
        <w:r w:rsidRPr="007D461E">
          <w:rPr>
            <w:rStyle w:val="TextoNormalCaracter"/>
          </w:rPr>
          <w:t>94/1997</w:t>
        </w:r>
      </w:hyperlink>
      <w:r>
        <w:t xml:space="preserve">, ff. 1, 4; </w:t>
      </w:r>
      <w:hyperlink w:anchor="SENTENCIA_1997_95" w:history="1">
        <w:r w:rsidRPr="007D461E">
          <w:rPr>
            <w:rStyle w:val="TextoNormalCaracter"/>
          </w:rPr>
          <w:t>95/1997</w:t>
        </w:r>
      </w:hyperlink>
      <w:r>
        <w:t xml:space="preserve">, f. 1; </w:t>
      </w:r>
      <w:hyperlink w:anchor="SENTENCIA_1997_96" w:history="1">
        <w:r w:rsidRPr="007D461E">
          <w:rPr>
            <w:rStyle w:val="TextoNormalCaracter"/>
          </w:rPr>
          <w:t>96/1997</w:t>
        </w:r>
      </w:hyperlink>
      <w:r>
        <w:t xml:space="preserve">, ff. 1 a 6; </w:t>
      </w:r>
      <w:hyperlink w:anchor="SENTENCIA_1997_117" w:history="1">
        <w:r w:rsidRPr="007D461E">
          <w:rPr>
            <w:rStyle w:val="TextoNormalCaracter"/>
          </w:rPr>
          <w:t>117/1997</w:t>
        </w:r>
      </w:hyperlink>
      <w:r>
        <w:t xml:space="preserve">, ff. 1, 2; </w:t>
      </w:r>
      <w:hyperlink w:anchor="SENTENCIA_1997_119" w:history="1">
        <w:r w:rsidRPr="007D461E">
          <w:rPr>
            <w:rStyle w:val="TextoNormalCaracter"/>
          </w:rPr>
          <w:t>119/1997</w:t>
        </w:r>
      </w:hyperlink>
      <w:r>
        <w:t xml:space="preserve">, f. 2; </w:t>
      </w:r>
      <w:hyperlink w:anchor="SENTENCIA_1997_121" w:history="1">
        <w:r w:rsidRPr="007D461E">
          <w:rPr>
            <w:rStyle w:val="TextoNormalCaracter"/>
          </w:rPr>
          <w:t>121/1997</w:t>
        </w:r>
      </w:hyperlink>
      <w:r>
        <w:t xml:space="preserve">, ff. 1, 7; </w:t>
      </w:r>
      <w:hyperlink w:anchor="SENTENCIA_1997_125" w:history="1">
        <w:r w:rsidRPr="007D461E">
          <w:rPr>
            <w:rStyle w:val="TextoNormalCaracter"/>
          </w:rPr>
          <w:t>125/1997</w:t>
        </w:r>
      </w:hyperlink>
      <w:r>
        <w:t xml:space="preserve">, VP II; </w:t>
      </w:r>
      <w:hyperlink w:anchor="SENTENCIA_1997_126" w:history="1">
        <w:r w:rsidRPr="007D461E">
          <w:rPr>
            <w:rStyle w:val="TextoNormalCaracter"/>
          </w:rPr>
          <w:t>126/1997</w:t>
        </w:r>
      </w:hyperlink>
      <w:r>
        <w:t xml:space="preserve">, ff. 1 a 5, 8, 11, 12, 17, VP I, VP II; </w:t>
      </w:r>
      <w:hyperlink w:anchor="SENTENCIA_1997_129" w:history="1">
        <w:r w:rsidRPr="007D461E">
          <w:rPr>
            <w:rStyle w:val="TextoNormalCaracter"/>
          </w:rPr>
          <w:t>129/1997</w:t>
        </w:r>
      </w:hyperlink>
      <w:r>
        <w:t xml:space="preserve">, f. 2; </w:t>
      </w:r>
      <w:hyperlink w:anchor="SENTENCIA_1997_132" w:history="1">
        <w:r w:rsidRPr="007D461E">
          <w:rPr>
            <w:rStyle w:val="TextoNormalCaracter"/>
          </w:rPr>
          <w:t>132/1997</w:t>
        </w:r>
      </w:hyperlink>
      <w:r>
        <w:t xml:space="preserve">, ff. 1, 7, 8; </w:t>
      </w:r>
      <w:hyperlink w:anchor="SENTENCIA_1997_137" w:history="1">
        <w:r w:rsidRPr="007D461E">
          <w:rPr>
            <w:rStyle w:val="TextoNormalCaracter"/>
          </w:rPr>
          <w:t>137/1997</w:t>
        </w:r>
      </w:hyperlink>
      <w:r>
        <w:t>, f. 1.</w:t>
      </w:r>
    </w:p>
    <w:p w:rsidR="007D461E" w:rsidRDefault="007D461E" w:rsidP="007D461E">
      <w:pPr>
        <w:pStyle w:val="SangriaIzquierdaArticulo"/>
      </w:pPr>
      <w:r>
        <w:t xml:space="preserve">Autos </w:t>
      </w:r>
      <w:hyperlink w:anchor="AUTO_1997_150" w:history="1">
        <w:r w:rsidRPr="007D461E">
          <w:rPr>
            <w:rStyle w:val="TextoNormalCaracter"/>
          </w:rPr>
          <w:t>150/1997</w:t>
        </w:r>
      </w:hyperlink>
      <w:r>
        <w:t xml:space="preserve">; </w:t>
      </w:r>
      <w:hyperlink w:anchor="AUTO_1997_157" w:history="1">
        <w:r w:rsidRPr="007D461E">
          <w:rPr>
            <w:rStyle w:val="TextoNormalCaracter"/>
          </w:rPr>
          <w:t>157/1997</w:t>
        </w:r>
      </w:hyperlink>
      <w:r>
        <w:t xml:space="preserve">; </w:t>
      </w:r>
      <w:hyperlink w:anchor="AUTO_1997_207" w:history="1">
        <w:r w:rsidRPr="007D461E">
          <w:rPr>
            <w:rStyle w:val="TextoNormalCaracter"/>
          </w:rPr>
          <w:t>207/1997</w:t>
        </w:r>
      </w:hyperlink>
      <w:r>
        <w:t xml:space="preserve">; </w:t>
      </w:r>
      <w:hyperlink w:anchor="AUTO_1997_221" w:history="1">
        <w:r w:rsidRPr="007D461E">
          <w:rPr>
            <w:rStyle w:val="TextoNormalCaracter"/>
          </w:rPr>
          <w:t>221/1997</w:t>
        </w:r>
      </w:hyperlink>
      <w:r>
        <w:t xml:space="preserve">; </w:t>
      </w:r>
      <w:hyperlink w:anchor="AUTO_1997_254" w:history="1">
        <w:r w:rsidRPr="007D461E">
          <w:rPr>
            <w:rStyle w:val="TextoNormalCaracter"/>
          </w:rPr>
          <w:t>254/1997</w:t>
        </w:r>
      </w:hyperlink>
      <w:r>
        <w:t xml:space="preserve">; </w:t>
      </w:r>
      <w:hyperlink w:anchor="AUTO_1997_260" w:history="1">
        <w:r w:rsidRPr="007D461E">
          <w:rPr>
            <w:rStyle w:val="TextoNormalCaracter"/>
          </w:rPr>
          <w:t>260/1997</w:t>
        </w:r>
      </w:hyperlink>
      <w:r>
        <w:t xml:space="preserve">; </w:t>
      </w:r>
      <w:hyperlink w:anchor="AUTO_1997_291" w:history="1">
        <w:r w:rsidRPr="007D461E">
          <w:rPr>
            <w:rStyle w:val="TextoNormalCaracter"/>
          </w:rPr>
          <w:t>291/1997</w:t>
        </w:r>
      </w:hyperlink>
      <w:r>
        <w:t xml:space="preserve">; </w:t>
      </w:r>
      <w:hyperlink w:anchor="AUTO_1997_293" w:history="1">
        <w:r w:rsidRPr="007D461E">
          <w:rPr>
            <w:rStyle w:val="TextoNormalCaracter"/>
          </w:rPr>
          <w:t>293/1997</w:t>
        </w:r>
      </w:hyperlink>
      <w:r>
        <w:t>.</w:t>
      </w:r>
    </w:p>
    <w:p w:rsidR="007D461E" w:rsidRDefault="007D461E" w:rsidP="007D461E">
      <w:pPr>
        <w:pStyle w:val="SangriaFrancesaArticulo"/>
      </w:pPr>
      <w:r w:rsidRPr="007D461E">
        <w:rPr>
          <w:rStyle w:val="TextoNormalNegritaCaracter"/>
        </w:rPr>
        <w:t>Artículos 14 a 29 y 30.2.</w:t>
      </w:r>
      <w:r w:rsidRPr="007D461E">
        <w:rPr>
          <w:rStyle w:val="TextoNormalCaracter"/>
        </w:rPr>
        <w:t>-</w:t>
      </w:r>
      <w:r>
        <w:t xml:space="preserve"> Sentencia </w:t>
      </w:r>
      <w:hyperlink w:anchor="SENTENCIA_1997_95" w:history="1">
        <w:r w:rsidRPr="007D461E">
          <w:rPr>
            <w:rStyle w:val="TextoNormalCaracter"/>
          </w:rPr>
          <w:t>95/1997</w:t>
        </w:r>
      </w:hyperlink>
      <w:r>
        <w:t>, f. 3.</w:t>
      </w:r>
    </w:p>
    <w:p w:rsidR="007D461E" w:rsidRDefault="007D461E" w:rsidP="007D461E">
      <w:pPr>
        <w:pStyle w:val="SangriaFrancesaArticulo"/>
      </w:pPr>
      <w:r w:rsidRPr="007D461E">
        <w:rPr>
          <w:rStyle w:val="TextoNormalNegritaCaracter"/>
        </w:rPr>
        <w:t>Artículo 15.</w:t>
      </w:r>
      <w:r w:rsidRPr="007D461E">
        <w:rPr>
          <w:rStyle w:val="TextoNormalCaracter"/>
        </w:rPr>
        <w:t>-</w:t>
      </w:r>
      <w:r>
        <w:t xml:space="preserve"> Sentencia </w:t>
      </w:r>
      <w:hyperlink w:anchor="SENTENCIA_1997_137" w:history="1">
        <w:r w:rsidRPr="007D461E">
          <w:rPr>
            <w:rStyle w:val="TextoNormalCaracter"/>
          </w:rPr>
          <w:t>137/1997</w:t>
        </w:r>
      </w:hyperlink>
      <w:r>
        <w:t>, f. 3.</w:t>
      </w:r>
    </w:p>
    <w:p w:rsidR="007D461E" w:rsidRDefault="007D461E" w:rsidP="007D461E">
      <w:pPr>
        <w:pStyle w:val="SangriaFrancesaArticulo"/>
      </w:pPr>
      <w:r w:rsidRPr="007D461E">
        <w:rPr>
          <w:rStyle w:val="TextoNormalNegritaCaracter"/>
        </w:rPr>
        <w:t>Artículo 16.2.</w:t>
      </w:r>
      <w:r w:rsidRPr="007D461E">
        <w:rPr>
          <w:rStyle w:val="TextoNormalCaracter"/>
        </w:rPr>
        <w:t>-</w:t>
      </w:r>
      <w:r>
        <w:t xml:space="preserve"> Sentencia </w:t>
      </w:r>
      <w:hyperlink w:anchor="SENTENCIA_1997_125" w:history="1">
        <w:r w:rsidRPr="007D461E">
          <w:rPr>
            <w:rStyle w:val="TextoNormalCaracter"/>
          </w:rPr>
          <w:t>125/1997</w:t>
        </w:r>
      </w:hyperlink>
      <w:r>
        <w:t>, VP II.</w:t>
      </w:r>
    </w:p>
    <w:p w:rsidR="007D461E" w:rsidRDefault="007D461E" w:rsidP="007D461E">
      <w:pPr>
        <w:pStyle w:val="SangriaFrancesaArticulo"/>
      </w:pPr>
      <w:r w:rsidRPr="007D461E">
        <w:rPr>
          <w:rStyle w:val="TextoNormalNegritaCaracter"/>
        </w:rPr>
        <w:t>Artículo 17.</w:t>
      </w:r>
      <w:r w:rsidRPr="007D461E">
        <w:rPr>
          <w:rStyle w:val="TextoNormalCaracter"/>
        </w:rPr>
        <w:t>-</w:t>
      </w:r>
      <w:r>
        <w:t xml:space="preserve"> Sentencias </w:t>
      </w:r>
      <w:hyperlink w:anchor="SENTENCIA_1997_107" w:history="1">
        <w:r w:rsidRPr="007D461E">
          <w:rPr>
            <w:rStyle w:val="TextoNormalCaracter"/>
          </w:rPr>
          <w:t>107/1997</w:t>
        </w:r>
      </w:hyperlink>
      <w:r>
        <w:t xml:space="preserve">, ff. 1, 4; </w:t>
      </w:r>
      <w:hyperlink w:anchor="SENTENCIA_1997_108" w:history="1">
        <w:r w:rsidRPr="007D461E">
          <w:rPr>
            <w:rStyle w:val="TextoNormalCaracter"/>
          </w:rPr>
          <w:t>108/1997</w:t>
        </w:r>
      </w:hyperlink>
      <w:r>
        <w:t>, f. 1.</w:t>
      </w:r>
    </w:p>
    <w:p w:rsidR="007D461E" w:rsidRDefault="007D461E" w:rsidP="007D461E">
      <w:pPr>
        <w:pStyle w:val="SangriaIzquierdaArticulo"/>
      </w:pPr>
      <w:r>
        <w:t xml:space="preserve">Autos </w:t>
      </w:r>
      <w:hyperlink w:anchor="AUTO_1997_150" w:history="1">
        <w:r w:rsidRPr="007D461E">
          <w:rPr>
            <w:rStyle w:val="TextoNormalCaracter"/>
          </w:rPr>
          <w:t>150/1997</w:t>
        </w:r>
      </w:hyperlink>
      <w:r>
        <w:t xml:space="preserve">; </w:t>
      </w:r>
      <w:hyperlink w:anchor="AUTO_1997_207" w:history="1">
        <w:r w:rsidRPr="007D461E">
          <w:rPr>
            <w:rStyle w:val="TextoNormalCaracter"/>
          </w:rPr>
          <w:t>207/1997</w:t>
        </w:r>
      </w:hyperlink>
      <w:r>
        <w:t xml:space="preserve">;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17.1.</w:t>
      </w:r>
      <w:r w:rsidRPr="007D461E">
        <w:rPr>
          <w:rStyle w:val="TextoNormalCaracter"/>
        </w:rPr>
        <w:t>-</w:t>
      </w:r>
      <w:r>
        <w:t xml:space="preserve"> Sentencias </w:t>
      </w:r>
      <w:hyperlink w:anchor="SENTENCIA_1997_98" w:history="1">
        <w:r w:rsidRPr="007D461E">
          <w:rPr>
            <w:rStyle w:val="TextoNormalCaracter"/>
          </w:rPr>
          <w:t>98/1997</w:t>
        </w:r>
      </w:hyperlink>
      <w:r>
        <w:t xml:space="preserve">, ff. 1, 3, 7; </w:t>
      </w:r>
      <w:hyperlink w:anchor="SENTENCIA_1997_108" w:history="1">
        <w:r w:rsidRPr="007D461E">
          <w:rPr>
            <w:rStyle w:val="TextoNormalCaracter"/>
          </w:rPr>
          <w:t>108/1997</w:t>
        </w:r>
      </w:hyperlink>
      <w:r>
        <w:t>, f. 3.</w:t>
      </w:r>
    </w:p>
    <w:p w:rsidR="007D461E" w:rsidRDefault="007D461E" w:rsidP="007D461E">
      <w:pPr>
        <w:pStyle w:val="SangriaIzquierdaArticulo"/>
      </w:pPr>
      <w:r>
        <w:t xml:space="preserve">Autos </w:t>
      </w:r>
      <w:hyperlink w:anchor="AUTO_1997_186" w:history="1">
        <w:r w:rsidRPr="007D461E">
          <w:rPr>
            <w:rStyle w:val="TextoNormalCaracter"/>
          </w:rPr>
          <w:t>186/1997</w:t>
        </w:r>
      </w:hyperlink>
      <w:r>
        <w:t xml:space="preserve">; </w:t>
      </w:r>
      <w:hyperlink w:anchor="AUTO_1997_214" w:history="1">
        <w:r w:rsidRPr="007D461E">
          <w:rPr>
            <w:rStyle w:val="TextoNormalCaracter"/>
          </w:rPr>
          <w:t>214/1997</w:t>
        </w:r>
      </w:hyperlink>
      <w:r>
        <w:t xml:space="preserve">; </w:t>
      </w:r>
      <w:hyperlink w:anchor="AUTO_1997_274" w:history="1">
        <w:r w:rsidRPr="007D461E">
          <w:rPr>
            <w:rStyle w:val="TextoNormalCaracter"/>
          </w:rPr>
          <w:t>274/1997</w:t>
        </w:r>
      </w:hyperlink>
      <w:r>
        <w:t xml:space="preserve">;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17.4.</w:t>
      </w:r>
      <w:r w:rsidRPr="007D461E">
        <w:rPr>
          <w:rStyle w:val="TextoNormalCaracter"/>
        </w:rPr>
        <w:t>-</w:t>
      </w:r>
      <w:r>
        <w:t xml:space="preserve"> Sentencia </w:t>
      </w:r>
      <w:hyperlink w:anchor="SENTENCIA_1997_98" w:history="1">
        <w:r w:rsidRPr="007D461E">
          <w:rPr>
            <w:rStyle w:val="TextoNormalCaracter"/>
          </w:rPr>
          <w:t>98/1997</w:t>
        </w:r>
      </w:hyperlink>
      <w:r>
        <w:t>, f. 7.</w:t>
      </w:r>
    </w:p>
    <w:p w:rsidR="007D461E" w:rsidRDefault="007D461E" w:rsidP="007D461E">
      <w:pPr>
        <w:pStyle w:val="SangriaIzquierdaArticulo"/>
      </w:pPr>
      <w:r>
        <w:t xml:space="preserve">Auto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18.</w:t>
      </w:r>
      <w:r w:rsidRPr="007D461E">
        <w:rPr>
          <w:rStyle w:val="TextoNormalCaracter"/>
        </w:rPr>
        <w:t>-</w:t>
      </w:r>
      <w:r>
        <w:t xml:space="preserve"> Sentencia </w:t>
      </w:r>
      <w:hyperlink w:anchor="SENTENCIA_1997_116" w:history="1">
        <w:r w:rsidRPr="007D461E">
          <w:rPr>
            <w:rStyle w:val="TextoNormalCaracter"/>
          </w:rPr>
          <w:t>116/1997</w:t>
        </w:r>
      </w:hyperlink>
      <w:r>
        <w:t>, f. 1.</w:t>
      </w:r>
    </w:p>
    <w:p w:rsidR="007D461E" w:rsidRDefault="007D461E" w:rsidP="007D461E">
      <w:pPr>
        <w:pStyle w:val="SangriaFrancesaArticulo"/>
      </w:pPr>
      <w:r w:rsidRPr="007D461E">
        <w:rPr>
          <w:rStyle w:val="TextoNormalNegritaCaracter"/>
        </w:rPr>
        <w:t>Artículo 18.1.</w:t>
      </w:r>
      <w:r w:rsidRPr="007D461E">
        <w:rPr>
          <w:rStyle w:val="TextoNormalCaracter"/>
        </w:rPr>
        <w:t>-</w:t>
      </w:r>
      <w:r>
        <w:t xml:space="preserve"> Sentencias </w:t>
      </w:r>
      <w:hyperlink w:anchor="SENTENCIA_1997_116" w:history="1">
        <w:r w:rsidRPr="007D461E">
          <w:rPr>
            <w:rStyle w:val="TextoNormalCaracter"/>
          </w:rPr>
          <w:t>116/1997</w:t>
        </w:r>
      </w:hyperlink>
      <w:r>
        <w:t xml:space="preserve">, f. 1; </w:t>
      </w:r>
      <w:hyperlink w:anchor="SENTENCIA_1997_123" w:history="1">
        <w:r w:rsidRPr="007D461E">
          <w:rPr>
            <w:rStyle w:val="TextoNormalCaracter"/>
          </w:rPr>
          <w:t>123/1997</w:t>
        </w:r>
      </w:hyperlink>
      <w:r>
        <w:t>, f. 1.</w:t>
      </w:r>
    </w:p>
    <w:p w:rsidR="007D461E" w:rsidRDefault="007D461E" w:rsidP="007D461E">
      <w:pPr>
        <w:pStyle w:val="SangriaIzquierdaArticulo"/>
      </w:pPr>
      <w:r>
        <w:t xml:space="preserve">Auto </w:t>
      </w:r>
      <w:hyperlink w:anchor="AUTO_1997_295" w:history="1">
        <w:r w:rsidRPr="007D461E">
          <w:rPr>
            <w:rStyle w:val="TextoNormalCaracter"/>
          </w:rPr>
          <w:t>295/1997</w:t>
        </w:r>
      </w:hyperlink>
      <w:r>
        <w:t>.</w:t>
      </w:r>
    </w:p>
    <w:p w:rsidR="007D461E" w:rsidRDefault="007D461E" w:rsidP="007D461E">
      <w:pPr>
        <w:pStyle w:val="SangriaFrancesaArticulo"/>
      </w:pPr>
      <w:r w:rsidRPr="007D461E">
        <w:rPr>
          <w:rStyle w:val="TextoNormalNegritaCaracter"/>
        </w:rPr>
        <w:t>Artículo 18.2.</w:t>
      </w:r>
      <w:r w:rsidRPr="007D461E">
        <w:rPr>
          <w:rStyle w:val="TextoNormalCaracter"/>
        </w:rPr>
        <w:t>-</w:t>
      </w:r>
      <w:r>
        <w:t xml:space="preserve"> Autos </w:t>
      </w:r>
      <w:hyperlink w:anchor="AUTO_1997_175" w:history="1">
        <w:r w:rsidRPr="007D461E">
          <w:rPr>
            <w:rStyle w:val="TextoNormalCaracter"/>
          </w:rPr>
          <w:t>175/1997</w:t>
        </w:r>
      </w:hyperlink>
      <w:r>
        <w:t xml:space="preserve">; </w:t>
      </w:r>
      <w:hyperlink w:anchor="AUTO_1997_246" w:history="1">
        <w:r w:rsidRPr="007D461E">
          <w:rPr>
            <w:rStyle w:val="TextoNormalCaracter"/>
          </w:rPr>
          <w:t>246/1997</w:t>
        </w:r>
      </w:hyperlink>
      <w:r>
        <w:t>.</w:t>
      </w:r>
    </w:p>
    <w:p w:rsidR="007D461E" w:rsidRDefault="007D461E" w:rsidP="007D461E">
      <w:pPr>
        <w:pStyle w:val="SangriaFrancesaArticulo"/>
      </w:pPr>
      <w:r w:rsidRPr="007D461E">
        <w:rPr>
          <w:rStyle w:val="TextoNormalNegritaCaracter"/>
        </w:rPr>
        <w:t>Artículo 18.3.</w:t>
      </w:r>
      <w:r w:rsidRPr="007D461E">
        <w:rPr>
          <w:rStyle w:val="TextoNormalCaracter"/>
        </w:rPr>
        <w:t>-</w:t>
      </w:r>
      <w:r>
        <w:t xml:space="preserve"> Sentencias </w:t>
      </w:r>
      <w:hyperlink w:anchor="SENTENCIA_1997_120" w:history="1">
        <w:r w:rsidRPr="007D461E">
          <w:rPr>
            <w:rStyle w:val="TextoNormalCaracter"/>
          </w:rPr>
          <w:t>120/1997</w:t>
        </w:r>
      </w:hyperlink>
      <w:r>
        <w:t xml:space="preserve">, f. 3; </w:t>
      </w:r>
      <w:hyperlink w:anchor="SENTENCIA_1997_123" w:history="1">
        <w:r w:rsidRPr="007D461E">
          <w:rPr>
            <w:rStyle w:val="TextoNormalCaracter"/>
          </w:rPr>
          <w:t>123/1997</w:t>
        </w:r>
      </w:hyperlink>
      <w:r>
        <w:t xml:space="preserve">, ff. 1, 2; </w:t>
      </w:r>
      <w:hyperlink w:anchor="SENTENCIA_1997_128" w:history="1">
        <w:r w:rsidRPr="007D461E">
          <w:rPr>
            <w:rStyle w:val="TextoNormalCaracter"/>
          </w:rPr>
          <w:t>128/1997</w:t>
        </w:r>
      </w:hyperlink>
      <w:r>
        <w:t>, ff. 1, 4.</w:t>
      </w:r>
    </w:p>
    <w:p w:rsidR="007D461E" w:rsidRDefault="007D461E" w:rsidP="007D461E">
      <w:pPr>
        <w:pStyle w:val="SangriaFrancesaArticulo"/>
      </w:pPr>
      <w:r w:rsidRPr="007D461E">
        <w:rPr>
          <w:rStyle w:val="TextoNormalNegritaCaracter"/>
        </w:rPr>
        <w:t>Artículo 20.</w:t>
      </w:r>
      <w:r w:rsidRPr="007D461E">
        <w:rPr>
          <w:rStyle w:val="TextoNormalCaracter"/>
        </w:rPr>
        <w:t>-</w:t>
      </w:r>
      <w:r>
        <w:t xml:space="preserve"> Sentencia </w:t>
      </w:r>
      <w:hyperlink w:anchor="SENTENCIA_1997_116" w:history="1">
        <w:r w:rsidRPr="007D461E">
          <w:rPr>
            <w:rStyle w:val="TextoNormalCaracter"/>
          </w:rPr>
          <w:t>116/1997</w:t>
        </w:r>
      </w:hyperlink>
      <w:r>
        <w:t>, f. 1.</w:t>
      </w:r>
    </w:p>
    <w:p w:rsidR="007D461E" w:rsidRDefault="007D461E" w:rsidP="007D461E">
      <w:pPr>
        <w:pStyle w:val="SangriaIzquierdaArticulo"/>
      </w:pPr>
      <w:r>
        <w:t xml:space="preserve">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20.1.</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20.1 a).</w:t>
      </w:r>
      <w:r w:rsidRPr="007D461E">
        <w:rPr>
          <w:rStyle w:val="TextoNormalCaracter"/>
        </w:rPr>
        <w:t>-</w:t>
      </w:r>
      <w:r>
        <w:t xml:space="preserve"> Sentencia </w:t>
      </w:r>
      <w:hyperlink w:anchor="SENTENCIA_1997_94" w:history="1">
        <w:r w:rsidRPr="007D461E">
          <w:rPr>
            <w:rStyle w:val="TextoNormalCaracter"/>
          </w:rPr>
          <w:t>94/1997</w:t>
        </w:r>
      </w:hyperlink>
      <w:r>
        <w:t>, ff. 1, 4.</w:t>
      </w:r>
    </w:p>
    <w:p w:rsidR="007D461E" w:rsidRDefault="007D461E" w:rsidP="007D461E">
      <w:pPr>
        <w:pStyle w:val="SangriaIzquierdaArticulo"/>
      </w:pPr>
      <w:r>
        <w:t xml:space="preserve">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20.1 d).</w:t>
      </w:r>
      <w:r w:rsidRPr="007D461E">
        <w:rPr>
          <w:rStyle w:val="TextoNormalCaracter"/>
        </w:rPr>
        <w:t>-</w:t>
      </w:r>
      <w:r>
        <w:t xml:space="preserve"> Autos </w:t>
      </w:r>
      <w:hyperlink w:anchor="AUTO_1997_291" w:history="1">
        <w:r w:rsidRPr="007D461E">
          <w:rPr>
            <w:rStyle w:val="TextoNormalCaracter"/>
          </w:rPr>
          <w:t>291/1997</w:t>
        </w:r>
      </w:hyperlink>
      <w:r>
        <w:t xml:space="preserve">; </w:t>
      </w:r>
      <w:hyperlink w:anchor="AUTO_1997_295" w:history="1">
        <w:r w:rsidRPr="007D461E">
          <w:rPr>
            <w:rStyle w:val="TextoNormalCaracter"/>
          </w:rPr>
          <w:t>295/1997</w:t>
        </w:r>
      </w:hyperlink>
      <w:r>
        <w:t>.</w:t>
      </w:r>
    </w:p>
    <w:p w:rsidR="007D461E" w:rsidRDefault="007D461E" w:rsidP="007D461E">
      <w:pPr>
        <w:pStyle w:val="SangriaFrancesaArticulo"/>
      </w:pPr>
      <w:r w:rsidRPr="007D461E">
        <w:rPr>
          <w:rStyle w:val="TextoNormalNegritaCaracter"/>
        </w:rPr>
        <w:t>Artículo 22.</w:t>
      </w:r>
      <w:r w:rsidRPr="007D461E">
        <w:rPr>
          <w:rStyle w:val="TextoNormalCaracter"/>
        </w:rPr>
        <w:t>-</w:t>
      </w:r>
      <w:r>
        <w:t xml:space="preserve"> Sentencia </w:t>
      </w:r>
      <w:hyperlink w:anchor="SENTENCIA_1997_121" w:history="1">
        <w:r w:rsidRPr="007D461E">
          <w:rPr>
            <w:rStyle w:val="TextoNormalCaracter"/>
          </w:rPr>
          <w:t>121/1997</w:t>
        </w:r>
      </w:hyperlink>
      <w:r>
        <w:t>, f. 9.</w:t>
      </w:r>
    </w:p>
    <w:p w:rsidR="007D461E" w:rsidRDefault="007D461E" w:rsidP="007D461E">
      <w:pPr>
        <w:pStyle w:val="SangriaIzquierdaArticulo"/>
      </w:pPr>
      <w:r>
        <w:t xml:space="preserve">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22.1.</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23.1.</w:t>
      </w:r>
      <w:r w:rsidRPr="007D461E">
        <w:rPr>
          <w:rStyle w:val="TextoNormalCaracter"/>
        </w:rPr>
        <w:t>-</w:t>
      </w:r>
      <w:r>
        <w:t xml:space="preserve"> Auto </w:t>
      </w:r>
      <w:hyperlink w:anchor="AUTO_1997_176" w:history="1">
        <w:r w:rsidRPr="007D461E">
          <w:rPr>
            <w:rStyle w:val="TextoNormalCaracter"/>
          </w:rPr>
          <w:t>176/1997</w:t>
        </w:r>
      </w:hyperlink>
      <w:r>
        <w:t>.</w:t>
      </w:r>
    </w:p>
    <w:p w:rsidR="007D461E" w:rsidRDefault="007D461E" w:rsidP="007D461E">
      <w:pPr>
        <w:pStyle w:val="SangriaFrancesaArticulo"/>
      </w:pPr>
      <w:r w:rsidRPr="007D461E">
        <w:rPr>
          <w:rStyle w:val="TextoNormalNegritaCaracter"/>
        </w:rPr>
        <w:t>Artículo 23.2.</w:t>
      </w:r>
      <w:r w:rsidRPr="007D461E">
        <w:rPr>
          <w:rStyle w:val="TextoNormalCaracter"/>
        </w:rPr>
        <w:t>-</w:t>
      </w:r>
      <w:r>
        <w:t xml:space="preserve"> Sentencia </w:t>
      </w:r>
      <w:hyperlink w:anchor="SENTENCIA_1997_96" w:history="1">
        <w:r w:rsidRPr="007D461E">
          <w:rPr>
            <w:rStyle w:val="TextoNormalCaracter"/>
          </w:rPr>
          <w:t>96/1997</w:t>
        </w:r>
      </w:hyperlink>
      <w:r>
        <w:t>, ff. 2, 3, 6.</w:t>
      </w:r>
    </w:p>
    <w:p w:rsidR="007D461E" w:rsidRDefault="007D461E" w:rsidP="007D461E">
      <w:pPr>
        <w:pStyle w:val="SangriaIzquierdaArticulo"/>
      </w:pPr>
      <w:r>
        <w:t xml:space="preserve">Autos </w:t>
      </w:r>
      <w:hyperlink w:anchor="AUTO_1997_148" w:history="1">
        <w:r w:rsidRPr="007D461E">
          <w:rPr>
            <w:rStyle w:val="TextoNormalCaracter"/>
          </w:rPr>
          <w:t>148/1997</w:t>
        </w:r>
      </w:hyperlink>
      <w:r>
        <w:t xml:space="preserve">; </w:t>
      </w:r>
      <w:hyperlink w:anchor="AUTO_1997_238" w:history="1">
        <w:r w:rsidRPr="007D461E">
          <w:rPr>
            <w:rStyle w:val="TextoNormalCaracter"/>
          </w:rPr>
          <w:t>238/1997</w:t>
        </w:r>
      </w:hyperlink>
      <w:r>
        <w:t xml:space="preserve">; </w:t>
      </w:r>
      <w:hyperlink w:anchor="AUTO_1997_240" w:history="1">
        <w:r w:rsidRPr="007D461E">
          <w:rPr>
            <w:rStyle w:val="TextoNormalCaracter"/>
          </w:rPr>
          <w:t>240/1997</w:t>
        </w:r>
      </w:hyperlink>
      <w:r>
        <w:t xml:space="preserve">; </w:t>
      </w:r>
      <w:hyperlink w:anchor="AUTO_1997_254" w:history="1">
        <w:r w:rsidRPr="007D461E">
          <w:rPr>
            <w:rStyle w:val="TextoNormalCaracter"/>
          </w:rPr>
          <w:t>254/1997</w:t>
        </w:r>
      </w:hyperlink>
      <w:r>
        <w:t>.</w:t>
      </w:r>
    </w:p>
    <w:p w:rsidR="007D461E" w:rsidRDefault="007D461E" w:rsidP="007D461E">
      <w:pPr>
        <w:pStyle w:val="SangriaFrancesaArticulo"/>
      </w:pPr>
      <w:r w:rsidRPr="007D461E">
        <w:rPr>
          <w:rStyle w:val="TextoNormalNegritaCaracter"/>
        </w:rPr>
        <w:t>Artículo 24.</w:t>
      </w:r>
      <w:r w:rsidRPr="007D461E">
        <w:rPr>
          <w:rStyle w:val="TextoNormalCaracter"/>
        </w:rPr>
        <w:t>-</w:t>
      </w:r>
      <w:r>
        <w:t xml:space="preserve"> Sentencias </w:t>
      </w:r>
      <w:hyperlink w:anchor="SENTENCIA_1997_89" w:history="1">
        <w:r w:rsidRPr="007D461E">
          <w:rPr>
            <w:rStyle w:val="TextoNormalCaracter"/>
          </w:rPr>
          <w:t>89/1997</w:t>
        </w:r>
      </w:hyperlink>
      <w:r>
        <w:t xml:space="preserve">, ff. 1, 2, 4; </w:t>
      </w:r>
      <w:hyperlink w:anchor="SENTENCIA_1997_93" w:history="1">
        <w:r w:rsidRPr="007D461E">
          <w:rPr>
            <w:rStyle w:val="TextoNormalCaracter"/>
          </w:rPr>
          <w:t>93/1997</w:t>
        </w:r>
      </w:hyperlink>
      <w:r>
        <w:t xml:space="preserve">, f. 3; </w:t>
      </w:r>
      <w:hyperlink w:anchor="SENTENCIA_1997_98" w:history="1">
        <w:r w:rsidRPr="007D461E">
          <w:rPr>
            <w:rStyle w:val="TextoNormalCaracter"/>
          </w:rPr>
          <w:t>98/1997</w:t>
        </w:r>
      </w:hyperlink>
      <w:r>
        <w:t xml:space="preserve">, VP; </w:t>
      </w:r>
      <w:hyperlink w:anchor="SENTENCIA_1997_110" w:history="1">
        <w:r w:rsidRPr="007D461E">
          <w:rPr>
            <w:rStyle w:val="TextoNormalCaracter"/>
          </w:rPr>
          <w:t>110/1997</w:t>
        </w:r>
      </w:hyperlink>
      <w:r>
        <w:t xml:space="preserve">, f. 1; </w:t>
      </w:r>
      <w:hyperlink w:anchor="SENTENCIA_1997_113" w:history="1">
        <w:r w:rsidRPr="007D461E">
          <w:rPr>
            <w:rStyle w:val="TextoNormalCaracter"/>
          </w:rPr>
          <w:t>113/1997</w:t>
        </w:r>
      </w:hyperlink>
      <w:r>
        <w:t xml:space="preserve">, f. 2; </w:t>
      </w:r>
      <w:hyperlink w:anchor="SENTENCIA_1997_114" w:history="1">
        <w:r w:rsidRPr="007D461E">
          <w:rPr>
            <w:rStyle w:val="TextoNormalCaracter"/>
          </w:rPr>
          <w:t>114/1997</w:t>
        </w:r>
      </w:hyperlink>
      <w:r>
        <w:t xml:space="preserve">, ff. 1 a 3; </w:t>
      </w:r>
      <w:hyperlink w:anchor="SENTENCIA_1997_115" w:history="1">
        <w:r w:rsidRPr="007D461E">
          <w:rPr>
            <w:rStyle w:val="TextoNormalCaracter"/>
          </w:rPr>
          <w:t>115/1997</w:t>
        </w:r>
      </w:hyperlink>
      <w:r>
        <w:t xml:space="preserve">, f. 1; </w:t>
      </w:r>
      <w:hyperlink w:anchor="SENTENCIA_1997_116" w:history="1">
        <w:r w:rsidRPr="007D461E">
          <w:rPr>
            <w:rStyle w:val="TextoNormalCaracter"/>
          </w:rPr>
          <w:t>116/1997</w:t>
        </w:r>
      </w:hyperlink>
      <w:r>
        <w:t xml:space="preserve">, ff. 1, 5; </w:t>
      </w:r>
      <w:hyperlink w:anchor="SENTENCIA_1997_117" w:history="1">
        <w:r w:rsidRPr="007D461E">
          <w:rPr>
            <w:rStyle w:val="TextoNormalCaracter"/>
          </w:rPr>
          <w:t>117/1997</w:t>
        </w:r>
      </w:hyperlink>
      <w:r>
        <w:t xml:space="preserve">, f. </w:t>
      </w:r>
      <w:r>
        <w:lastRenderedPageBreak/>
        <w:t xml:space="preserve">2; </w:t>
      </w:r>
      <w:hyperlink w:anchor="SENTENCIA_1997_123" w:history="1">
        <w:r w:rsidRPr="007D461E">
          <w:rPr>
            <w:rStyle w:val="TextoNormalCaracter"/>
          </w:rPr>
          <w:t>123/1997</w:t>
        </w:r>
      </w:hyperlink>
      <w:r>
        <w:t xml:space="preserve">, f. 6; </w:t>
      </w:r>
      <w:hyperlink w:anchor="SENTENCIA_1997_124" w:history="1">
        <w:r w:rsidRPr="007D461E">
          <w:rPr>
            <w:rStyle w:val="TextoNormalCaracter"/>
          </w:rPr>
          <w:t>124/1997</w:t>
        </w:r>
      </w:hyperlink>
      <w:r>
        <w:t xml:space="preserve">, f. 3; </w:t>
      </w:r>
      <w:hyperlink w:anchor="SENTENCIA_1997_125" w:history="1">
        <w:r w:rsidRPr="007D461E">
          <w:rPr>
            <w:rStyle w:val="TextoNormalCaracter"/>
          </w:rPr>
          <w:t>125/1997</w:t>
        </w:r>
      </w:hyperlink>
      <w:r>
        <w:t xml:space="preserve">, VP II; </w:t>
      </w:r>
      <w:hyperlink w:anchor="SENTENCIA_1997_131" w:history="1">
        <w:r w:rsidRPr="007D461E">
          <w:rPr>
            <w:rStyle w:val="TextoNormalCaracter"/>
          </w:rPr>
          <w:t>131/1997</w:t>
        </w:r>
      </w:hyperlink>
      <w:r>
        <w:t xml:space="preserve">, f. 2; </w:t>
      </w:r>
      <w:hyperlink w:anchor="SENTENCIA_1997_132" w:history="1">
        <w:r w:rsidRPr="007D461E">
          <w:rPr>
            <w:rStyle w:val="TextoNormalCaracter"/>
          </w:rPr>
          <w:t>132/1997</w:t>
        </w:r>
      </w:hyperlink>
      <w:r>
        <w:t xml:space="preserve">, f. 2; </w:t>
      </w:r>
      <w:hyperlink w:anchor="SENTENCIA_1997_135" w:history="1">
        <w:r w:rsidRPr="007D461E">
          <w:rPr>
            <w:rStyle w:val="TextoNormalCaracter"/>
          </w:rPr>
          <w:t>135/1997</w:t>
        </w:r>
      </w:hyperlink>
      <w:r>
        <w:t xml:space="preserve">, f. 6; </w:t>
      </w:r>
      <w:hyperlink w:anchor="SENTENCIA_1997_136" w:history="1">
        <w:r w:rsidRPr="007D461E">
          <w:rPr>
            <w:rStyle w:val="TextoNormalCaracter"/>
          </w:rPr>
          <w:t>136/1997</w:t>
        </w:r>
      </w:hyperlink>
      <w:r>
        <w:t>, f. 3.</w:t>
      </w:r>
    </w:p>
    <w:p w:rsidR="007D461E" w:rsidRDefault="007D461E" w:rsidP="007D461E">
      <w:pPr>
        <w:pStyle w:val="SangriaIzquierdaArticulo"/>
      </w:pPr>
      <w:r>
        <w:t xml:space="preserve">Autos </w:t>
      </w:r>
      <w:hyperlink w:anchor="AUTO_1997_135" w:history="1">
        <w:r w:rsidRPr="007D461E">
          <w:rPr>
            <w:rStyle w:val="TextoNormalCaracter"/>
          </w:rPr>
          <w:t>135/1997</w:t>
        </w:r>
      </w:hyperlink>
      <w:r>
        <w:t xml:space="preserve">; </w:t>
      </w:r>
      <w:hyperlink w:anchor="AUTO_1997_137" w:history="1">
        <w:r w:rsidRPr="007D461E">
          <w:rPr>
            <w:rStyle w:val="TextoNormalCaracter"/>
          </w:rPr>
          <w:t>137/1997</w:t>
        </w:r>
      </w:hyperlink>
      <w:r>
        <w:t xml:space="preserve">; </w:t>
      </w:r>
      <w:hyperlink w:anchor="AUTO_1997_148" w:history="1">
        <w:r w:rsidRPr="007D461E">
          <w:rPr>
            <w:rStyle w:val="TextoNormalCaracter"/>
          </w:rPr>
          <w:t>148/1997</w:t>
        </w:r>
      </w:hyperlink>
      <w:r>
        <w:t xml:space="preserve">; </w:t>
      </w:r>
      <w:hyperlink w:anchor="AUTO_1997_152" w:history="1">
        <w:r w:rsidRPr="007D461E">
          <w:rPr>
            <w:rStyle w:val="TextoNormalCaracter"/>
          </w:rPr>
          <w:t>152/1997</w:t>
        </w:r>
      </w:hyperlink>
      <w:r>
        <w:t xml:space="preserve">; </w:t>
      </w:r>
      <w:hyperlink w:anchor="AUTO_1997_158" w:history="1">
        <w:r w:rsidRPr="007D461E">
          <w:rPr>
            <w:rStyle w:val="TextoNormalCaracter"/>
          </w:rPr>
          <w:t>158/1997</w:t>
        </w:r>
      </w:hyperlink>
      <w:r>
        <w:t xml:space="preserve">; </w:t>
      </w:r>
      <w:hyperlink w:anchor="AUTO_1997_175" w:history="1">
        <w:r w:rsidRPr="007D461E">
          <w:rPr>
            <w:rStyle w:val="TextoNormalCaracter"/>
          </w:rPr>
          <w:t>175/1997</w:t>
        </w:r>
      </w:hyperlink>
      <w:r>
        <w:t xml:space="preserve">; </w:t>
      </w:r>
      <w:hyperlink w:anchor="AUTO_1997_181" w:history="1">
        <w:r w:rsidRPr="007D461E">
          <w:rPr>
            <w:rStyle w:val="TextoNormalCaracter"/>
          </w:rPr>
          <w:t>181/1997</w:t>
        </w:r>
      </w:hyperlink>
      <w:r>
        <w:t xml:space="preserve">; </w:t>
      </w:r>
      <w:hyperlink w:anchor="AUTO_1997_185" w:history="1">
        <w:r w:rsidRPr="007D461E">
          <w:rPr>
            <w:rStyle w:val="TextoNormalCaracter"/>
          </w:rPr>
          <w:t>185/1997</w:t>
        </w:r>
      </w:hyperlink>
      <w:r>
        <w:t xml:space="preserve">; </w:t>
      </w:r>
      <w:hyperlink w:anchor="AUTO_1997_186" w:history="1">
        <w:r w:rsidRPr="007D461E">
          <w:rPr>
            <w:rStyle w:val="TextoNormalCaracter"/>
          </w:rPr>
          <w:t>186/1997</w:t>
        </w:r>
      </w:hyperlink>
      <w:r>
        <w:t xml:space="preserve">; </w:t>
      </w:r>
      <w:hyperlink w:anchor="AUTO_1997_195" w:history="1">
        <w:r w:rsidRPr="007D461E">
          <w:rPr>
            <w:rStyle w:val="TextoNormalCaracter"/>
          </w:rPr>
          <w:t>195/1997</w:t>
        </w:r>
      </w:hyperlink>
      <w:r>
        <w:t xml:space="preserve">; </w:t>
      </w:r>
      <w:hyperlink w:anchor="AUTO_1997_207" w:history="1">
        <w:r w:rsidRPr="007D461E">
          <w:rPr>
            <w:rStyle w:val="TextoNormalCaracter"/>
          </w:rPr>
          <w:t>207/1997</w:t>
        </w:r>
      </w:hyperlink>
      <w:r>
        <w:t xml:space="preserve">; </w:t>
      </w:r>
      <w:hyperlink w:anchor="AUTO_1997_210" w:history="1">
        <w:r w:rsidRPr="007D461E">
          <w:rPr>
            <w:rStyle w:val="TextoNormalCaracter"/>
          </w:rPr>
          <w:t>210/1997</w:t>
        </w:r>
      </w:hyperlink>
      <w:r>
        <w:t xml:space="preserve">; </w:t>
      </w:r>
      <w:hyperlink w:anchor="AUTO_1997_214" w:history="1">
        <w:r w:rsidRPr="007D461E">
          <w:rPr>
            <w:rStyle w:val="TextoNormalCaracter"/>
          </w:rPr>
          <w:t>214/1997</w:t>
        </w:r>
      </w:hyperlink>
      <w:r>
        <w:t xml:space="preserve">; </w:t>
      </w:r>
      <w:hyperlink w:anchor="AUTO_1997_216" w:history="1">
        <w:r w:rsidRPr="007D461E">
          <w:rPr>
            <w:rStyle w:val="TextoNormalCaracter"/>
          </w:rPr>
          <w:t>216/1997</w:t>
        </w:r>
      </w:hyperlink>
      <w:r>
        <w:t xml:space="preserve">; </w:t>
      </w:r>
      <w:hyperlink w:anchor="AUTO_1997_226" w:history="1">
        <w:r w:rsidRPr="007D461E">
          <w:rPr>
            <w:rStyle w:val="TextoNormalCaracter"/>
          </w:rPr>
          <w:t>226/1997</w:t>
        </w:r>
      </w:hyperlink>
      <w:r>
        <w:t xml:space="preserve">; </w:t>
      </w:r>
      <w:hyperlink w:anchor="AUTO_1997_260" w:history="1">
        <w:r w:rsidRPr="007D461E">
          <w:rPr>
            <w:rStyle w:val="TextoNormalCaracter"/>
          </w:rPr>
          <w:t>260/1997</w:t>
        </w:r>
      </w:hyperlink>
      <w:r>
        <w:t xml:space="preserve">; </w:t>
      </w:r>
      <w:hyperlink w:anchor="AUTO_1997_261" w:history="1">
        <w:r w:rsidRPr="007D461E">
          <w:rPr>
            <w:rStyle w:val="TextoNormalCaracter"/>
          </w:rPr>
          <w:t>261/1997</w:t>
        </w:r>
      </w:hyperlink>
      <w:r>
        <w:t xml:space="preserve">; </w:t>
      </w:r>
      <w:hyperlink w:anchor="AUTO_1997_267" w:history="1">
        <w:r w:rsidRPr="007D461E">
          <w:rPr>
            <w:rStyle w:val="TextoNormalCaracter"/>
          </w:rPr>
          <w:t>267/1997</w:t>
        </w:r>
      </w:hyperlink>
      <w:r>
        <w:t>.</w:t>
      </w:r>
    </w:p>
    <w:p w:rsidR="007D461E" w:rsidRDefault="007D461E" w:rsidP="007D461E">
      <w:pPr>
        <w:pStyle w:val="SangriaFrancesaArticulo"/>
      </w:pPr>
      <w:r w:rsidRPr="007D461E">
        <w:rPr>
          <w:rStyle w:val="TextoNormalNegritaCaracter"/>
        </w:rPr>
        <w:t>Artículo 24.1.</w:t>
      </w:r>
      <w:r w:rsidRPr="007D461E">
        <w:rPr>
          <w:rStyle w:val="TextoNormalCaracter"/>
        </w:rPr>
        <w:t>-</w:t>
      </w:r>
      <w:r>
        <w:t xml:space="preserve"> Sentencias </w:t>
      </w:r>
      <w:hyperlink w:anchor="SENTENCIA_1997_88" w:history="1">
        <w:r w:rsidRPr="007D461E">
          <w:rPr>
            <w:rStyle w:val="TextoNormalCaracter"/>
          </w:rPr>
          <w:t>88/1997</w:t>
        </w:r>
      </w:hyperlink>
      <w:r>
        <w:t xml:space="preserve">, ff. 2 a 4; </w:t>
      </w:r>
      <w:hyperlink w:anchor="SENTENCIA_1997_90" w:history="1">
        <w:r w:rsidRPr="007D461E">
          <w:rPr>
            <w:rStyle w:val="TextoNormalCaracter"/>
          </w:rPr>
          <w:t>90/1997</w:t>
        </w:r>
      </w:hyperlink>
      <w:r>
        <w:t xml:space="preserve">, f. 2; </w:t>
      </w:r>
      <w:hyperlink w:anchor="SENTENCIA_1997_92" w:history="1">
        <w:r w:rsidRPr="007D461E">
          <w:rPr>
            <w:rStyle w:val="TextoNormalCaracter"/>
          </w:rPr>
          <w:t>92/1997</w:t>
        </w:r>
      </w:hyperlink>
      <w:r>
        <w:t xml:space="preserve">, ff. 1, 2; </w:t>
      </w:r>
      <w:hyperlink w:anchor="SENTENCIA_1997_93" w:history="1">
        <w:r w:rsidRPr="007D461E">
          <w:rPr>
            <w:rStyle w:val="TextoNormalCaracter"/>
          </w:rPr>
          <w:t>93/1997</w:t>
        </w:r>
      </w:hyperlink>
      <w:r>
        <w:t xml:space="preserve">, ff. 1, 3,4, 5; </w:t>
      </w:r>
      <w:hyperlink w:anchor="SENTENCIA_1997_94" w:history="1">
        <w:r w:rsidRPr="007D461E">
          <w:rPr>
            <w:rStyle w:val="TextoNormalCaracter"/>
          </w:rPr>
          <w:t>94/1997</w:t>
        </w:r>
      </w:hyperlink>
      <w:r>
        <w:t xml:space="preserve">, ff. 1 a 4; </w:t>
      </w:r>
      <w:hyperlink w:anchor="SENTENCIA_1997_95" w:history="1">
        <w:r w:rsidRPr="007D461E">
          <w:rPr>
            <w:rStyle w:val="TextoNormalCaracter"/>
          </w:rPr>
          <w:t>95/1997</w:t>
        </w:r>
      </w:hyperlink>
      <w:r>
        <w:t xml:space="preserve">, f. 1; </w:t>
      </w:r>
      <w:hyperlink w:anchor="SENTENCIA_1997_97" w:history="1">
        <w:r w:rsidRPr="007D461E">
          <w:rPr>
            <w:rStyle w:val="TextoNormalCaracter"/>
          </w:rPr>
          <w:t>97/1997</w:t>
        </w:r>
      </w:hyperlink>
      <w:r>
        <w:t xml:space="preserve">, ff. 1, 3, 7; </w:t>
      </w:r>
      <w:hyperlink w:anchor="SENTENCIA_1997_99" w:history="1">
        <w:r w:rsidRPr="007D461E">
          <w:rPr>
            <w:rStyle w:val="TextoNormalCaracter"/>
          </w:rPr>
          <w:t>99/1997</w:t>
        </w:r>
      </w:hyperlink>
      <w:r>
        <w:t xml:space="preserve">, ff. 1 a 4, 6; </w:t>
      </w:r>
      <w:hyperlink w:anchor="SENTENCIA_1997_100" w:history="1">
        <w:r w:rsidRPr="007D461E">
          <w:rPr>
            <w:rStyle w:val="TextoNormalCaracter"/>
          </w:rPr>
          <w:t>100/1997</w:t>
        </w:r>
      </w:hyperlink>
      <w:r>
        <w:t xml:space="preserve">, ff. 1, 2; </w:t>
      </w:r>
      <w:hyperlink w:anchor="SENTENCIA_1997_101" w:history="1">
        <w:r w:rsidRPr="007D461E">
          <w:rPr>
            <w:rStyle w:val="TextoNormalCaracter"/>
          </w:rPr>
          <w:t>101/1997</w:t>
        </w:r>
      </w:hyperlink>
      <w:r>
        <w:t xml:space="preserve">, ff. 1, 2, 4; </w:t>
      </w:r>
      <w:hyperlink w:anchor="SENTENCIA_1997_104" w:history="1">
        <w:r w:rsidRPr="007D461E">
          <w:rPr>
            <w:rStyle w:val="TextoNormalCaracter"/>
          </w:rPr>
          <w:t>104/1997</w:t>
        </w:r>
      </w:hyperlink>
      <w:r>
        <w:t xml:space="preserve">, ff. 1, 2, 4; </w:t>
      </w:r>
      <w:hyperlink w:anchor="SENTENCIA_1997_105" w:history="1">
        <w:r w:rsidRPr="007D461E">
          <w:rPr>
            <w:rStyle w:val="TextoNormalCaracter"/>
          </w:rPr>
          <w:t>105/1997</w:t>
        </w:r>
      </w:hyperlink>
      <w:r>
        <w:t xml:space="preserve">, ff. 1, 2, 4, 6, 7; </w:t>
      </w:r>
      <w:hyperlink w:anchor="SENTENCIA_1997_106" w:history="1">
        <w:r w:rsidRPr="007D461E">
          <w:rPr>
            <w:rStyle w:val="TextoNormalCaracter"/>
          </w:rPr>
          <w:t>106/1997</w:t>
        </w:r>
      </w:hyperlink>
      <w:r>
        <w:t xml:space="preserve">, ff. 3, 4; </w:t>
      </w:r>
      <w:hyperlink w:anchor="SENTENCIA_1997_107" w:history="1">
        <w:r w:rsidRPr="007D461E">
          <w:rPr>
            <w:rStyle w:val="TextoNormalCaracter"/>
          </w:rPr>
          <w:t>107/1997</w:t>
        </w:r>
      </w:hyperlink>
      <w:r>
        <w:t xml:space="preserve">, ff. 1, 4; </w:t>
      </w:r>
      <w:hyperlink w:anchor="SENTENCIA_1997_109" w:history="1">
        <w:r w:rsidRPr="007D461E">
          <w:rPr>
            <w:rStyle w:val="TextoNormalCaracter"/>
          </w:rPr>
          <w:t>109/1997</w:t>
        </w:r>
      </w:hyperlink>
      <w:r>
        <w:t xml:space="preserve">, f. 1; </w:t>
      </w:r>
      <w:hyperlink w:anchor="SENTENCIA_1997_110" w:history="1">
        <w:r w:rsidRPr="007D461E">
          <w:rPr>
            <w:rStyle w:val="TextoNormalCaracter"/>
          </w:rPr>
          <w:t>110/1997</w:t>
        </w:r>
      </w:hyperlink>
      <w:r>
        <w:t xml:space="preserve">, ff. 1, 2; </w:t>
      </w:r>
      <w:hyperlink w:anchor="SENTENCIA_1997_111" w:history="1">
        <w:r w:rsidRPr="007D461E">
          <w:rPr>
            <w:rStyle w:val="TextoNormalCaracter"/>
          </w:rPr>
          <w:t>111/1997</w:t>
        </w:r>
      </w:hyperlink>
      <w:r>
        <w:t xml:space="preserve">, ff. 1, 3; </w:t>
      </w:r>
      <w:hyperlink w:anchor="SENTENCIA_1997_113" w:history="1">
        <w:r w:rsidRPr="007D461E">
          <w:rPr>
            <w:rStyle w:val="TextoNormalCaracter"/>
          </w:rPr>
          <w:t>113/1997</w:t>
        </w:r>
      </w:hyperlink>
      <w:r>
        <w:t xml:space="preserve">, ff. 2, 3; </w:t>
      </w:r>
      <w:hyperlink w:anchor="SENTENCIA_1997_114" w:history="1">
        <w:r w:rsidRPr="007D461E">
          <w:rPr>
            <w:rStyle w:val="TextoNormalCaracter"/>
          </w:rPr>
          <w:t>114/1997</w:t>
        </w:r>
      </w:hyperlink>
      <w:r>
        <w:t xml:space="preserve">, 9; </w:t>
      </w:r>
      <w:hyperlink w:anchor="SENTENCIA_1997_117" w:history="1">
        <w:r w:rsidRPr="007D461E">
          <w:rPr>
            <w:rStyle w:val="TextoNormalCaracter"/>
          </w:rPr>
          <w:t>117/1997</w:t>
        </w:r>
      </w:hyperlink>
      <w:r>
        <w:t xml:space="preserve">, ff. 1, 2; </w:t>
      </w:r>
      <w:hyperlink w:anchor="SENTENCIA_1997_118" w:history="1">
        <w:r w:rsidRPr="007D461E">
          <w:rPr>
            <w:rStyle w:val="TextoNormalCaracter"/>
          </w:rPr>
          <w:t>118/1997</w:t>
        </w:r>
      </w:hyperlink>
      <w:r>
        <w:t xml:space="preserve">, ff. 2, 4; </w:t>
      </w:r>
      <w:hyperlink w:anchor="SENTENCIA_1997_119" w:history="1">
        <w:r w:rsidRPr="007D461E">
          <w:rPr>
            <w:rStyle w:val="TextoNormalCaracter"/>
          </w:rPr>
          <w:t>119/1997</w:t>
        </w:r>
      </w:hyperlink>
      <w:r>
        <w:t xml:space="preserve">, f. 2; </w:t>
      </w:r>
      <w:hyperlink w:anchor="SENTENCIA_1997_120" w:history="1">
        <w:r w:rsidRPr="007D461E">
          <w:rPr>
            <w:rStyle w:val="TextoNormalCaracter"/>
          </w:rPr>
          <w:t>120/1997</w:t>
        </w:r>
      </w:hyperlink>
      <w:r>
        <w:t xml:space="preserve">, ff. 1 a 3, 5; </w:t>
      </w:r>
      <w:hyperlink w:anchor="SENTENCIA_1997_122" w:history="1">
        <w:r w:rsidRPr="007D461E">
          <w:rPr>
            <w:rStyle w:val="TextoNormalCaracter"/>
          </w:rPr>
          <w:t>122/1997</w:t>
        </w:r>
      </w:hyperlink>
      <w:r>
        <w:t xml:space="preserve">, ff. 1, 2; </w:t>
      </w:r>
      <w:hyperlink w:anchor="SENTENCIA_1997_123" w:history="1">
        <w:r w:rsidRPr="007D461E">
          <w:rPr>
            <w:rStyle w:val="TextoNormalCaracter"/>
          </w:rPr>
          <w:t>123/1997</w:t>
        </w:r>
      </w:hyperlink>
      <w:r>
        <w:t xml:space="preserve">, ff. 1, 3 a 5; </w:t>
      </w:r>
      <w:hyperlink w:anchor="SENTENCIA_1997_124" w:history="1">
        <w:r w:rsidRPr="007D461E">
          <w:rPr>
            <w:rStyle w:val="TextoNormalCaracter"/>
          </w:rPr>
          <w:t>124/1997</w:t>
        </w:r>
      </w:hyperlink>
      <w:r>
        <w:t xml:space="preserve">, ff. 1, 2; </w:t>
      </w:r>
      <w:hyperlink w:anchor="SENTENCIA_1997_125" w:history="1">
        <w:r w:rsidRPr="007D461E">
          <w:rPr>
            <w:rStyle w:val="TextoNormalCaracter"/>
          </w:rPr>
          <w:t>125/1997</w:t>
        </w:r>
      </w:hyperlink>
      <w:r>
        <w:t xml:space="preserve">, ff. 1, 4, 6; </w:t>
      </w:r>
      <w:hyperlink w:anchor="SENTENCIA_1997_127" w:history="1">
        <w:r w:rsidRPr="007D461E">
          <w:rPr>
            <w:rStyle w:val="TextoNormalCaracter"/>
          </w:rPr>
          <w:t>127/1997</w:t>
        </w:r>
      </w:hyperlink>
      <w:r>
        <w:t xml:space="preserve">, f. 2; </w:t>
      </w:r>
      <w:hyperlink w:anchor="SENTENCIA_1997_130" w:history="1">
        <w:r w:rsidRPr="007D461E">
          <w:rPr>
            <w:rStyle w:val="TextoNormalCaracter"/>
          </w:rPr>
          <w:t>130/1997</w:t>
        </w:r>
      </w:hyperlink>
      <w:r>
        <w:t xml:space="preserve">, ff. 1, 5; </w:t>
      </w:r>
      <w:hyperlink w:anchor="SENTENCIA_1997_132" w:history="1">
        <w:r w:rsidRPr="007D461E">
          <w:rPr>
            <w:rStyle w:val="TextoNormalCaracter"/>
          </w:rPr>
          <w:t>132/1997</w:t>
        </w:r>
      </w:hyperlink>
      <w:r>
        <w:t xml:space="preserve">, ff. 1 a 3, 6, VP; </w:t>
      </w:r>
      <w:hyperlink w:anchor="SENTENCIA_1997_135" w:history="1">
        <w:r w:rsidRPr="007D461E">
          <w:rPr>
            <w:rStyle w:val="TextoNormalCaracter"/>
          </w:rPr>
          <w:t>135/1997</w:t>
        </w:r>
      </w:hyperlink>
      <w:r>
        <w:t xml:space="preserve">, ff. 3, 4, 6, 7; </w:t>
      </w:r>
      <w:hyperlink w:anchor="SENTENCIA_1997_136" w:history="1">
        <w:r w:rsidRPr="007D461E">
          <w:rPr>
            <w:rStyle w:val="TextoNormalCaracter"/>
          </w:rPr>
          <w:t>136/1997</w:t>
        </w:r>
      </w:hyperlink>
      <w:r>
        <w:t xml:space="preserve">, ff. 1 a 4; </w:t>
      </w:r>
      <w:hyperlink w:anchor="SENTENCIA_1997_138" w:history="1">
        <w:r w:rsidRPr="007D461E">
          <w:rPr>
            <w:rStyle w:val="TextoNormalCaracter"/>
          </w:rPr>
          <w:t>138/1997</w:t>
        </w:r>
      </w:hyperlink>
      <w:r>
        <w:t xml:space="preserve">, f. 3; </w:t>
      </w:r>
      <w:hyperlink w:anchor="SENTENCIA_1997_139" w:history="1">
        <w:r w:rsidRPr="007D461E">
          <w:rPr>
            <w:rStyle w:val="TextoNormalCaracter"/>
          </w:rPr>
          <w:t>139/1997</w:t>
        </w:r>
      </w:hyperlink>
      <w:r>
        <w:t xml:space="preserve">, ff. 1 a 3; </w:t>
      </w:r>
      <w:hyperlink w:anchor="SENTENCIA_1997_140" w:history="1">
        <w:r w:rsidRPr="007D461E">
          <w:rPr>
            <w:rStyle w:val="TextoNormalCaracter"/>
          </w:rPr>
          <w:t>140/1997</w:t>
        </w:r>
      </w:hyperlink>
      <w:r>
        <w:t>, ff. 1 a 3.</w:t>
      </w:r>
    </w:p>
    <w:p w:rsidR="007D461E" w:rsidRDefault="007D461E" w:rsidP="007D461E">
      <w:pPr>
        <w:pStyle w:val="SangriaIzquierdaArticulo"/>
      </w:pPr>
      <w:r>
        <w:t xml:space="preserve">Autos </w:t>
      </w:r>
      <w:hyperlink w:anchor="AUTO_1997_134" w:history="1">
        <w:r w:rsidRPr="007D461E">
          <w:rPr>
            <w:rStyle w:val="TextoNormalCaracter"/>
          </w:rPr>
          <w:t>134/1997</w:t>
        </w:r>
      </w:hyperlink>
      <w:r>
        <w:t xml:space="preserve">; </w:t>
      </w:r>
      <w:hyperlink w:anchor="AUTO_1997_135" w:history="1">
        <w:r w:rsidRPr="007D461E">
          <w:rPr>
            <w:rStyle w:val="TextoNormalCaracter"/>
          </w:rPr>
          <w:t>135/1997</w:t>
        </w:r>
      </w:hyperlink>
      <w:r>
        <w:t xml:space="preserve">; </w:t>
      </w:r>
      <w:hyperlink w:anchor="AUTO_1997_150" w:history="1">
        <w:r w:rsidRPr="007D461E">
          <w:rPr>
            <w:rStyle w:val="TextoNormalCaracter"/>
          </w:rPr>
          <w:t>150/1997</w:t>
        </w:r>
      </w:hyperlink>
      <w:r>
        <w:t xml:space="preserve">; </w:t>
      </w:r>
      <w:hyperlink w:anchor="AUTO_1997_156" w:history="1">
        <w:r w:rsidRPr="007D461E">
          <w:rPr>
            <w:rStyle w:val="TextoNormalCaracter"/>
          </w:rPr>
          <w:t>156/1997</w:t>
        </w:r>
      </w:hyperlink>
      <w:r>
        <w:t xml:space="preserve">; </w:t>
      </w:r>
      <w:hyperlink w:anchor="AUTO_1997_157" w:history="1">
        <w:r w:rsidRPr="007D461E">
          <w:rPr>
            <w:rStyle w:val="TextoNormalCaracter"/>
          </w:rPr>
          <w:t>157/1997</w:t>
        </w:r>
      </w:hyperlink>
      <w:r>
        <w:t xml:space="preserve">; </w:t>
      </w:r>
      <w:hyperlink w:anchor="AUTO_1997_174" w:history="1">
        <w:r w:rsidRPr="007D461E">
          <w:rPr>
            <w:rStyle w:val="TextoNormalCaracter"/>
          </w:rPr>
          <w:t>174/1997</w:t>
        </w:r>
      </w:hyperlink>
      <w:r>
        <w:t xml:space="preserve">; </w:t>
      </w:r>
      <w:hyperlink w:anchor="AUTO_1997_176" w:history="1">
        <w:r w:rsidRPr="007D461E">
          <w:rPr>
            <w:rStyle w:val="TextoNormalCaracter"/>
          </w:rPr>
          <w:t>176/1997</w:t>
        </w:r>
      </w:hyperlink>
      <w:r>
        <w:t xml:space="preserve">; </w:t>
      </w:r>
      <w:hyperlink w:anchor="AUTO_1997_186" w:history="1">
        <w:r w:rsidRPr="007D461E">
          <w:rPr>
            <w:rStyle w:val="TextoNormalCaracter"/>
          </w:rPr>
          <w:t>186/1997</w:t>
        </w:r>
      </w:hyperlink>
      <w:r>
        <w:t xml:space="preserve">; </w:t>
      </w:r>
      <w:hyperlink w:anchor="AUTO_1997_191" w:history="1">
        <w:r w:rsidRPr="007D461E">
          <w:rPr>
            <w:rStyle w:val="TextoNormalCaracter"/>
          </w:rPr>
          <w:t>191/1997</w:t>
        </w:r>
      </w:hyperlink>
      <w:r>
        <w:t xml:space="preserve">; </w:t>
      </w:r>
      <w:hyperlink w:anchor="AUTO_1997_192" w:history="1">
        <w:r w:rsidRPr="007D461E">
          <w:rPr>
            <w:rStyle w:val="TextoNormalCaracter"/>
          </w:rPr>
          <w:t>192/1997</w:t>
        </w:r>
      </w:hyperlink>
      <w:r>
        <w:t xml:space="preserve">; </w:t>
      </w:r>
      <w:hyperlink w:anchor="AUTO_1997_193" w:history="1">
        <w:r w:rsidRPr="007D461E">
          <w:rPr>
            <w:rStyle w:val="TextoNormalCaracter"/>
          </w:rPr>
          <w:t>193/1997</w:t>
        </w:r>
      </w:hyperlink>
      <w:r>
        <w:t xml:space="preserve">; </w:t>
      </w:r>
      <w:hyperlink w:anchor="AUTO_1997_194" w:history="1">
        <w:r w:rsidRPr="007D461E">
          <w:rPr>
            <w:rStyle w:val="TextoNormalCaracter"/>
          </w:rPr>
          <w:t>194/1997</w:t>
        </w:r>
      </w:hyperlink>
      <w:r>
        <w:t xml:space="preserve">; </w:t>
      </w:r>
      <w:hyperlink w:anchor="AUTO_1997_195" w:history="1">
        <w:r w:rsidRPr="007D461E">
          <w:rPr>
            <w:rStyle w:val="TextoNormalCaracter"/>
          </w:rPr>
          <w:t>195/1997</w:t>
        </w:r>
      </w:hyperlink>
      <w:r>
        <w:t xml:space="preserve">; </w:t>
      </w:r>
      <w:hyperlink w:anchor="AUTO_1997_200" w:history="1">
        <w:r w:rsidRPr="007D461E">
          <w:rPr>
            <w:rStyle w:val="TextoNormalCaracter"/>
          </w:rPr>
          <w:t>200/1997</w:t>
        </w:r>
      </w:hyperlink>
      <w:r>
        <w:t xml:space="preserve">; </w:t>
      </w:r>
      <w:hyperlink w:anchor="AUTO_1997_202" w:history="1">
        <w:r w:rsidRPr="007D461E">
          <w:rPr>
            <w:rStyle w:val="TextoNormalCaracter"/>
          </w:rPr>
          <w:t>202/1997</w:t>
        </w:r>
      </w:hyperlink>
      <w:r>
        <w:t xml:space="preserve">; </w:t>
      </w:r>
      <w:hyperlink w:anchor="AUTO_1997_205" w:history="1">
        <w:r w:rsidRPr="007D461E">
          <w:rPr>
            <w:rStyle w:val="TextoNormalCaracter"/>
          </w:rPr>
          <w:t>205/1997</w:t>
        </w:r>
      </w:hyperlink>
      <w:r>
        <w:t xml:space="preserve">; </w:t>
      </w:r>
      <w:hyperlink w:anchor="AUTO_1997_207" w:history="1">
        <w:r w:rsidRPr="007D461E">
          <w:rPr>
            <w:rStyle w:val="TextoNormalCaracter"/>
          </w:rPr>
          <w:t>207/1997</w:t>
        </w:r>
      </w:hyperlink>
      <w:r>
        <w:t xml:space="preserve">; </w:t>
      </w:r>
      <w:hyperlink w:anchor="AUTO_1997_208" w:history="1">
        <w:r w:rsidRPr="007D461E">
          <w:rPr>
            <w:rStyle w:val="TextoNormalCaracter"/>
          </w:rPr>
          <w:t>208/1997</w:t>
        </w:r>
      </w:hyperlink>
      <w:r>
        <w:t xml:space="preserve">; </w:t>
      </w:r>
      <w:hyperlink w:anchor="AUTO_1997_212" w:history="1">
        <w:r w:rsidRPr="007D461E">
          <w:rPr>
            <w:rStyle w:val="TextoNormalCaracter"/>
          </w:rPr>
          <w:t>212/1997</w:t>
        </w:r>
      </w:hyperlink>
      <w:r>
        <w:t xml:space="preserve">; </w:t>
      </w:r>
      <w:hyperlink w:anchor="AUTO_1997_213" w:history="1">
        <w:r w:rsidRPr="007D461E">
          <w:rPr>
            <w:rStyle w:val="TextoNormalCaracter"/>
          </w:rPr>
          <w:t>213/1997</w:t>
        </w:r>
      </w:hyperlink>
      <w:r>
        <w:t xml:space="preserve">; </w:t>
      </w:r>
      <w:hyperlink w:anchor="AUTO_1997_214" w:history="1">
        <w:r w:rsidRPr="007D461E">
          <w:rPr>
            <w:rStyle w:val="TextoNormalCaracter"/>
          </w:rPr>
          <w:t>214/1997</w:t>
        </w:r>
      </w:hyperlink>
      <w:r>
        <w:t xml:space="preserve">; </w:t>
      </w:r>
      <w:hyperlink w:anchor="AUTO_1997_238" w:history="1">
        <w:r w:rsidRPr="007D461E">
          <w:rPr>
            <w:rStyle w:val="TextoNormalCaracter"/>
          </w:rPr>
          <w:t>238/1997</w:t>
        </w:r>
      </w:hyperlink>
      <w:r>
        <w:t xml:space="preserve">; </w:t>
      </w:r>
      <w:hyperlink w:anchor="AUTO_1997_239" w:history="1">
        <w:r w:rsidRPr="007D461E">
          <w:rPr>
            <w:rStyle w:val="TextoNormalCaracter"/>
          </w:rPr>
          <w:t>239/1997</w:t>
        </w:r>
      </w:hyperlink>
      <w:r>
        <w:t xml:space="preserve">; </w:t>
      </w:r>
      <w:hyperlink w:anchor="AUTO_1997_253" w:history="1">
        <w:r w:rsidRPr="007D461E">
          <w:rPr>
            <w:rStyle w:val="TextoNormalCaracter"/>
          </w:rPr>
          <w:t>253/1997</w:t>
        </w:r>
      </w:hyperlink>
      <w:r>
        <w:t xml:space="preserve">; </w:t>
      </w:r>
      <w:hyperlink w:anchor="AUTO_1997_263" w:history="1">
        <w:r w:rsidRPr="007D461E">
          <w:rPr>
            <w:rStyle w:val="TextoNormalCaracter"/>
          </w:rPr>
          <w:t>263/1997</w:t>
        </w:r>
      </w:hyperlink>
      <w:r>
        <w:t xml:space="preserve">; </w:t>
      </w:r>
      <w:hyperlink w:anchor="AUTO_1997_268" w:history="1">
        <w:r w:rsidRPr="007D461E">
          <w:rPr>
            <w:rStyle w:val="TextoNormalCaracter"/>
          </w:rPr>
          <w:t>268/1997</w:t>
        </w:r>
      </w:hyperlink>
      <w:r>
        <w:t xml:space="preserve">; </w:t>
      </w:r>
      <w:hyperlink w:anchor="AUTO_1997_274" w:history="1">
        <w:r w:rsidRPr="007D461E">
          <w:rPr>
            <w:rStyle w:val="TextoNormalCaracter"/>
          </w:rPr>
          <w:t>274/1997</w:t>
        </w:r>
      </w:hyperlink>
      <w:r>
        <w:t xml:space="preserve">; </w:t>
      </w:r>
      <w:hyperlink w:anchor="AUTO_1997_277" w:history="1">
        <w:r w:rsidRPr="007D461E">
          <w:rPr>
            <w:rStyle w:val="TextoNormalCaracter"/>
          </w:rPr>
          <w:t>277/1997</w:t>
        </w:r>
      </w:hyperlink>
      <w:r>
        <w:t xml:space="preserve">; </w:t>
      </w:r>
      <w:hyperlink w:anchor="AUTO_1997_286" w:history="1">
        <w:r w:rsidRPr="007D461E">
          <w:rPr>
            <w:rStyle w:val="TextoNormalCaracter"/>
          </w:rPr>
          <w:t>286/1997</w:t>
        </w:r>
      </w:hyperlink>
      <w:r>
        <w:t xml:space="preserve">; </w:t>
      </w:r>
      <w:hyperlink w:anchor="AUTO_1997_292" w:history="1">
        <w:r w:rsidRPr="007D461E">
          <w:rPr>
            <w:rStyle w:val="TextoNormalCaracter"/>
          </w:rPr>
          <w:t>292/1997</w:t>
        </w:r>
      </w:hyperlink>
      <w:r>
        <w:t xml:space="preserve">; </w:t>
      </w:r>
      <w:hyperlink w:anchor="AUTO_1997_294" w:history="1">
        <w:r w:rsidRPr="007D461E">
          <w:rPr>
            <w:rStyle w:val="TextoNormalCaracter"/>
          </w:rPr>
          <w:t>294/1997</w:t>
        </w:r>
      </w:hyperlink>
      <w:r>
        <w:t>.</w:t>
      </w:r>
    </w:p>
    <w:p w:rsidR="007D461E" w:rsidRDefault="007D461E" w:rsidP="007D461E">
      <w:pPr>
        <w:pStyle w:val="SangriaFrancesaArticulo"/>
      </w:pPr>
      <w:r w:rsidRPr="007D461E">
        <w:rPr>
          <w:rStyle w:val="TextoNormalNegritaCaracter"/>
        </w:rPr>
        <w:t>Artículo 24.2.</w:t>
      </w:r>
      <w:r w:rsidRPr="007D461E">
        <w:rPr>
          <w:rStyle w:val="TextoNormalCaracter"/>
        </w:rPr>
        <w:t>-</w:t>
      </w:r>
      <w:r>
        <w:t xml:space="preserve"> Sentencias </w:t>
      </w:r>
      <w:hyperlink w:anchor="SENTENCIA_1997_89" w:history="1">
        <w:r w:rsidRPr="007D461E">
          <w:rPr>
            <w:rStyle w:val="TextoNormalCaracter"/>
          </w:rPr>
          <w:t>89/1997</w:t>
        </w:r>
      </w:hyperlink>
      <w:r>
        <w:t xml:space="preserve">, f. 3; </w:t>
      </w:r>
      <w:hyperlink w:anchor="SENTENCIA_1997_92" w:history="1">
        <w:r w:rsidRPr="007D461E">
          <w:rPr>
            <w:rStyle w:val="TextoNormalCaracter"/>
          </w:rPr>
          <w:t>92/1997</w:t>
        </w:r>
      </w:hyperlink>
      <w:r>
        <w:t xml:space="preserve">, ff. 1, 3; </w:t>
      </w:r>
      <w:hyperlink w:anchor="SENTENCIA_1997_95" w:history="1">
        <w:r w:rsidRPr="007D461E">
          <w:rPr>
            <w:rStyle w:val="TextoNormalCaracter"/>
          </w:rPr>
          <w:t>95/1997</w:t>
        </w:r>
      </w:hyperlink>
      <w:r>
        <w:t xml:space="preserve">, ff. 1, 5; </w:t>
      </w:r>
      <w:hyperlink w:anchor="SENTENCIA_1997_98" w:history="1">
        <w:r w:rsidRPr="007D461E">
          <w:rPr>
            <w:rStyle w:val="TextoNormalCaracter"/>
          </w:rPr>
          <w:t>98/1997</w:t>
        </w:r>
      </w:hyperlink>
      <w:r>
        <w:t xml:space="preserve">, ff. 1 a 3; </w:t>
      </w:r>
      <w:hyperlink w:anchor="SENTENCIA_1997_102" w:history="1">
        <w:r w:rsidRPr="007D461E">
          <w:rPr>
            <w:rStyle w:val="TextoNormalCaracter"/>
          </w:rPr>
          <w:t>102/1997</w:t>
        </w:r>
      </w:hyperlink>
      <w:r>
        <w:t xml:space="preserve">, f. 4; </w:t>
      </w:r>
      <w:hyperlink w:anchor="SENTENCIA_1997_107" w:history="1">
        <w:r w:rsidRPr="007D461E">
          <w:rPr>
            <w:rStyle w:val="TextoNormalCaracter"/>
          </w:rPr>
          <w:t>107/1997</w:t>
        </w:r>
      </w:hyperlink>
      <w:r>
        <w:t xml:space="preserve">, ff. 1, 2; </w:t>
      </w:r>
      <w:hyperlink w:anchor="SENTENCIA_1997_109" w:history="1">
        <w:r w:rsidRPr="007D461E">
          <w:rPr>
            <w:rStyle w:val="TextoNormalCaracter"/>
          </w:rPr>
          <w:t>109/1997</w:t>
        </w:r>
      </w:hyperlink>
      <w:r>
        <w:t xml:space="preserve">, f. 1; </w:t>
      </w:r>
      <w:hyperlink w:anchor="SENTENCIA_1997_116" w:history="1">
        <w:r w:rsidRPr="007D461E">
          <w:rPr>
            <w:rStyle w:val="TextoNormalCaracter"/>
          </w:rPr>
          <w:t>116/1997</w:t>
        </w:r>
      </w:hyperlink>
      <w:r>
        <w:t xml:space="preserve">, ff. 3, 5; </w:t>
      </w:r>
      <w:hyperlink w:anchor="SENTENCIA_1997_120" w:history="1">
        <w:r w:rsidRPr="007D461E">
          <w:rPr>
            <w:rStyle w:val="TextoNormalCaracter"/>
          </w:rPr>
          <w:t>120/1997</w:t>
        </w:r>
      </w:hyperlink>
      <w:r>
        <w:t xml:space="preserve">, ff. 1, 4; </w:t>
      </w:r>
      <w:hyperlink w:anchor="SENTENCIA_1997_122" w:history="1">
        <w:r w:rsidRPr="007D461E">
          <w:rPr>
            <w:rStyle w:val="TextoNormalCaracter"/>
          </w:rPr>
          <w:t>122/1997</w:t>
        </w:r>
      </w:hyperlink>
      <w:r>
        <w:t xml:space="preserve">, f. 1; </w:t>
      </w:r>
      <w:hyperlink w:anchor="SENTENCIA_1997_123" w:history="1">
        <w:r w:rsidRPr="007D461E">
          <w:rPr>
            <w:rStyle w:val="TextoNormalCaracter"/>
          </w:rPr>
          <w:t>123/1997</w:t>
        </w:r>
      </w:hyperlink>
      <w:r>
        <w:t xml:space="preserve">, ff. 1, 2, 6; </w:t>
      </w:r>
      <w:hyperlink w:anchor="SENTENCIA_1997_131" w:history="1">
        <w:r w:rsidRPr="007D461E">
          <w:rPr>
            <w:rStyle w:val="TextoNormalCaracter"/>
          </w:rPr>
          <w:t>131/1997</w:t>
        </w:r>
      </w:hyperlink>
      <w:r>
        <w:t xml:space="preserve">, ff. 1, 2, 4; </w:t>
      </w:r>
      <w:hyperlink w:anchor="SENTENCIA_1997_136" w:history="1">
        <w:r w:rsidRPr="007D461E">
          <w:rPr>
            <w:rStyle w:val="TextoNormalCaracter"/>
          </w:rPr>
          <w:t>136/1997</w:t>
        </w:r>
      </w:hyperlink>
      <w:r>
        <w:t xml:space="preserve">, ff. 1, 6; </w:t>
      </w:r>
      <w:hyperlink w:anchor="SENTENCIA_1997_138" w:history="1">
        <w:r w:rsidRPr="007D461E">
          <w:rPr>
            <w:rStyle w:val="TextoNormalCaracter"/>
          </w:rPr>
          <w:t>138/1997</w:t>
        </w:r>
      </w:hyperlink>
      <w:r>
        <w:t>, ff. 3, 5.</w:t>
      </w:r>
    </w:p>
    <w:p w:rsidR="007D461E" w:rsidRDefault="007D461E" w:rsidP="007D461E">
      <w:pPr>
        <w:pStyle w:val="SangriaIzquierdaArticulo"/>
      </w:pPr>
      <w:r>
        <w:t xml:space="preserve">Autos </w:t>
      </w:r>
      <w:hyperlink w:anchor="AUTO_1997_175" w:history="1">
        <w:r w:rsidRPr="007D461E">
          <w:rPr>
            <w:rStyle w:val="TextoNormalCaracter"/>
          </w:rPr>
          <w:t>175/1997</w:t>
        </w:r>
      </w:hyperlink>
      <w:r>
        <w:t xml:space="preserve">; </w:t>
      </w:r>
      <w:hyperlink w:anchor="AUTO_1997_195" w:history="1">
        <w:r w:rsidRPr="007D461E">
          <w:rPr>
            <w:rStyle w:val="TextoNormalCaracter"/>
          </w:rPr>
          <w:t>195/1997</w:t>
        </w:r>
      </w:hyperlink>
      <w:r>
        <w:t xml:space="preserve">; </w:t>
      </w:r>
      <w:hyperlink w:anchor="AUTO_1997_208" w:history="1">
        <w:r w:rsidRPr="007D461E">
          <w:rPr>
            <w:rStyle w:val="TextoNormalCaracter"/>
          </w:rPr>
          <w:t>208/1997</w:t>
        </w:r>
      </w:hyperlink>
      <w:r>
        <w:t xml:space="preserve">; </w:t>
      </w:r>
      <w:hyperlink w:anchor="AUTO_1997_238" w:history="1">
        <w:r w:rsidRPr="007D461E">
          <w:rPr>
            <w:rStyle w:val="TextoNormalCaracter"/>
          </w:rPr>
          <w:t>238/1997</w:t>
        </w:r>
      </w:hyperlink>
      <w:r>
        <w:t xml:space="preserve">; </w:t>
      </w:r>
      <w:hyperlink w:anchor="AUTO_1997_246" w:history="1">
        <w:r w:rsidRPr="007D461E">
          <w:rPr>
            <w:rStyle w:val="TextoNormalCaracter"/>
          </w:rPr>
          <w:t>246/1997</w:t>
        </w:r>
      </w:hyperlink>
      <w:r>
        <w:t xml:space="preserve">; </w:t>
      </w:r>
      <w:hyperlink w:anchor="AUTO_1997_268" w:history="1">
        <w:r w:rsidRPr="007D461E">
          <w:rPr>
            <w:rStyle w:val="TextoNormalCaracter"/>
          </w:rPr>
          <w:t>268/1997</w:t>
        </w:r>
      </w:hyperlink>
      <w:r>
        <w:t>.</w:t>
      </w:r>
    </w:p>
    <w:p w:rsidR="007D461E" w:rsidRDefault="007D461E" w:rsidP="007D461E">
      <w:pPr>
        <w:pStyle w:val="SangriaFrancesaArticulo"/>
      </w:pPr>
      <w:r w:rsidRPr="007D461E">
        <w:rPr>
          <w:rStyle w:val="TextoNormalNegritaCaracter"/>
        </w:rPr>
        <w:t>Artículo 25.</w:t>
      </w:r>
      <w:r w:rsidRPr="007D461E">
        <w:rPr>
          <w:rStyle w:val="TextoNormalCaracter"/>
        </w:rPr>
        <w:t>-</w:t>
      </w:r>
      <w:r>
        <w:t xml:space="preserve"> Sentencias </w:t>
      </w:r>
      <w:hyperlink w:anchor="SENTENCIA_1997_95" w:history="1">
        <w:r w:rsidRPr="007D461E">
          <w:rPr>
            <w:rStyle w:val="TextoNormalCaracter"/>
          </w:rPr>
          <w:t>95/1997</w:t>
        </w:r>
      </w:hyperlink>
      <w:r>
        <w:t xml:space="preserve">, f. 1; </w:t>
      </w:r>
      <w:hyperlink w:anchor="SENTENCIA_1997_129" w:history="1">
        <w:r w:rsidRPr="007D461E">
          <w:rPr>
            <w:rStyle w:val="TextoNormalCaracter"/>
          </w:rPr>
          <w:t>129/1997</w:t>
        </w:r>
      </w:hyperlink>
      <w:r>
        <w:t>, ff. 2, 3.</w:t>
      </w:r>
    </w:p>
    <w:p w:rsidR="007D461E" w:rsidRDefault="007D461E" w:rsidP="007D461E">
      <w:pPr>
        <w:pStyle w:val="SangriaIzquierdaArticulo"/>
      </w:pPr>
      <w:r>
        <w:t xml:space="preserve">Auto </w:t>
      </w:r>
      <w:hyperlink w:anchor="AUTO_1997_207" w:history="1">
        <w:r w:rsidRPr="007D461E">
          <w:rPr>
            <w:rStyle w:val="TextoNormalCaracter"/>
          </w:rPr>
          <w:t>207/1997</w:t>
        </w:r>
      </w:hyperlink>
      <w:r>
        <w:t>.</w:t>
      </w:r>
    </w:p>
    <w:p w:rsidR="007D461E" w:rsidRDefault="007D461E" w:rsidP="007D461E">
      <w:pPr>
        <w:pStyle w:val="SangriaFrancesaArticulo"/>
      </w:pPr>
      <w:r w:rsidRPr="007D461E">
        <w:rPr>
          <w:rStyle w:val="TextoNormalNegritaCaracter"/>
        </w:rPr>
        <w:t>Artículo 25.1.</w:t>
      </w:r>
      <w:r w:rsidRPr="007D461E">
        <w:rPr>
          <w:rStyle w:val="TextoNormalCaracter"/>
        </w:rPr>
        <w:t>-</w:t>
      </w:r>
      <w:r>
        <w:t xml:space="preserve"> Sentencias </w:t>
      </w:r>
      <w:hyperlink w:anchor="SENTENCIA_1997_117" w:history="1">
        <w:r w:rsidRPr="007D461E">
          <w:rPr>
            <w:rStyle w:val="TextoNormalCaracter"/>
          </w:rPr>
          <w:t>117/1997</w:t>
        </w:r>
      </w:hyperlink>
      <w:r>
        <w:t xml:space="preserve">, ff. 1, 3; </w:t>
      </w:r>
      <w:hyperlink w:anchor="SENTENCIA_1997_125" w:history="1">
        <w:r w:rsidRPr="007D461E">
          <w:rPr>
            <w:rStyle w:val="TextoNormalCaracter"/>
          </w:rPr>
          <w:t>125/1997</w:t>
        </w:r>
      </w:hyperlink>
      <w:r>
        <w:t xml:space="preserve">, ff. 1, 2, 6; </w:t>
      </w:r>
      <w:hyperlink w:anchor="SENTENCIA_1997_130" w:history="1">
        <w:r w:rsidRPr="007D461E">
          <w:rPr>
            <w:rStyle w:val="TextoNormalCaracter"/>
          </w:rPr>
          <w:t>130/1997</w:t>
        </w:r>
      </w:hyperlink>
      <w:r>
        <w:t xml:space="preserve">, ff. 1, 2, 4; </w:t>
      </w:r>
      <w:hyperlink w:anchor="SENTENCIA_1997_137" w:history="1">
        <w:r w:rsidRPr="007D461E">
          <w:rPr>
            <w:rStyle w:val="TextoNormalCaracter"/>
          </w:rPr>
          <w:t>137/1997</w:t>
        </w:r>
      </w:hyperlink>
      <w:r>
        <w:t>, ff. 1, 2, 5 a 8.</w:t>
      </w:r>
    </w:p>
    <w:p w:rsidR="007D461E" w:rsidRDefault="007D461E" w:rsidP="007D461E">
      <w:pPr>
        <w:pStyle w:val="SangriaIzquierdaArticulo"/>
      </w:pPr>
      <w:r>
        <w:t xml:space="preserve">Autos </w:t>
      </w:r>
      <w:hyperlink w:anchor="AUTO_1997_148" w:history="1">
        <w:r w:rsidRPr="007D461E">
          <w:rPr>
            <w:rStyle w:val="TextoNormalCaracter"/>
          </w:rPr>
          <w:t>148/1997</w:t>
        </w:r>
      </w:hyperlink>
      <w:r>
        <w:t xml:space="preserve">; </w:t>
      </w:r>
      <w:hyperlink w:anchor="AUTO_1997_154" w:history="1">
        <w:r w:rsidRPr="007D461E">
          <w:rPr>
            <w:rStyle w:val="TextoNormalCaracter"/>
          </w:rPr>
          <w:t>154/1997</w:t>
        </w:r>
      </w:hyperlink>
      <w:r>
        <w:t xml:space="preserve">; </w:t>
      </w:r>
      <w:hyperlink w:anchor="AUTO_1997_207" w:history="1">
        <w:r w:rsidRPr="007D461E">
          <w:rPr>
            <w:rStyle w:val="TextoNormalCaracter"/>
          </w:rPr>
          <w:t>207/1997</w:t>
        </w:r>
      </w:hyperlink>
      <w:r>
        <w:t xml:space="preserve">; </w:t>
      </w:r>
      <w:hyperlink w:anchor="AUTO_1997_236" w:history="1">
        <w:r w:rsidRPr="007D461E">
          <w:rPr>
            <w:rStyle w:val="TextoNormalCaracter"/>
          </w:rPr>
          <w:t>236/1997</w:t>
        </w:r>
      </w:hyperlink>
      <w:r>
        <w:t xml:space="preserve">; </w:t>
      </w:r>
      <w:hyperlink w:anchor="AUTO_1997_267" w:history="1">
        <w:r w:rsidRPr="007D461E">
          <w:rPr>
            <w:rStyle w:val="TextoNormalCaracter"/>
          </w:rPr>
          <w:t>267/1997</w:t>
        </w:r>
      </w:hyperlink>
      <w:r>
        <w:t xml:space="preserve">; </w:t>
      </w:r>
      <w:hyperlink w:anchor="AUTO_1997_275" w:history="1">
        <w:r w:rsidRPr="007D461E">
          <w:rPr>
            <w:rStyle w:val="TextoNormalCaracter"/>
          </w:rPr>
          <w:t>275/1997</w:t>
        </w:r>
      </w:hyperlink>
      <w:r>
        <w:t>.</w:t>
      </w:r>
    </w:p>
    <w:p w:rsidR="007D461E" w:rsidRDefault="007D461E" w:rsidP="007D461E">
      <w:pPr>
        <w:pStyle w:val="SangriaFrancesaArticulo"/>
      </w:pPr>
      <w:r w:rsidRPr="007D461E">
        <w:rPr>
          <w:rStyle w:val="TextoNormalNegritaCaracter"/>
        </w:rPr>
        <w:t>Artículo 25.2.</w:t>
      </w:r>
      <w:r w:rsidRPr="007D461E">
        <w:rPr>
          <w:rStyle w:val="TextoNormalCaracter"/>
        </w:rPr>
        <w:t>-</w:t>
      </w:r>
      <w:r>
        <w:t xml:space="preserve"> Autos </w:t>
      </w:r>
      <w:hyperlink w:anchor="AUTO_1997_207" w:history="1">
        <w:r w:rsidRPr="007D461E">
          <w:rPr>
            <w:rStyle w:val="TextoNormalCaracter"/>
          </w:rPr>
          <w:t>207/1997</w:t>
        </w:r>
      </w:hyperlink>
      <w:r>
        <w:t xml:space="preserve">; </w:t>
      </w:r>
      <w:hyperlink w:anchor="AUTO_1997_274" w:history="1">
        <w:r w:rsidRPr="007D461E">
          <w:rPr>
            <w:rStyle w:val="TextoNormalCaracter"/>
          </w:rPr>
          <w:t>274/1997</w:t>
        </w:r>
      </w:hyperlink>
      <w:r>
        <w:t>.</w:t>
      </w:r>
    </w:p>
    <w:p w:rsidR="007D461E" w:rsidRDefault="007D461E" w:rsidP="007D461E">
      <w:pPr>
        <w:pStyle w:val="SangriaFrancesaArticulo"/>
      </w:pPr>
      <w:r w:rsidRPr="007D461E">
        <w:rPr>
          <w:rStyle w:val="TextoNormalNegritaCaracter"/>
        </w:rPr>
        <w:t>Artículo 27.</w:t>
      </w:r>
      <w:r w:rsidRPr="007D461E">
        <w:rPr>
          <w:rStyle w:val="TextoNormalCaracter"/>
        </w:rPr>
        <w:t>-</w:t>
      </w:r>
      <w:r>
        <w:t xml:space="preserve"> Sentencia </w:t>
      </w:r>
      <w:hyperlink w:anchor="SENTENCIA_1997_134" w:history="1">
        <w:r w:rsidRPr="007D461E">
          <w:rPr>
            <w:rStyle w:val="TextoNormalCaracter"/>
          </w:rPr>
          <w:t>134/1997</w:t>
        </w:r>
      </w:hyperlink>
      <w:r>
        <w:t>, f. 4.</w:t>
      </w:r>
    </w:p>
    <w:p w:rsidR="007D461E" w:rsidRDefault="007D461E" w:rsidP="007D461E">
      <w:pPr>
        <w:pStyle w:val="SangriaFrancesaArticulo"/>
      </w:pPr>
      <w:r w:rsidRPr="007D461E">
        <w:rPr>
          <w:rStyle w:val="TextoNormalNegritaCaracter"/>
        </w:rPr>
        <w:t>Artículo 28.</w:t>
      </w:r>
      <w:r w:rsidRPr="007D461E">
        <w:rPr>
          <w:rStyle w:val="TextoNormalCaracter"/>
        </w:rPr>
        <w:t>-</w:t>
      </w:r>
      <w:r>
        <w:t xml:space="preserve"> Sentencias </w:t>
      </w:r>
      <w:hyperlink w:anchor="SENTENCIA_1997_90" w:history="1">
        <w:r w:rsidRPr="007D461E">
          <w:rPr>
            <w:rStyle w:val="TextoNormalCaracter"/>
          </w:rPr>
          <w:t>90/1997</w:t>
        </w:r>
      </w:hyperlink>
      <w:r>
        <w:t xml:space="preserve">, ff. 2, 3; </w:t>
      </w:r>
      <w:hyperlink w:anchor="SENTENCIA_1997_137" w:history="1">
        <w:r w:rsidRPr="007D461E">
          <w:rPr>
            <w:rStyle w:val="TextoNormalCaracter"/>
          </w:rPr>
          <w:t>137/1997</w:t>
        </w:r>
      </w:hyperlink>
      <w:r>
        <w:t>, f. 1.</w:t>
      </w:r>
    </w:p>
    <w:p w:rsidR="007D461E" w:rsidRDefault="007D461E" w:rsidP="007D461E">
      <w:pPr>
        <w:pStyle w:val="SangriaFrancesaArticulo"/>
      </w:pPr>
      <w:r w:rsidRPr="007D461E">
        <w:rPr>
          <w:rStyle w:val="TextoNormalNegritaCaracter"/>
        </w:rPr>
        <w:t>Artículo 28.1.</w:t>
      </w:r>
      <w:r w:rsidRPr="007D461E">
        <w:rPr>
          <w:rStyle w:val="TextoNormalCaracter"/>
        </w:rPr>
        <w:t>-</w:t>
      </w:r>
      <w:r>
        <w:t xml:space="preserve"> Sentencias </w:t>
      </w:r>
      <w:hyperlink w:anchor="SENTENCIA_1997_105" w:history="1">
        <w:r w:rsidRPr="007D461E">
          <w:rPr>
            <w:rStyle w:val="TextoNormalCaracter"/>
          </w:rPr>
          <w:t>105/1997</w:t>
        </w:r>
      </w:hyperlink>
      <w:r>
        <w:t xml:space="preserve">, ff. 1, 5; </w:t>
      </w:r>
      <w:hyperlink w:anchor="SENTENCIA_1997_121" w:history="1">
        <w:r w:rsidRPr="007D461E">
          <w:rPr>
            <w:rStyle w:val="TextoNormalCaracter"/>
          </w:rPr>
          <w:t>121/1997</w:t>
        </w:r>
      </w:hyperlink>
      <w:r>
        <w:t>, ff. 1, 7, 9.</w:t>
      </w:r>
    </w:p>
    <w:p w:rsidR="007D461E" w:rsidRDefault="007D461E" w:rsidP="007D461E">
      <w:pPr>
        <w:pStyle w:val="SangriaFrancesaArticulo"/>
      </w:pPr>
      <w:r w:rsidRPr="007D461E">
        <w:rPr>
          <w:rStyle w:val="TextoNormalNegritaCaracter"/>
        </w:rPr>
        <w:t>Artículo 28.2.</w:t>
      </w:r>
      <w:r w:rsidRPr="007D461E">
        <w:rPr>
          <w:rStyle w:val="TextoNormalCaracter"/>
        </w:rPr>
        <w:t>-</w:t>
      </w:r>
      <w:r>
        <w:t xml:space="preserve"> Sentencias </w:t>
      </w:r>
      <w:hyperlink w:anchor="SENTENCIA_1997_90" w:history="1">
        <w:r w:rsidRPr="007D461E">
          <w:rPr>
            <w:rStyle w:val="TextoNormalCaracter"/>
          </w:rPr>
          <w:t>90/1997</w:t>
        </w:r>
      </w:hyperlink>
      <w:r>
        <w:t xml:space="preserve">, f. 3; </w:t>
      </w:r>
      <w:hyperlink w:anchor="SENTENCIA_1997_137" w:history="1">
        <w:r w:rsidRPr="007D461E">
          <w:rPr>
            <w:rStyle w:val="TextoNormalCaracter"/>
          </w:rPr>
          <w:t>137/1997</w:t>
        </w:r>
      </w:hyperlink>
      <w:r>
        <w:t>, f. 3.</w:t>
      </w:r>
    </w:p>
    <w:p w:rsidR="007D461E" w:rsidRDefault="007D461E" w:rsidP="007D461E">
      <w:pPr>
        <w:pStyle w:val="SangriaFrancesaArticulo"/>
      </w:pPr>
      <w:r w:rsidRPr="007D461E">
        <w:rPr>
          <w:rStyle w:val="TextoNormalNegritaCaracter"/>
        </w:rPr>
        <w:t>Artículo 31.1.</w:t>
      </w:r>
      <w:r w:rsidRPr="007D461E">
        <w:rPr>
          <w:rStyle w:val="TextoNormalCaracter"/>
        </w:rPr>
        <w:t>-</w:t>
      </w:r>
      <w:r>
        <w:t xml:space="preserve"> Sentencia </w:t>
      </w:r>
      <w:hyperlink w:anchor="SENTENCIA_1997_91" w:history="1">
        <w:r w:rsidRPr="007D461E">
          <w:rPr>
            <w:rStyle w:val="TextoNormalCaracter"/>
          </w:rPr>
          <w:t>91/1997</w:t>
        </w:r>
      </w:hyperlink>
      <w:r>
        <w:t>, f. 1.</w:t>
      </w:r>
    </w:p>
    <w:p w:rsidR="007D461E" w:rsidRDefault="007D461E" w:rsidP="007D461E">
      <w:pPr>
        <w:pStyle w:val="SangriaFrancesaArticulo"/>
      </w:pPr>
      <w:r w:rsidRPr="007D461E">
        <w:rPr>
          <w:rStyle w:val="TextoNormalNegritaCaracter"/>
        </w:rPr>
        <w:t>Artículo 33.</w:t>
      </w:r>
      <w:r w:rsidRPr="007D461E">
        <w:rPr>
          <w:rStyle w:val="TextoNormalCaracter"/>
        </w:rPr>
        <w:t>-</w:t>
      </w:r>
      <w:r>
        <w:t xml:space="preserve"> Sentencia </w:t>
      </w:r>
      <w:hyperlink w:anchor="SENTENCIA_1997_90" w:history="1">
        <w:r w:rsidRPr="007D461E">
          <w:rPr>
            <w:rStyle w:val="TextoNormalCaracter"/>
          </w:rPr>
          <w:t>90/1997</w:t>
        </w:r>
      </w:hyperlink>
      <w:r>
        <w:t>, f. 4.</w:t>
      </w:r>
    </w:p>
    <w:p w:rsidR="007D461E" w:rsidRDefault="007D461E" w:rsidP="007D461E">
      <w:pPr>
        <w:pStyle w:val="SangriaFrancesaArticulo"/>
      </w:pPr>
      <w:r w:rsidRPr="007D461E">
        <w:rPr>
          <w:rStyle w:val="TextoNormalNegritaCaracter"/>
        </w:rPr>
        <w:t>Artículo 37.1.</w:t>
      </w:r>
      <w:r w:rsidRPr="007D461E">
        <w:rPr>
          <w:rStyle w:val="TextoNormalCaracter"/>
        </w:rPr>
        <w:t>-</w:t>
      </w:r>
      <w:r>
        <w:t xml:space="preserve"> Sentencia </w:t>
      </w:r>
      <w:hyperlink w:anchor="SENTENCIA_1997_126" w:history="1">
        <w:r w:rsidRPr="007D461E">
          <w:rPr>
            <w:rStyle w:val="TextoNormalCaracter"/>
          </w:rPr>
          <w:t>126/1997</w:t>
        </w:r>
      </w:hyperlink>
      <w:r>
        <w:t>, f. 5.</w:t>
      </w:r>
    </w:p>
    <w:p w:rsidR="007D461E" w:rsidRDefault="007D461E" w:rsidP="007D461E">
      <w:pPr>
        <w:pStyle w:val="SangriaFrancesaArticulo"/>
      </w:pPr>
      <w:r w:rsidRPr="007D461E">
        <w:rPr>
          <w:rStyle w:val="TextoNormalNegritaCaracter"/>
        </w:rPr>
        <w:t>Artículo 38.</w:t>
      </w:r>
      <w:r w:rsidRPr="007D461E">
        <w:rPr>
          <w:rStyle w:val="TextoNormalCaracter"/>
        </w:rPr>
        <w:t>-</w:t>
      </w:r>
      <w:r>
        <w:t xml:space="preserve"> Sentencias </w:t>
      </w:r>
      <w:hyperlink w:anchor="SENTENCIA_1997_90" w:history="1">
        <w:r w:rsidRPr="007D461E">
          <w:rPr>
            <w:rStyle w:val="TextoNormalCaracter"/>
          </w:rPr>
          <w:t>90/1997</w:t>
        </w:r>
      </w:hyperlink>
      <w:r>
        <w:t xml:space="preserve">, f. 4; </w:t>
      </w:r>
      <w:hyperlink w:anchor="SENTENCIA_1997_91" w:history="1">
        <w:r w:rsidRPr="007D461E">
          <w:rPr>
            <w:rStyle w:val="TextoNormalCaracter"/>
          </w:rPr>
          <w:t>91/1997</w:t>
        </w:r>
      </w:hyperlink>
      <w:r>
        <w:t xml:space="preserve">, f. 1;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t>Artículo 40.1.</w:t>
      </w:r>
      <w:r w:rsidRPr="007D461E">
        <w:rPr>
          <w:rStyle w:val="TextoNormalCaracter"/>
        </w:rPr>
        <w:t>-</w:t>
      </w:r>
      <w:r>
        <w:t xml:space="preserve"> Sentencia </w:t>
      </w:r>
      <w:hyperlink w:anchor="SENTENCIA_1997_133" w:history="1">
        <w:r w:rsidRPr="007D461E">
          <w:rPr>
            <w:rStyle w:val="TextoNormalCaracter"/>
          </w:rPr>
          <w:t>133/1997</w:t>
        </w:r>
      </w:hyperlink>
      <w:r>
        <w:t>, f. 4.</w:t>
      </w:r>
    </w:p>
    <w:p w:rsidR="007D461E" w:rsidRDefault="007D461E" w:rsidP="007D461E">
      <w:pPr>
        <w:pStyle w:val="SangriaFrancesaArticulo"/>
      </w:pPr>
      <w:r w:rsidRPr="007D461E">
        <w:rPr>
          <w:rStyle w:val="TextoNormalNegritaCaracter"/>
        </w:rPr>
        <w:t>Artículo 53.2.</w:t>
      </w:r>
      <w:r w:rsidRPr="007D461E">
        <w:rPr>
          <w:rStyle w:val="TextoNormalCaracter"/>
        </w:rPr>
        <w:t>-</w:t>
      </w:r>
      <w:r>
        <w:t xml:space="preserve"> Sentencias </w:t>
      </w:r>
      <w:hyperlink w:anchor="SENTENCIA_1997_95" w:history="1">
        <w:r w:rsidRPr="007D461E">
          <w:rPr>
            <w:rStyle w:val="TextoNormalCaracter"/>
          </w:rPr>
          <w:t>95/1997</w:t>
        </w:r>
      </w:hyperlink>
      <w:r>
        <w:t xml:space="preserve">, f. 3; </w:t>
      </w:r>
      <w:hyperlink w:anchor="SENTENCIA_1997_96" w:history="1">
        <w:r w:rsidRPr="007D461E">
          <w:rPr>
            <w:rStyle w:val="TextoNormalCaracter"/>
          </w:rPr>
          <w:t>96/1997</w:t>
        </w:r>
      </w:hyperlink>
      <w:r>
        <w:t xml:space="preserve">, f. 4; </w:t>
      </w:r>
      <w:hyperlink w:anchor="SENTENCIA_1997_105" w:history="1">
        <w:r w:rsidRPr="007D461E">
          <w:rPr>
            <w:rStyle w:val="TextoNormalCaracter"/>
          </w:rPr>
          <w:t>105/1997</w:t>
        </w:r>
      </w:hyperlink>
      <w:r>
        <w:t xml:space="preserve">, f. 1; </w:t>
      </w:r>
      <w:hyperlink w:anchor="SENTENCIA_1997_117" w:history="1">
        <w:r w:rsidRPr="007D461E">
          <w:rPr>
            <w:rStyle w:val="TextoNormalCaracter"/>
          </w:rPr>
          <w:t>117/1997</w:t>
        </w:r>
      </w:hyperlink>
      <w:r>
        <w:t xml:space="preserve">, f. 2; </w:t>
      </w:r>
      <w:hyperlink w:anchor="SENTENCIA_1997_118" w:history="1">
        <w:r w:rsidRPr="007D461E">
          <w:rPr>
            <w:rStyle w:val="TextoNormalCaracter"/>
          </w:rPr>
          <w:t>118/1997</w:t>
        </w:r>
      </w:hyperlink>
      <w:r>
        <w:t xml:space="preserve">, VP; </w:t>
      </w:r>
      <w:hyperlink w:anchor="SENTENCIA_1997_121" w:history="1">
        <w:r w:rsidRPr="007D461E">
          <w:rPr>
            <w:rStyle w:val="TextoNormalCaracter"/>
          </w:rPr>
          <w:t>121/1997</w:t>
        </w:r>
      </w:hyperlink>
      <w:r>
        <w:t xml:space="preserve">, f. 3; </w:t>
      </w:r>
      <w:hyperlink w:anchor="SENTENCIA_1997_122" w:history="1">
        <w:r w:rsidRPr="007D461E">
          <w:rPr>
            <w:rStyle w:val="TextoNormalCaracter"/>
          </w:rPr>
          <w:t>122/1997</w:t>
        </w:r>
      </w:hyperlink>
      <w:r>
        <w:t xml:space="preserve">, f. 2; </w:t>
      </w:r>
      <w:hyperlink w:anchor="SENTENCIA_1997_125" w:history="1">
        <w:r w:rsidRPr="007D461E">
          <w:rPr>
            <w:rStyle w:val="TextoNormalCaracter"/>
          </w:rPr>
          <w:t>125/1997</w:t>
        </w:r>
      </w:hyperlink>
      <w:r>
        <w:t xml:space="preserve">, f. 4, VP II; </w:t>
      </w:r>
      <w:hyperlink w:anchor="SENTENCIA_1997_126" w:history="1">
        <w:r w:rsidRPr="007D461E">
          <w:rPr>
            <w:rStyle w:val="TextoNormalCaracter"/>
          </w:rPr>
          <w:t>126/1997</w:t>
        </w:r>
      </w:hyperlink>
      <w:r>
        <w:t xml:space="preserve">, f. 5; </w:t>
      </w:r>
      <w:hyperlink w:anchor="SENTENCIA_1997_140" w:history="1">
        <w:r w:rsidRPr="007D461E">
          <w:rPr>
            <w:rStyle w:val="TextoNormalCaracter"/>
          </w:rPr>
          <w:t>140/1997</w:t>
        </w:r>
      </w:hyperlink>
      <w:r>
        <w:t>, f. 1.</w:t>
      </w:r>
    </w:p>
    <w:p w:rsidR="007D461E" w:rsidRDefault="007D461E" w:rsidP="007D461E">
      <w:pPr>
        <w:pStyle w:val="SangriaIzquierdaArticulo"/>
      </w:pPr>
      <w:r>
        <w:t xml:space="preserve">Autos </w:t>
      </w:r>
      <w:hyperlink w:anchor="AUTO_1997_137" w:history="1">
        <w:r w:rsidRPr="007D461E">
          <w:rPr>
            <w:rStyle w:val="TextoNormalCaracter"/>
          </w:rPr>
          <w:t>137/1997</w:t>
        </w:r>
      </w:hyperlink>
      <w:r>
        <w:t xml:space="preserve">; </w:t>
      </w:r>
      <w:hyperlink w:anchor="AUTO_1997_147" w:history="1">
        <w:r w:rsidRPr="007D461E">
          <w:rPr>
            <w:rStyle w:val="TextoNormalCaracter"/>
          </w:rPr>
          <w:t>147/1997</w:t>
        </w:r>
      </w:hyperlink>
      <w:r>
        <w:t xml:space="preserve">; </w:t>
      </w:r>
      <w:hyperlink w:anchor="AUTO_1997_221" w:history="1">
        <w:r w:rsidRPr="007D461E">
          <w:rPr>
            <w:rStyle w:val="TextoNormalCaracter"/>
          </w:rPr>
          <w:t>221/1997</w:t>
        </w:r>
      </w:hyperlink>
      <w:r>
        <w:t xml:space="preserve">;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56.2.</w:t>
      </w:r>
      <w:r w:rsidRPr="007D461E">
        <w:rPr>
          <w:rStyle w:val="TextoNormalCaracter"/>
        </w:rPr>
        <w:t>-</w:t>
      </w:r>
      <w:r>
        <w:t xml:space="preserve"> Sentencia </w:t>
      </w:r>
      <w:hyperlink w:anchor="SENTENCIA_1997_126" w:history="1">
        <w:r w:rsidRPr="007D461E">
          <w:rPr>
            <w:rStyle w:val="TextoNormalCaracter"/>
          </w:rPr>
          <w:t>126/1997</w:t>
        </w:r>
      </w:hyperlink>
      <w:r>
        <w:t>, f. 7.</w:t>
      </w:r>
    </w:p>
    <w:p w:rsidR="007D461E" w:rsidRDefault="007D461E" w:rsidP="007D461E">
      <w:pPr>
        <w:pStyle w:val="SangriaFrancesaArticulo"/>
      </w:pPr>
      <w:r w:rsidRPr="007D461E">
        <w:rPr>
          <w:rStyle w:val="TextoNormalNegritaCaracter"/>
        </w:rPr>
        <w:t>Artículo 56.3.</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57.</w:t>
      </w:r>
      <w:r w:rsidRPr="007D461E">
        <w:rPr>
          <w:rStyle w:val="TextoNormalCaracter"/>
        </w:rPr>
        <w:t>-</w:t>
      </w:r>
      <w:r>
        <w:t xml:space="preserve"> Sentencia </w:t>
      </w:r>
      <w:hyperlink w:anchor="SENTENCIA_1997_126" w:history="1">
        <w:r w:rsidRPr="007D461E">
          <w:rPr>
            <w:rStyle w:val="TextoNormalCaracter"/>
          </w:rPr>
          <w:t>126/1997</w:t>
        </w:r>
      </w:hyperlink>
      <w:r>
        <w:t>, VP I.</w:t>
      </w:r>
    </w:p>
    <w:p w:rsidR="007D461E" w:rsidRDefault="007D461E" w:rsidP="007D461E">
      <w:pPr>
        <w:pStyle w:val="SangriaFrancesaArticulo"/>
      </w:pPr>
      <w:r w:rsidRPr="007D461E">
        <w:rPr>
          <w:rStyle w:val="TextoNormalNegritaCaracter"/>
        </w:rPr>
        <w:t>Artículo 57.1.</w:t>
      </w:r>
      <w:r w:rsidRPr="007D461E">
        <w:rPr>
          <w:rStyle w:val="TextoNormalCaracter"/>
        </w:rPr>
        <w:t>-</w:t>
      </w:r>
      <w:r>
        <w:t xml:space="preserve"> Sentencia </w:t>
      </w:r>
      <w:hyperlink w:anchor="SENTENCIA_1997_126" w:history="1">
        <w:r w:rsidRPr="007D461E">
          <w:rPr>
            <w:rStyle w:val="TextoNormalCaracter"/>
          </w:rPr>
          <w:t>126/1997</w:t>
        </w:r>
      </w:hyperlink>
      <w:r>
        <w:t>, f. 7, VP II.</w:t>
      </w:r>
    </w:p>
    <w:p w:rsidR="007D461E" w:rsidRDefault="007D461E" w:rsidP="007D461E">
      <w:pPr>
        <w:pStyle w:val="SangriaFrancesaArticulo"/>
      </w:pPr>
      <w:r w:rsidRPr="007D461E">
        <w:rPr>
          <w:rStyle w:val="TextoNormalNegritaCaracter"/>
        </w:rPr>
        <w:t>Artículo 57.2.</w:t>
      </w:r>
      <w:r w:rsidRPr="007D461E">
        <w:rPr>
          <w:rStyle w:val="TextoNormalCaracter"/>
        </w:rPr>
        <w:t>-</w:t>
      </w:r>
      <w:r>
        <w:t xml:space="preserve"> Sentencia </w:t>
      </w:r>
      <w:hyperlink w:anchor="SENTENCIA_1997_126" w:history="1">
        <w:r w:rsidRPr="007D461E">
          <w:rPr>
            <w:rStyle w:val="TextoNormalCaracter"/>
          </w:rPr>
          <w:t>126/1997</w:t>
        </w:r>
      </w:hyperlink>
      <w:r>
        <w:t>, f. 7.</w:t>
      </w:r>
    </w:p>
    <w:p w:rsidR="007D461E" w:rsidRDefault="007D461E" w:rsidP="007D461E">
      <w:pPr>
        <w:pStyle w:val="SangriaFrancesaArticulo"/>
      </w:pPr>
      <w:r w:rsidRPr="007D461E">
        <w:rPr>
          <w:rStyle w:val="TextoNormalNegritaCaracter"/>
        </w:rPr>
        <w:lastRenderedPageBreak/>
        <w:t>Artículo 62 f).</w:t>
      </w:r>
      <w:r w:rsidRPr="007D461E">
        <w:rPr>
          <w:rStyle w:val="TextoNormalCaracter"/>
        </w:rPr>
        <w:t>-</w:t>
      </w:r>
      <w:r>
        <w:t xml:space="preserve"> Sentencia </w:t>
      </w:r>
      <w:hyperlink w:anchor="SENTENCIA_1997_126" w:history="1">
        <w:r w:rsidRPr="007D461E">
          <w:rPr>
            <w:rStyle w:val="TextoNormalCaracter"/>
          </w:rPr>
          <w:t>126/1997</w:t>
        </w:r>
      </w:hyperlink>
      <w:r>
        <w:t>, ff. 10, 12, VP II.</w:t>
      </w:r>
    </w:p>
    <w:p w:rsidR="007D461E" w:rsidRDefault="007D461E" w:rsidP="007D461E">
      <w:pPr>
        <w:pStyle w:val="SangriaFrancesaArticulo"/>
      </w:pPr>
      <w:r w:rsidRPr="007D461E">
        <w:rPr>
          <w:rStyle w:val="TextoNormalNegritaCaracter"/>
        </w:rPr>
        <w:t>Artículo 64.1.</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r w:rsidRPr="007D461E">
        <w:rPr>
          <w:rStyle w:val="TextoNormalNegritaCaracter"/>
        </w:rPr>
        <w:t>Artículo 64.2.</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65.2.</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72.</w:t>
      </w:r>
      <w:r w:rsidRPr="007D461E">
        <w:rPr>
          <w:rStyle w:val="TextoNormalCaracter"/>
        </w:rPr>
        <w:t>-</w:t>
      </w:r>
      <w:r>
        <w:t xml:space="preserve"> Sentencia </w:t>
      </w:r>
      <w:hyperlink w:anchor="SENTENCIA_1997_121" w:history="1">
        <w:r w:rsidRPr="007D461E">
          <w:rPr>
            <w:rStyle w:val="TextoNormalCaracter"/>
          </w:rPr>
          <w:t>121/1997</w:t>
        </w:r>
      </w:hyperlink>
      <w:r>
        <w:t>, ff. 4, 7, 10.</w:t>
      </w:r>
    </w:p>
    <w:p w:rsidR="007D461E" w:rsidRDefault="007D461E" w:rsidP="007D461E">
      <w:pPr>
        <w:pStyle w:val="SangriaFrancesaArticulo"/>
      </w:pPr>
      <w:r w:rsidRPr="007D461E">
        <w:rPr>
          <w:rStyle w:val="TextoNormalNegritaCaracter"/>
        </w:rPr>
        <w:t>Artículo 72.1.</w:t>
      </w:r>
      <w:r w:rsidRPr="007D461E">
        <w:rPr>
          <w:rStyle w:val="TextoNormalCaracter"/>
        </w:rPr>
        <w:t>-</w:t>
      </w:r>
      <w:r>
        <w:t xml:space="preserve"> Sentencia </w:t>
      </w:r>
      <w:hyperlink w:anchor="SENTENCIA_1997_121" w:history="1">
        <w:r w:rsidRPr="007D461E">
          <w:rPr>
            <w:rStyle w:val="TextoNormalCaracter"/>
          </w:rPr>
          <w:t>121/1997</w:t>
        </w:r>
      </w:hyperlink>
      <w:r>
        <w:t>, f. 10.</w:t>
      </w:r>
    </w:p>
    <w:p w:rsidR="007D461E" w:rsidRDefault="007D461E" w:rsidP="007D461E">
      <w:pPr>
        <w:pStyle w:val="SangriaFrancesaArticulo"/>
      </w:pPr>
      <w:r w:rsidRPr="007D461E">
        <w:rPr>
          <w:rStyle w:val="TextoNormalNegritaCaracter"/>
        </w:rPr>
        <w:t>Artículo 82.</w:t>
      </w:r>
      <w:r w:rsidRPr="007D461E">
        <w:rPr>
          <w:rStyle w:val="TextoNormalCaracter"/>
        </w:rPr>
        <w:t>-</w:t>
      </w:r>
      <w:r>
        <w:t xml:space="preserve"> Sentencia </w:t>
      </w:r>
      <w:hyperlink w:anchor="SENTENCIA_1997_103" w:history="1">
        <w:r w:rsidRPr="007D461E">
          <w:rPr>
            <w:rStyle w:val="TextoNormalCaracter"/>
          </w:rPr>
          <w:t>103/1997</w:t>
        </w:r>
      </w:hyperlink>
      <w:r>
        <w:t>, f. 2.</w:t>
      </w:r>
    </w:p>
    <w:p w:rsidR="007D461E" w:rsidRDefault="007D461E" w:rsidP="007D461E">
      <w:pPr>
        <w:pStyle w:val="SangriaFrancesaArticulo"/>
      </w:pPr>
      <w:r w:rsidRPr="007D461E">
        <w:rPr>
          <w:rStyle w:val="TextoNormalNegritaCaracter"/>
        </w:rPr>
        <w:t>Artículo 86.1.</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95.2.</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97.</w:t>
      </w:r>
      <w:r w:rsidRPr="007D461E">
        <w:rPr>
          <w:rStyle w:val="TextoNormalCaracter"/>
        </w:rPr>
        <w:t>-</w:t>
      </w:r>
      <w:r>
        <w:t xml:space="preserve"> Sentencia </w:t>
      </w:r>
      <w:hyperlink w:anchor="SENTENCIA_1997_133" w:history="1">
        <w:r w:rsidRPr="007D461E">
          <w:rPr>
            <w:rStyle w:val="TextoNormalCaracter"/>
          </w:rPr>
          <w:t>133/1997</w:t>
        </w:r>
      </w:hyperlink>
      <w:r>
        <w:t>, ff. 4, 7.</w:t>
      </w:r>
    </w:p>
    <w:p w:rsidR="007D461E" w:rsidRDefault="007D461E" w:rsidP="007D461E">
      <w:pPr>
        <w:pStyle w:val="SangriaFrancesaArticulo"/>
      </w:pPr>
      <w:r w:rsidRPr="007D461E">
        <w:rPr>
          <w:rStyle w:val="TextoNormalNegritaCaracter"/>
        </w:rPr>
        <w:t>Artículo 103.1.</w:t>
      </w:r>
      <w:r w:rsidRPr="007D461E">
        <w:rPr>
          <w:rStyle w:val="TextoNormalCaracter"/>
        </w:rPr>
        <w:t>-</w:t>
      </w:r>
      <w:r>
        <w:t xml:space="preserve"> Sentencia </w:t>
      </w:r>
      <w:hyperlink w:anchor="SENTENCIA_1997_94" w:history="1">
        <w:r w:rsidRPr="007D461E">
          <w:rPr>
            <w:rStyle w:val="TextoNormalCaracter"/>
          </w:rPr>
          <w:t>94/1997</w:t>
        </w:r>
      </w:hyperlink>
      <w:r>
        <w:t>, f. 1.</w:t>
      </w:r>
    </w:p>
    <w:p w:rsidR="007D461E" w:rsidRDefault="007D461E" w:rsidP="007D461E">
      <w:pPr>
        <w:pStyle w:val="SangriaFrancesaArticulo"/>
      </w:pPr>
      <w:r w:rsidRPr="007D461E">
        <w:rPr>
          <w:rStyle w:val="TextoNormalNegritaCaracter"/>
        </w:rPr>
        <w:t>Artículo 106.1.</w:t>
      </w:r>
      <w:r w:rsidRPr="007D461E">
        <w:rPr>
          <w:rStyle w:val="TextoNormalCaracter"/>
        </w:rPr>
        <w:t>-</w:t>
      </w:r>
      <w:r>
        <w:t xml:space="preserve"> Sentencia </w:t>
      </w:r>
      <w:hyperlink w:anchor="SENTENCIA_1997_95" w:history="1">
        <w:r w:rsidRPr="007D461E">
          <w:rPr>
            <w:rStyle w:val="TextoNormalCaracter"/>
          </w:rPr>
          <w:t>95/1997</w:t>
        </w:r>
      </w:hyperlink>
      <w:r>
        <w:t>, f. 3.</w:t>
      </w:r>
    </w:p>
    <w:p w:rsidR="007D461E" w:rsidRDefault="007D461E" w:rsidP="007D461E">
      <w:pPr>
        <w:pStyle w:val="SangriaIzquierdaArticulo"/>
      </w:pPr>
      <w:r>
        <w:t xml:space="preserve">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117.1.</w:t>
      </w:r>
      <w:r w:rsidRPr="007D461E">
        <w:rPr>
          <w:rStyle w:val="TextoNormalCaracter"/>
        </w:rPr>
        <w:t>-</w:t>
      </w:r>
      <w:r>
        <w:t xml:space="preserve"> Sentencia </w:t>
      </w:r>
      <w:hyperlink w:anchor="SENTENCIA_1997_137" w:history="1">
        <w:r w:rsidRPr="007D461E">
          <w:rPr>
            <w:rStyle w:val="TextoNormalCaracter"/>
          </w:rPr>
          <w:t>137/1997</w:t>
        </w:r>
      </w:hyperlink>
      <w:r>
        <w:t>, f. 6.</w:t>
      </w:r>
    </w:p>
    <w:p w:rsidR="007D461E" w:rsidRDefault="007D461E" w:rsidP="007D461E">
      <w:pPr>
        <w:pStyle w:val="SangriaIzquierdaArticulo"/>
      </w:pPr>
      <w:r>
        <w:t xml:space="preserve">Autos </w:t>
      </w:r>
      <w:hyperlink w:anchor="AUTO_1997_192" w:history="1">
        <w:r w:rsidRPr="007D461E">
          <w:rPr>
            <w:rStyle w:val="TextoNormalCaracter"/>
          </w:rPr>
          <w:t>192/1997</w:t>
        </w:r>
      </w:hyperlink>
      <w:r>
        <w:t xml:space="preserve">; </w:t>
      </w:r>
      <w:hyperlink w:anchor="AUTO_1997_193" w:history="1">
        <w:r w:rsidRPr="007D461E">
          <w:rPr>
            <w:rStyle w:val="TextoNormalCaracter"/>
          </w:rPr>
          <w:t>193/1997</w:t>
        </w:r>
      </w:hyperlink>
      <w:r>
        <w:t xml:space="preserve">; </w:t>
      </w:r>
      <w:hyperlink w:anchor="AUTO_1997_194" w:history="1">
        <w:r w:rsidRPr="007D461E">
          <w:rPr>
            <w:rStyle w:val="TextoNormalCaracter"/>
          </w:rPr>
          <w:t>194/1997</w:t>
        </w:r>
      </w:hyperlink>
      <w:r>
        <w:t>.</w:t>
      </w:r>
    </w:p>
    <w:p w:rsidR="007D461E" w:rsidRDefault="007D461E" w:rsidP="007D461E">
      <w:pPr>
        <w:pStyle w:val="SangriaFrancesaArticulo"/>
      </w:pPr>
      <w:r w:rsidRPr="007D461E">
        <w:rPr>
          <w:rStyle w:val="TextoNormalNegritaCaracter"/>
        </w:rPr>
        <w:t>Artículo 117.3.</w:t>
      </w:r>
      <w:r w:rsidRPr="007D461E">
        <w:rPr>
          <w:rStyle w:val="TextoNormalCaracter"/>
        </w:rPr>
        <w:t>-</w:t>
      </w:r>
      <w:r>
        <w:t xml:space="preserve"> Sentencias </w:t>
      </w:r>
      <w:hyperlink w:anchor="SENTENCIA_1997_89" w:history="1">
        <w:r w:rsidRPr="007D461E">
          <w:rPr>
            <w:rStyle w:val="TextoNormalCaracter"/>
          </w:rPr>
          <w:t>89/1997</w:t>
        </w:r>
      </w:hyperlink>
      <w:r>
        <w:t xml:space="preserve">, f. 3; </w:t>
      </w:r>
      <w:hyperlink w:anchor="SENTENCIA_1997_95" w:history="1">
        <w:r w:rsidRPr="007D461E">
          <w:rPr>
            <w:rStyle w:val="TextoNormalCaracter"/>
          </w:rPr>
          <w:t>95/1997</w:t>
        </w:r>
      </w:hyperlink>
      <w:r>
        <w:t xml:space="preserve">, ff. 1, 3; </w:t>
      </w:r>
      <w:hyperlink w:anchor="SENTENCIA_1997_116" w:history="1">
        <w:r w:rsidRPr="007D461E">
          <w:rPr>
            <w:rStyle w:val="TextoNormalCaracter"/>
          </w:rPr>
          <w:t>116/1997</w:t>
        </w:r>
      </w:hyperlink>
      <w:r>
        <w:t xml:space="preserve">, f. 2; </w:t>
      </w:r>
      <w:hyperlink w:anchor="SENTENCIA_1997_117" w:history="1">
        <w:r w:rsidRPr="007D461E">
          <w:rPr>
            <w:rStyle w:val="TextoNormalCaracter"/>
          </w:rPr>
          <w:t>117/1997</w:t>
        </w:r>
      </w:hyperlink>
      <w:r>
        <w:t xml:space="preserve">, f. 2; </w:t>
      </w:r>
      <w:hyperlink w:anchor="SENTENCIA_1997_123" w:history="1">
        <w:r w:rsidRPr="007D461E">
          <w:rPr>
            <w:rStyle w:val="TextoNormalCaracter"/>
          </w:rPr>
          <w:t>123/1997</w:t>
        </w:r>
      </w:hyperlink>
      <w:r>
        <w:t xml:space="preserve">, f. 6; </w:t>
      </w:r>
      <w:hyperlink w:anchor="SENTENCIA_1997_125" w:history="1">
        <w:r w:rsidRPr="007D461E">
          <w:rPr>
            <w:rStyle w:val="TextoNormalCaracter"/>
          </w:rPr>
          <w:t>125/1997</w:t>
        </w:r>
      </w:hyperlink>
      <w:r>
        <w:t xml:space="preserve">, f. 3; </w:t>
      </w:r>
      <w:hyperlink w:anchor="SENTENCIA_1997_139" w:history="1">
        <w:r w:rsidRPr="007D461E">
          <w:rPr>
            <w:rStyle w:val="TextoNormalCaracter"/>
          </w:rPr>
          <w:t>139/1997</w:t>
        </w:r>
      </w:hyperlink>
      <w:r>
        <w:t>, f. 3.</w:t>
      </w:r>
    </w:p>
    <w:p w:rsidR="007D461E" w:rsidRDefault="007D461E" w:rsidP="007D461E">
      <w:pPr>
        <w:pStyle w:val="SangriaIzquierdaArticulo"/>
      </w:pPr>
      <w:r>
        <w:t xml:space="preserve">Autos </w:t>
      </w:r>
      <w:hyperlink w:anchor="AUTO_1997_144" w:history="1">
        <w:r w:rsidRPr="007D461E">
          <w:rPr>
            <w:rStyle w:val="TextoNormalCaracter"/>
          </w:rPr>
          <w:t>144/1997</w:t>
        </w:r>
      </w:hyperlink>
      <w:r>
        <w:t xml:space="preserve">; </w:t>
      </w:r>
      <w:hyperlink w:anchor="AUTO_1997_149" w:history="1">
        <w:r w:rsidRPr="007D461E">
          <w:rPr>
            <w:rStyle w:val="TextoNormalCaracter"/>
          </w:rPr>
          <w:t>149/1997</w:t>
        </w:r>
      </w:hyperlink>
      <w:r>
        <w:t xml:space="preserve">; </w:t>
      </w:r>
      <w:hyperlink w:anchor="AUTO_1997_153" w:history="1">
        <w:r w:rsidRPr="007D461E">
          <w:rPr>
            <w:rStyle w:val="TextoNormalCaracter"/>
          </w:rPr>
          <w:t>153/1997</w:t>
        </w:r>
      </w:hyperlink>
      <w:r>
        <w:t xml:space="preserve">; </w:t>
      </w:r>
      <w:hyperlink w:anchor="AUTO_1997_174" w:history="1">
        <w:r w:rsidRPr="007D461E">
          <w:rPr>
            <w:rStyle w:val="TextoNormalCaracter"/>
          </w:rPr>
          <w:t>174/1997</w:t>
        </w:r>
      </w:hyperlink>
      <w:r>
        <w:t xml:space="preserve">; </w:t>
      </w:r>
      <w:hyperlink w:anchor="AUTO_1997_221" w:history="1">
        <w:r w:rsidRPr="007D461E">
          <w:rPr>
            <w:rStyle w:val="TextoNormalCaracter"/>
          </w:rPr>
          <w:t>221/1997</w:t>
        </w:r>
      </w:hyperlink>
      <w:r>
        <w:t xml:space="preserve">; </w:t>
      </w:r>
      <w:hyperlink w:anchor="AUTO_1997_222" w:history="1">
        <w:r w:rsidRPr="007D461E">
          <w:rPr>
            <w:rStyle w:val="TextoNormalCaracter"/>
          </w:rPr>
          <w:t>222/1997</w:t>
        </w:r>
      </w:hyperlink>
      <w:r>
        <w:t xml:space="preserve">; </w:t>
      </w:r>
      <w:hyperlink w:anchor="AUTO_1997_247" w:history="1">
        <w:r w:rsidRPr="007D461E">
          <w:rPr>
            <w:rStyle w:val="TextoNormalCaracter"/>
          </w:rPr>
          <w:t>247/1997</w:t>
        </w:r>
      </w:hyperlink>
      <w:r>
        <w:t xml:space="preserve">; </w:t>
      </w:r>
      <w:hyperlink w:anchor="AUTO_1997_248" w:history="1">
        <w:r w:rsidRPr="007D461E">
          <w:rPr>
            <w:rStyle w:val="TextoNormalCaracter"/>
          </w:rPr>
          <w:t>248/1997</w:t>
        </w:r>
      </w:hyperlink>
      <w:r>
        <w:t xml:space="preserve">; </w:t>
      </w:r>
      <w:hyperlink w:anchor="AUTO_1997_268" w:history="1">
        <w:r w:rsidRPr="007D461E">
          <w:rPr>
            <w:rStyle w:val="TextoNormalCaracter"/>
          </w:rPr>
          <w:t>268/1997</w:t>
        </w:r>
      </w:hyperlink>
      <w:r>
        <w:t xml:space="preserve">; </w:t>
      </w:r>
      <w:hyperlink w:anchor="AUTO_1997_285" w:history="1">
        <w:r w:rsidRPr="007D461E">
          <w:rPr>
            <w:rStyle w:val="TextoNormalCaracter"/>
          </w:rPr>
          <w:t>285/1997</w:t>
        </w:r>
      </w:hyperlink>
      <w:r>
        <w:t xml:space="preserve">; </w:t>
      </w:r>
      <w:hyperlink w:anchor="AUTO_1997_287" w:history="1">
        <w:r w:rsidRPr="007D461E">
          <w:rPr>
            <w:rStyle w:val="TextoNormalCaracter"/>
          </w:rPr>
          <w:t>287/1997</w:t>
        </w:r>
      </w:hyperlink>
      <w:r>
        <w:t>.</w:t>
      </w:r>
    </w:p>
    <w:p w:rsidR="007D461E" w:rsidRDefault="007D461E" w:rsidP="007D461E">
      <w:pPr>
        <w:pStyle w:val="SangriaFrancesaArticulo"/>
      </w:pPr>
      <w:r w:rsidRPr="007D461E">
        <w:rPr>
          <w:rStyle w:val="TextoNormalNegritaCaracter"/>
        </w:rPr>
        <w:t>Artículo 118.</w:t>
      </w:r>
      <w:r w:rsidRPr="007D461E">
        <w:rPr>
          <w:rStyle w:val="TextoNormalCaracter"/>
        </w:rPr>
        <w:t>-</w:t>
      </w:r>
      <w:r>
        <w:t xml:space="preserve"> Sentencia </w:t>
      </w:r>
      <w:hyperlink w:anchor="SENTENCIA_1997_136" w:history="1">
        <w:r w:rsidRPr="007D461E">
          <w:rPr>
            <w:rStyle w:val="TextoNormalCaracter"/>
          </w:rPr>
          <w:t>136/1997</w:t>
        </w:r>
      </w:hyperlink>
      <w:r>
        <w:t>, ff. 2, 4.</w:t>
      </w:r>
    </w:p>
    <w:p w:rsidR="007D461E" w:rsidRDefault="007D461E" w:rsidP="007D461E">
      <w:pPr>
        <w:pStyle w:val="SangriaIzquierdaArticulo"/>
      </w:pPr>
      <w:r>
        <w:t xml:space="preserve">Autos </w:t>
      </w:r>
      <w:hyperlink w:anchor="AUTO_1997_140" w:history="1">
        <w:r w:rsidRPr="007D461E">
          <w:rPr>
            <w:rStyle w:val="TextoNormalCaracter"/>
          </w:rPr>
          <w:t>140/1997</w:t>
        </w:r>
      </w:hyperlink>
      <w:r>
        <w:t xml:space="preserve">; </w:t>
      </w:r>
      <w:hyperlink w:anchor="AUTO_1997_186" w:history="1">
        <w:r w:rsidRPr="007D461E">
          <w:rPr>
            <w:rStyle w:val="TextoNormalCaracter"/>
          </w:rPr>
          <w:t>186/1997</w:t>
        </w:r>
      </w:hyperlink>
      <w:r>
        <w:t xml:space="preserve">; </w:t>
      </w:r>
      <w:hyperlink w:anchor="AUTO_1997_214" w:history="1">
        <w:r w:rsidRPr="007D461E">
          <w:rPr>
            <w:rStyle w:val="TextoNormalCaracter"/>
          </w:rPr>
          <w:t>214/1997</w:t>
        </w:r>
      </w:hyperlink>
      <w:r>
        <w:t>.</w:t>
      </w:r>
    </w:p>
    <w:p w:rsidR="007D461E" w:rsidRDefault="007D461E" w:rsidP="007D461E">
      <w:pPr>
        <w:pStyle w:val="SangriaFrancesaArticulo"/>
      </w:pPr>
      <w:r w:rsidRPr="007D461E">
        <w:rPr>
          <w:rStyle w:val="TextoNormalNegritaCaracter"/>
        </w:rPr>
        <w:t>Artículo 120.3.</w:t>
      </w:r>
      <w:r w:rsidRPr="007D461E">
        <w:rPr>
          <w:rStyle w:val="TextoNormalCaracter"/>
        </w:rPr>
        <w:t>-</w:t>
      </w:r>
      <w:r>
        <w:t xml:space="preserve"> Sentencias </w:t>
      </w:r>
      <w:hyperlink w:anchor="SENTENCIA_1997_94" w:history="1">
        <w:r w:rsidRPr="007D461E">
          <w:rPr>
            <w:rStyle w:val="TextoNormalCaracter"/>
          </w:rPr>
          <w:t>94/1997</w:t>
        </w:r>
      </w:hyperlink>
      <w:r>
        <w:t xml:space="preserve">, f. 3; </w:t>
      </w:r>
      <w:hyperlink w:anchor="SENTENCIA_1997_117" w:history="1">
        <w:r w:rsidRPr="007D461E">
          <w:rPr>
            <w:rStyle w:val="TextoNormalCaracter"/>
          </w:rPr>
          <w:t>117/1997</w:t>
        </w:r>
      </w:hyperlink>
      <w:r>
        <w:t xml:space="preserve">, f. 2; </w:t>
      </w:r>
      <w:hyperlink w:anchor="SENTENCIA_1997_123" w:history="1">
        <w:r w:rsidRPr="007D461E">
          <w:rPr>
            <w:rStyle w:val="TextoNormalCaracter"/>
          </w:rPr>
          <w:t>123/1997</w:t>
        </w:r>
      </w:hyperlink>
      <w:r>
        <w:t xml:space="preserve">, f. 3; </w:t>
      </w:r>
      <w:hyperlink w:anchor="SENTENCIA_1997_139" w:history="1">
        <w:r w:rsidRPr="007D461E">
          <w:rPr>
            <w:rStyle w:val="TextoNormalCaracter"/>
          </w:rPr>
          <w:t>139/1997</w:t>
        </w:r>
      </w:hyperlink>
      <w:r>
        <w:t>, f. 3.</w:t>
      </w:r>
    </w:p>
    <w:p w:rsidR="007D461E" w:rsidRDefault="007D461E" w:rsidP="007D461E">
      <w:pPr>
        <w:pStyle w:val="SangriaFrancesaArticulo"/>
      </w:pPr>
      <w:r w:rsidRPr="007D461E">
        <w:rPr>
          <w:rStyle w:val="TextoNormalNegritaCaracter"/>
        </w:rPr>
        <w:t>Artículo 121.</w:t>
      </w:r>
      <w:r w:rsidRPr="007D461E">
        <w:rPr>
          <w:rStyle w:val="TextoNormalCaracter"/>
        </w:rPr>
        <w:t>-</w:t>
      </w:r>
      <w:r>
        <w:t xml:space="preserve"> Sentencia </w:t>
      </w:r>
      <w:hyperlink w:anchor="SENTENCIA_1997_109" w:history="1">
        <w:r w:rsidRPr="007D461E">
          <w:rPr>
            <w:rStyle w:val="TextoNormalCaracter"/>
          </w:rPr>
          <w:t>109/1997</w:t>
        </w:r>
      </w:hyperlink>
      <w:r>
        <w:t>, f. 3.</w:t>
      </w:r>
    </w:p>
    <w:p w:rsidR="007D461E" w:rsidRDefault="007D461E" w:rsidP="007D461E">
      <w:pPr>
        <w:pStyle w:val="SangriaFrancesaArticulo"/>
      </w:pPr>
      <w:r w:rsidRPr="007D461E">
        <w:rPr>
          <w:rStyle w:val="TextoNormalNegritaCaracter"/>
        </w:rPr>
        <w:t>Artículo 122.1.</w:t>
      </w:r>
      <w:r w:rsidRPr="007D461E">
        <w:rPr>
          <w:rStyle w:val="TextoNormalCaracter"/>
        </w:rPr>
        <w:t>-</w:t>
      </w:r>
      <w:r>
        <w:t xml:space="preserve"> Auto </w:t>
      </w:r>
      <w:hyperlink w:anchor="AUTO_1997_292" w:history="1">
        <w:r w:rsidRPr="007D461E">
          <w:rPr>
            <w:rStyle w:val="TextoNormalCaracter"/>
          </w:rPr>
          <w:t>292/1997</w:t>
        </w:r>
      </w:hyperlink>
      <w:r>
        <w:t>.</w:t>
      </w:r>
    </w:p>
    <w:p w:rsidR="007D461E" w:rsidRDefault="007D461E" w:rsidP="007D461E">
      <w:pPr>
        <w:pStyle w:val="SangriaFrancesaArticulo"/>
      </w:pPr>
      <w:r w:rsidRPr="007D461E">
        <w:rPr>
          <w:rStyle w:val="TextoNormalNegritaCaracter"/>
        </w:rPr>
        <w:t>Artículo 123.</w:t>
      </w:r>
      <w:r w:rsidRPr="007D461E">
        <w:rPr>
          <w:rStyle w:val="TextoNormalCaracter"/>
        </w:rPr>
        <w:t>-</w:t>
      </w:r>
      <w:r>
        <w:t xml:space="preserve"> Sentencias </w:t>
      </w:r>
      <w:hyperlink w:anchor="SENTENCIA_1997_116" w:history="1">
        <w:r w:rsidRPr="007D461E">
          <w:rPr>
            <w:rStyle w:val="TextoNormalCaracter"/>
          </w:rPr>
          <w:t>116/1997</w:t>
        </w:r>
      </w:hyperlink>
      <w:r>
        <w:t xml:space="preserve">, f. 4; </w:t>
      </w:r>
      <w:hyperlink w:anchor="SENTENCIA_1997_125" w:history="1">
        <w:r w:rsidRPr="007D461E">
          <w:rPr>
            <w:rStyle w:val="TextoNormalCaracter"/>
          </w:rPr>
          <w:t>125/1997</w:t>
        </w:r>
      </w:hyperlink>
      <w:r>
        <w:t>, f. 5, VP II.</w:t>
      </w:r>
    </w:p>
    <w:p w:rsidR="007D461E" w:rsidRDefault="007D461E" w:rsidP="007D461E">
      <w:pPr>
        <w:pStyle w:val="SangriaIzquierdaArticulo"/>
      </w:pPr>
      <w:r>
        <w:t xml:space="preserve">Autos </w:t>
      </w:r>
      <w:hyperlink w:anchor="AUTO_1997_147" w:history="1">
        <w:r w:rsidRPr="007D461E">
          <w:rPr>
            <w:rStyle w:val="TextoNormalCaracter"/>
          </w:rPr>
          <w:t>147/1997</w:t>
        </w:r>
      </w:hyperlink>
      <w:r>
        <w:t xml:space="preserve">; </w:t>
      </w:r>
      <w:hyperlink w:anchor="AUTO_1997_236" w:history="1">
        <w:r w:rsidRPr="007D461E">
          <w:rPr>
            <w:rStyle w:val="TextoNormalCaracter"/>
          </w:rPr>
          <w:t>236/1997</w:t>
        </w:r>
      </w:hyperlink>
      <w:r>
        <w:t>.</w:t>
      </w:r>
    </w:p>
    <w:p w:rsidR="007D461E" w:rsidRDefault="007D461E" w:rsidP="007D461E">
      <w:pPr>
        <w:pStyle w:val="SangriaFrancesaArticulo"/>
      </w:pPr>
      <w:r w:rsidRPr="007D461E">
        <w:rPr>
          <w:rStyle w:val="TextoNormalNegritaCaracter"/>
        </w:rPr>
        <w:t>Artículo 123.1.</w:t>
      </w:r>
      <w:r w:rsidRPr="007D461E">
        <w:rPr>
          <w:rStyle w:val="TextoNormalCaracter"/>
        </w:rPr>
        <w:t>-</w:t>
      </w:r>
      <w:r>
        <w:t xml:space="preserve"> Sentencias </w:t>
      </w:r>
      <w:hyperlink w:anchor="SENTENCIA_1997_96" w:history="1">
        <w:r w:rsidRPr="007D461E">
          <w:rPr>
            <w:rStyle w:val="TextoNormalCaracter"/>
          </w:rPr>
          <w:t>96/1997</w:t>
        </w:r>
      </w:hyperlink>
      <w:r>
        <w:t xml:space="preserve">, f. 5; </w:t>
      </w:r>
      <w:hyperlink w:anchor="SENTENCIA_1997_126" w:history="1">
        <w:r w:rsidRPr="007D461E">
          <w:rPr>
            <w:rStyle w:val="TextoNormalCaracter"/>
          </w:rPr>
          <w:t>126/1997</w:t>
        </w:r>
      </w:hyperlink>
      <w:r>
        <w:t>, f. 5.</w:t>
      </w:r>
    </w:p>
    <w:p w:rsidR="007D461E" w:rsidRDefault="007D461E" w:rsidP="007D461E">
      <w:pPr>
        <w:pStyle w:val="SangriaIzquierdaArticulo"/>
      </w:pPr>
      <w:r>
        <w:t xml:space="preserve">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130.1.</w:t>
      </w:r>
      <w:r w:rsidRPr="007D461E">
        <w:rPr>
          <w:rStyle w:val="TextoNormalCaracter"/>
        </w:rPr>
        <w:t>-</w:t>
      </w:r>
      <w:r>
        <w:t xml:space="preserve"> Sentencia </w:t>
      </w:r>
      <w:hyperlink w:anchor="SENTENCIA_1997_133" w:history="1">
        <w:r w:rsidRPr="007D461E">
          <w:rPr>
            <w:rStyle w:val="TextoNormalCaracter"/>
          </w:rPr>
          <w:t>133/1997</w:t>
        </w:r>
      </w:hyperlink>
      <w:r>
        <w:t>, f. 4.</w:t>
      </w:r>
    </w:p>
    <w:p w:rsidR="007D461E" w:rsidRDefault="007D461E" w:rsidP="007D461E">
      <w:pPr>
        <w:pStyle w:val="SangriaFrancesaArticulo"/>
      </w:pPr>
      <w:r w:rsidRPr="007D461E">
        <w:rPr>
          <w:rStyle w:val="TextoNormalNegritaCaracter"/>
        </w:rPr>
        <w:t>Artículo 131.1.</w:t>
      </w:r>
      <w:r w:rsidRPr="007D461E">
        <w:rPr>
          <w:rStyle w:val="TextoNormalCaracter"/>
        </w:rPr>
        <w:t>-</w:t>
      </w:r>
      <w:r>
        <w:t xml:space="preserve"> Sentencia </w:t>
      </w:r>
      <w:hyperlink w:anchor="SENTENCIA_1997_133" w:history="1">
        <w:r w:rsidRPr="007D461E">
          <w:rPr>
            <w:rStyle w:val="TextoNormalCaracter"/>
          </w:rPr>
          <w:t>133/1997</w:t>
        </w:r>
      </w:hyperlink>
      <w:r>
        <w:t>, f. 4.</w:t>
      </w:r>
    </w:p>
    <w:p w:rsidR="007D461E" w:rsidRDefault="007D461E" w:rsidP="007D461E">
      <w:pPr>
        <w:pStyle w:val="SangriaFrancesaArticulo"/>
      </w:pPr>
      <w:r w:rsidRPr="007D461E">
        <w:rPr>
          <w:rStyle w:val="TextoNormalNegritaCaracter"/>
        </w:rPr>
        <w:t>Artículo 138.1.</w:t>
      </w:r>
      <w:r w:rsidRPr="007D461E">
        <w:rPr>
          <w:rStyle w:val="TextoNormalCaracter"/>
        </w:rPr>
        <w:t>-</w:t>
      </w:r>
      <w:r>
        <w:t xml:space="preserve"> Sentencia </w:t>
      </w:r>
      <w:hyperlink w:anchor="SENTENCIA_1997_133" w:history="1">
        <w:r w:rsidRPr="007D461E">
          <w:rPr>
            <w:rStyle w:val="TextoNormalCaracter"/>
          </w:rPr>
          <w:t>133/1997</w:t>
        </w:r>
      </w:hyperlink>
      <w:r>
        <w:t>, f. 4.</w:t>
      </w:r>
    </w:p>
    <w:p w:rsidR="007D461E" w:rsidRDefault="007D461E" w:rsidP="007D461E">
      <w:pPr>
        <w:pStyle w:val="SangriaFrancesaArticulo"/>
      </w:pPr>
      <w:r w:rsidRPr="007D461E">
        <w:rPr>
          <w:rStyle w:val="TextoNormalNegritaCaracter"/>
        </w:rPr>
        <w:t>Artículo 139.2.</w:t>
      </w:r>
      <w:r w:rsidRPr="007D461E">
        <w:rPr>
          <w:rStyle w:val="TextoNormalCaracter"/>
        </w:rPr>
        <w:t>-</w:t>
      </w:r>
      <w:r>
        <w:t xml:space="preserve"> Sentencia </w:t>
      </w:r>
      <w:hyperlink w:anchor="SENTENCIA_1997_133" w:history="1">
        <w:r w:rsidRPr="007D461E">
          <w:rPr>
            <w:rStyle w:val="TextoNormalCaracter"/>
          </w:rPr>
          <w:t>133/1997</w:t>
        </w:r>
      </w:hyperlink>
      <w:r>
        <w:t>, ff. 4, 7.</w:t>
      </w:r>
    </w:p>
    <w:p w:rsidR="007D461E" w:rsidRDefault="007D461E" w:rsidP="007D461E">
      <w:pPr>
        <w:pStyle w:val="SangriaFrancesaArticulo"/>
      </w:pPr>
      <w:r w:rsidRPr="007D461E">
        <w:rPr>
          <w:rStyle w:val="TextoNormalNegritaCaracter"/>
        </w:rPr>
        <w:t>Artículo 148.1.17.</w:t>
      </w:r>
      <w:r w:rsidRPr="007D461E">
        <w:rPr>
          <w:rStyle w:val="TextoNormalCaracter"/>
        </w:rPr>
        <w:t>-</w:t>
      </w:r>
      <w:r>
        <w:t xml:space="preserve"> Sentencia </w:t>
      </w:r>
      <w:hyperlink w:anchor="SENTENCIA_1997_134" w:history="1">
        <w:r w:rsidRPr="007D461E">
          <w:rPr>
            <w:rStyle w:val="TextoNormalCaracter"/>
          </w:rPr>
          <w:t>134/1997</w:t>
        </w:r>
      </w:hyperlink>
      <w:r>
        <w:t>, ff. 1, 2, 5.</w:t>
      </w:r>
    </w:p>
    <w:p w:rsidR="007D461E" w:rsidRDefault="007D461E" w:rsidP="007D461E">
      <w:pPr>
        <w:pStyle w:val="SangriaFrancesaArticulo"/>
      </w:pPr>
      <w:r w:rsidRPr="007D461E">
        <w:rPr>
          <w:rStyle w:val="TextoNormalNegritaCaracter"/>
        </w:rPr>
        <w:t>Artículo 149.</w:t>
      </w:r>
      <w:r w:rsidRPr="007D461E">
        <w:rPr>
          <w:rStyle w:val="TextoNormalCaracter"/>
        </w:rPr>
        <w:t>-</w:t>
      </w:r>
      <w:r>
        <w:t xml:space="preserve"> Sentencia </w:t>
      </w:r>
      <w:hyperlink w:anchor="SENTENCIA_1997_133" w:history="1">
        <w:r w:rsidRPr="007D461E">
          <w:rPr>
            <w:rStyle w:val="TextoNormalCaracter"/>
          </w:rPr>
          <w:t>133/1997</w:t>
        </w:r>
      </w:hyperlink>
      <w:r>
        <w:t>, f. 6.</w:t>
      </w:r>
    </w:p>
    <w:p w:rsidR="007D461E" w:rsidRDefault="007D461E" w:rsidP="007D461E">
      <w:pPr>
        <w:pStyle w:val="SangriaFrancesaArticulo"/>
      </w:pPr>
      <w:r w:rsidRPr="007D461E">
        <w:rPr>
          <w:rStyle w:val="TextoNormalNegritaCaracter"/>
        </w:rPr>
        <w:t>Artículo 149.1.</w:t>
      </w:r>
      <w:r w:rsidRPr="007D461E">
        <w:rPr>
          <w:rStyle w:val="TextoNormalCaracter"/>
        </w:rPr>
        <w:t>-</w:t>
      </w:r>
      <w:r>
        <w:t xml:space="preserve"> Sentencia </w:t>
      </w:r>
      <w:hyperlink w:anchor="SENTENCIA_1997_133" w:history="1">
        <w:r w:rsidRPr="007D461E">
          <w:rPr>
            <w:rStyle w:val="TextoNormalCaracter"/>
          </w:rPr>
          <w:t>133/1997</w:t>
        </w:r>
      </w:hyperlink>
      <w:r>
        <w:t>, ff. 2, 4.</w:t>
      </w:r>
    </w:p>
    <w:p w:rsidR="007D461E" w:rsidRDefault="007D461E" w:rsidP="007D461E">
      <w:pPr>
        <w:pStyle w:val="SangriaFrancesaArticulo"/>
      </w:pPr>
      <w:r w:rsidRPr="007D461E">
        <w:rPr>
          <w:rStyle w:val="TextoNormalNegritaCaracter"/>
        </w:rPr>
        <w:t>Artículo 149.1.1.</w:t>
      </w:r>
      <w:r w:rsidRPr="007D461E">
        <w:rPr>
          <w:rStyle w:val="TextoNormalCaracter"/>
        </w:rPr>
        <w:t>-</w:t>
      </w:r>
      <w:r>
        <w:t xml:space="preserve"> Sentencia </w:t>
      </w:r>
      <w:hyperlink w:anchor="SENTENCIA_1997_133" w:history="1">
        <w:r w:rsidRPr="007D461E">
          <w:rPr>
            <w:rStyle w:val="TextoNormalCaracter"/>
          </w:rPr>
          <w:t>133/1997</w:t>
        </w:r>
      </w:hyperlink>
      <w:r>
        <w:t>, ff. 10, 13.</w:t>
      </w:r>
    </w:p>
    <w:p w:rsidR="007D461E" w:rsidRDefault="007D461E" w:rsidP="007D461E">
      <w:pPr>
        <w:pStyle w:val="SangriaFrancesaArticulo"/>
      </w:pPr>
      <w:r w:rsidRPr="007D461E">
        <w:rPr>
          <w:rStyle w:val="TextoNormalNegritaCaracter"/>
        </w:rPr>
        <w:t>Artículo 149.1.4.</w:t>
      </w:r>
      <w:r w:rsidRPr="007D461E">
        <w:rPr>
          <w:rStyle w:val="TextoNormalCaracter"/>
        </w:rPr>
        <w:t>-</w:t>
      </w:r>
      <w:r>
        <w:t xml:space="preserve"> Sentencia </w:t>
      </w:r>
      <w:hyperlink w:anchor="SENTENCIA_1997_134" w:history="1">
        <w:r w:rsidRPr="007D461E">
          <w:rPr>
            <w:rStyle w:val="TextoNormalCaracter"/>
          </w:rPr>
          <w:t>134/1997</w:t>
        </w:r>
      </w:hyperlink>
      <w:r>
        <w:t>, ff. 1, 3.</w:t>
      </w:r>
    </w:p>
    <w:p w:rsidR="007D461E" w:rsidRDefault="007D461E" w:rsidP="007D461E">
      <w:pPr>
        <w:pStyle w:val="SangriaFrancesaArticulo"/>
      </w:pPr>
      <w:r w:rsidRPr="007D461E">
        <w:rPr>
          <w:rStyle w:val="TextoNormalNegritaCaracter"/>
        </w:rPr>
        <w:t>Artículo 149.1.6.</w:t>
      </w:r>
      <w:r w:rsidRPr="007D461E">
        <w:rPr>
          <w:rStyle w:val="TextoNormalCaracter"/>
        </w:rPr>
        <w:t>-</w:t>
      </w:r>
      <w:r>
        <w:t xml:space="preserve"> Sentencia </w:t>
      </w:r>
      <w:hyperlink w:anchor="SENTENCIA_1997_133" w:history="1">
        <w:r w:rsidRPr="007D461E">
          <w:rPr>
            <w:rStyle w:val="TextoNormalCaracter"/>
          </w:rPr>
          <w:t>133/1997</w:t>
        </w:r>
      </w:hyperlink>
      <w:r>
        <w:t>, ff. 2, 4 a 6, 9, 10, 13, 15, 16.</w:t>
      </w:r>
    </w:p>
    <w:p w:rsidR="007D461E" w:rsidRDefault="007D461E" w:rsidP="007D461E">
      <w:pPr>
        <w:pStyle w:val="SangriaFrancesaArticulo"/>
      </w:pPr>
      <w:r w:rsidRPr="007D461E">
        <w:rPr>
          <w:rStyle w:val="TextoNormalNegritaCaracter"/>
        </w:rPr>
        <w:t>Artículo 149.1.11.</w:t>
      </w:r>
      <w:r w:rsidRPr="007D461E">
        <w:rPr>
          <w:rStyle w:val="TextoNormalCaracter"/>
        </w:rPr>
        <w:t>-</w:t>
      </w:r>
      <w:r>
        <w:t xml:space="preserve"> Sentencia </w:t>
      </w:r>
      <w:hyperlink w:anchor="SENTENCIA_1997_133" w:history="1">
        <w:r w:rsidRPr="007D461E">
          <w:rPr>
            <w:rStyle w:val="TextoNormalCaracter"/>
          </w:rPr>
          <w:t>133/1997</w:t>
        </w:r>
      </w:hyperlink>
      <w:r>
        <w:t>, ff. 2, 4 a 7, 9, 10, 15, 16.</w:t>
      </w:r>
    </w:p>
    <w:p w:rsidR="007D461E" w:rsidRDefault="007D461E" w:rsidP="007D461E">
      <w:pPr>
        <w:pStyle w:val="SangriaFrancesaArticulo"/>
      </w:pPr>
      <w:r w:rsidRPr="007D461E">
        <w:rPr>
          <w:rStyle w:val="TextoNormalNegritaCaracter"/>
        </w:rPr>
        <w:t>Artículo 149.1.13.</w:t>
      </w:r>
      <w:r w:rsidRPr="007D461E">
        <w:rPr>
          <w:rStyle w:val="TextoNormalCaracter"/>
        </w:rPr>
        <w:t>-</w:t>
      </w:r>
      <w:r>
        <w:t xml:space="preserve"> Sentencias </w:t>
      </w:r>
      <w:hyperlink w:anchor="SENTENCIA_1997_103" w:history="1">
        <w:r w:rsidRPr="007D461E">
          <w:rPr>
            <w:rStyle w:val="TextoNormalCaracter"/>
          </w:rPr>
          <w:t>103/1997</w:t>
        </w:r>
      </w:hyperlink>
      <w:r>
        <w:t xml:space="preserve">, f. 1; </w:t>
      </w:r>
      <w:hyperlink w:anchor="SENTENCIA_1997_133" w:history="1">
        <w:r w:rsidRPr="007D461E">
          <w:rPr>
            <w:rStyle w:val="TextoNormalCaracter"/>
          </w:rPr>
          <w:t>133/1997</w:t>
        </w:r>
      </w:hyperlink>
      <w:r>
        <w:t>, ff. 2, 4 a 6, 9, 15, 17, 18.</w:t>
      </w:r>
    </w:p>
    <w:p w:rsidR="007D461E" w:rsidRDefault="007D461E" w:rsidP="007D461E">
      <w:pPr>
        <w:pStyle w:val="SangriaFrancesaArticulo"/>
      </w:pPr>
      <w:r w:rsidRPr="007D461E">
        <w:rPr>
          <w:rStyle w:val="TextoNormalNegritaCaracter"/>
        </w:rPr>
        <w:t>Artículo 149.1.18.</w:t>
      </w:r>
      <w:r w:rsidRPr="007D461E">
        <w:rPr>
          <w:rStyle w:val="TextoNormalCaracter"/>
        </w:rPr>
        <w:t>-</w:t>
      </w:r>
      <w:r>
        <w:t xml:space="preserve"> Sentencias </w:t>
      </w:r>
      <w:hyperlink w:anchor="SENTENCIA_1997_103" w:history="1">
        <w:r w:rsidRPr="007D461E">
          <w:rPr>
            <w:rStyle w:val="TextoNormalCaracter"/>
          </w:rPr>
          <w:t>103/1997</w:t>
        </w:r>
      </w:hyperlink>
      <w:r>
        <w:t xml:space="preserve">, ff. 1, 2, 4; </w:t>
      </w:r>
      <w:hyperlink w:anchor="SENTENCIA_1997_133" w:history="1">
        <w:r w:rsidRPr="007D461E">
          <w:rPr>
            <w:rStyle w:val="TextoNormalCaracter"/>
          </w:rPr>
          <w:t>133/1997</w:t>
        </w:r>
      </w:hyperlink>
      <w:r>
        <w:t>, f. 13.</w:t>
      </w:r>
    </w:p>
    <w:p w:rsidR="007D461E" w:rsidRDefault="007D461E" w:rsidP="007D461E">
      <w:pPr>
        <w:pStyle w:val="SangriaFrancesaArticulo"/>
      </w:pPr>
      <w:r w:rsidRPr="007D461E">
        <w:rPr>
          <w:rStyle w:val="TextoNormalNegritaCaracter"/>
        </w:rPr>
        <w:t>Artículo 149.1.30.</w:t>
      </w:r>
      <w:r w:rsidRPr="007D461E">
        <w:rPr>
          <w:rStyle w:val="TextoNormalCaracter"/>
        </w:rPr>
        <w:t>-</w:t>
      </w:r>
      <w:r>
        <w:t xml:space="preserve"> Sentencia </w:t>
      </w:r>
      <w:hyperlink w:anchor="SENTENCIA_1997_134" w:history="1">
        <w:r w:rsidRPr="007D461E">
          <w:rPr>
            <w:rStyle w:val="TextoNormalCaracter"/>
          </w:rPr>
          <w:t>134/1997</w:t>
        </w:r>
      </w:hyperlink>
      <w:r>
        <w:t>, ff. 4, 5.</w:t>
      </w:r>
    </w:p>
    <w:p w:rsidR="007D461E" w:rsidRDefault="007D461E" w:rsidP="007D461E">
      <w:pPr>
        <w:pStyle w:val="SangriaFrancesaArticulo"/>
      </w:pPr>
      <w:r w:rsidRPr="007D461E">
        <w:rPr>
          <w:rStyle w:val="TextoNormalNegritaCaracter"/>
        </w:rPr>
        <w:t>Artículo 149.3.</w:t>
      </w:r>
      <w:r w:rsidRPr="007D461E">
        <w:rPr>
          <w:rStyle w:val="TextoNormalCaracter"/>
        </w:rPr>
        <w:t>-</w:t>
      </w:r>
      <w:r>
        <w:t xml:space="preserve"> Sentencia </w:t>
      </w:r>
      <w:hyperlink w:anchor="SENTENCIA_1997_133" w:history="1">
        <w:r w:rsidRPr="007D461E">
          <w:rPr>
            <w:rStyle w:val="TextoNormalCaracter"/>
          </w:rPr>
          <w:t>133/1997</w:t>
        </w:r>
      </w:hyperlink>
      <w:r>
        <w:t>, ff. 2, 3, 15.</w:t>
      </w:r>
    </w:p>
    <w:p w:rsidR="007D461E" w:rsidRDefault="007D461E" w:rsidP="007D461E">
      <w:pPr>
        <w:pStyle w:val="SangriaFrancesaArticulo"/>
      </w:pPr>
      <w:r w:rsidRPr="007D461E">
        <w:rPr>
          <w:rStyle w:val="TextoNormalNegritaCaracter"/>
        </w:rPr>
        <w:t>Artículo 152.1.</w:t>
      </w:r>
      <w:r w:rsidRPr="007D461E">
        <w:rPr>
          <w:rStyle w:val="TextoNormalCaracter"/>
        </w:rPr>
        <w:t>-</w:t>
      </w:r>
      <w:r>
        <w:t xml:space="preserve"> Sentencia </w:t>
      </w:r>
      <w:hyperlink w:anchor="SENTENCIA_1997_132" w:history="1">
        <w:r w:rsidRPr="007D461E">
          <w:rPr>
            <w:rStyle w:val="TextoNormalCaracter"/>
          </w:rPr>
          <w:t>132/1997</w:t>
        </w:r>
      </w:hyperlink>
      <w:r>
        <w:t>, f. 6.</w:t>
      </w:r>
    </w:p>
    <w:p w:rsidR="007D461E" w:rsidRDefault="007D461E" w:rsidP="007D461E">
      <w:pPr>
        <w:pStyle w:val="SangriaFrancesaArticulo"/>
      </w:pPr>
      <w:r w:rsidRPr="007D461E">
        <w:rPr>
          <w:rStyle w:val="TextoNormalNegritaCaracter"/>
        </w:rPr>
        <w:t>Artículo 156.1.</w:t>
      </w:r>
      <w:r w:rsidRPr="007D461E">
        <w:rPr>
          <w:rStyle w:val="TextoNormalCaracter"/>
        </w:rPr>
        <w:t>-</w:t>
      </w:r>
      <w:r>
        <w:t xml:space="preserve"> Sentencia </w:t>
      </w:r>
      <w:hyperlink w:anchor="SENTENCIA_1997_103" w:history="1">
        <w:r w:rsidRPr="007D461E">
          <w:rPr>
            <w:rStyle w:val="TextoNormalCaracter"/>
          </w:rPr>
          <w:t>103/1997</w:t>
        </w:r>
      </w:hyperlink>
      <w:r>
        <w:t>, f. 1.</w:t>
      </w:r>
    </w:p>
    <w:p w:rsidR="007D461E" w:rsidRDefault="007D461E" w:rsidP="007D461E">
      <w:pPr>
        <w:pStyle w:val="SangriaFrancesaArticulo"/>
      </w:pPr>
      <w:r w:rsidRPr="007D461E">
        <w:rPr>
          <w:rStyle w:val="TextoNormalNegritaCaracter"/>
        </w:rPr>
        <w:t>Artículo 161.</w:t>
      </w:r>
      <w:r w:rsidRPr="007D461E">
        <w:rPr>
          <w:rStyle w:val="TextoNormalCaracter"/>
        </w:rPr>
        <w:t>-</w:t>
      </w:r>
      <w:r>
        <w:t xml:space="preserve"> Sentencias </w:t>
      </w:r>
      <w:hyperlink w:anchor="SENTENCIA_1997_125" w:history="1">
        <w:r w:rsidRPr="007D461E">
          <w:rPr>
            <w:rStyle w:val="TextoNormalCaracter"/>
          </w:rPr>
          <w:t>125/1997</w:t>
        </w:r>
      </w:hyperlink>
      <w:r>
        <w:t xml:space="preserve">, VP II; </w:t>
      </w:r>
      <w:hyperlink w:anchor="SENTENCIA_1997_126" w:history="1">
        <w:r w:rsidRPr="007D461E">
          <w:rPr>
            <w:rStyle w:val="TextoNormalCaracter"/>
          </w:rPr>
          <w:t>126/1997</w:t>
        </w:r>
      </w:hyperlink>
      <w:r>
        <w:t>, f. 5.</w:t>
      </w:r>
    </w:p>
    <w:p w:rsidR="007D461E" w:rsidRDefault="007D461E" w:rsidP="007D461E">
      <w:pPr>
        <w:pStyle w:val="SangriaFrancesaArticulo"/>
      </w:pPr>
      <w:r w:rsidRPr="007D461E">
        <w:rPr>
          <w:rStyle w:val="TextoNormalNegritaCaracter"/>
        </w:rPr>
        <w:t>Artículo 161.1.</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161.1 a).</w:t>
      </w:r>
      <w:r w:rsidRPr="007D461E">
        <w:rPr>
          <w:rStyle w:val="TextoNormalCaracter"/>
        </w:rPr>
        <w:t>-</w:t>
      </w:r>
      <w:r>
        <w:t xml:space="preserve"> Sentencia </w:t>
      </w:r>
      <w:hyperlink w:anchor="SENTENCIA_1997_121" w:history="1">
        <w:r w:rsidRPr="007D461E">
          <w:rPr>
            <w:rStyle w:val="TextoNormalCaracter"/>
          </w:rPr>
          <w:t>121/1997</w:t>
        </w:r>
      </w:hyperlink>
      <w:r>
        <w:t>, f. 5.</w:t>
      </w:r>
    </w:p>
    <w:p w:rsidR="007D461E" w:rsidRDefault="007D461E" w:rsidP="007D461E">
      <w:pPr>
        <w:pStyle w:val="SangriaFrancesaArticulo"/>
      </w:pPr>
      <w:r w:rsidRPr="007D461E">
        <w:rPr>
          <w:rStyle w:val="TextoNormalNegritaCaracter"/>
        </w:rPr>
        <w:lastRenderedPageBreak/>
        <w:t>Artículo 161.1 b).</w:t>
      </w:r>
      <w:r w:rsidRPr="007D461E">
        <w:rPr>
          <w:rStyle w:val="TextoNormalCaracter"/>
        </w:rPr>
        <w:t>-</w:t>
      </w:r>
      <w:r>
        <w:t xml:space="preserve"> Sentencia </w:t>
      </w:r>
      <w:hyperlink w:anchor="SENTENCIA_1997_118" w:history="1">
        <w:r w:rsidRPr="007D461E">
          <w:rPr>
            <w:rStyle w:val="TextoNormalCaracter"/>
          </w:rPr>
          <w:t>118/1997</w:t>
        </w:r>
      </w:hyperlink>
      <w:r>
        <w:t>, VP.</w:t>
      </w:r>
    </w:p>
    <w:p w:rsidR="007D461E" w:rsidRDefault="007D461E" w:rsidP="007D461E">
      <w:pPr>
        <w:pStyle w:val="SangriaIzquierdaArticulo"/>
      </w:pPr>
      <w:r>
        <w:t xml:space="preserve">Auto </w:t>
      </w:r>
      <w:hyperlink w:anchor="AUTO_1997_137" w:history="1">
        <w:r w:rsidRPr="007D461E">
          <w:rPr>
            <w:rStyle w:val="TextoNormalCaracter"/>
          </w:rPr>
          <w:t>137/1997</w:t>
        </w:r>
      </w:hyperlink>
      <w:r>
        <w:t>.</w:t>
      </w:r>
    </w:p>
    <w:p w:rsidR="007D461E" w:rsidRDefault="007D461E" w:rsidP="007D461E">
      <w:pPr>
        <w:pStyle w:val="SangriaFrancesaArticulo"/>
      </w:pPr>
      <w:r w:rsidRPr="007D461E">
        <w:rPr>
          <w:rStyle w:val="TextoNormalNegritaCaracter"/>
        </w:rPr>
        <w:t>Artículo 161.2.</w:t>
      </w:r>
      <w:r w:rsidRPr="007D461E">
        <w:rPr>
          <w:rStyle w:val="TextoNormalCaracter"/>
        </w:rPr>
        <w:t>-</w:t>
      </w:r>
      <w:r>
        <w:t xml:space="preserve"> Autos </w:t>
      </w:r>
      <w:hyperlink w:anchor="AUTO_1997_231" w:history="1">
        <w:r w:rsidRPr="007D461E">
          <w:rPr>
            <w:rStyle w:val="TextoNormalCaracter"/>
          </w:rPr>
          <w:t>231/1997</w:t>
        </w:r>
      </w:hyperlink>
      <w:r>
        <w:t xml:space="preserve">; </w:t>
      </w:r>
      <w:hyperlink w:anchor="AUTO_1997_233" w:history="1">
        <w:r w:rsidRPr="007D461E">
          <w:rPr>
            <w:rStyle w:val="TextoNormalCaracter"/>
          </w:rPr>
          <w:t>233/1997</w:t>
        </w:r>
      </w:hyperlink>
      <w:r>
        <w:t xml:space="preserve">; </w:t>
      </w:r>
      <w:hyperlink w:anchor="AUTO_1997_260" w:history="1">
        <w:r w:rsidRPr="007D461E">
          <w:rPr>
            <w:rStyle w:val="TextoNormalCaracter"/>
          </w:rPr>
          <w:t>260/1997</w:t>
        </w:r>
      </w:hyperlink>
      <w:r>
        <w:t xml:space="preserve">; </w:t>
      </w:r>
      <w:hyperlink w:anchor="AUTO_1997_270" w:history="1">
        <w:r w:rsidRPr="007D461E">
          <w:rPr>
            <w:rStyle w:val="TextoNormalCaracter"/>
          </w:rPr>
          <w:t>270/1997</w:t>
        </w:r>
      </w:hyperlink>
      <w:r>
        <w:t xml:space="preserve">; </w:t>
      </w:r>
      <w:hyperlink w:anchor="AUTO_1997_271" w:history="1">
        <w:r w:rsidRPr="007D461E">
          <w:rPr>
            <w:rStyle w:val="TextoNormalCaracter"/>
          </w:rPr>
          <w:t>271/1997</w:t>
        </w:r>
      </w:hyperlink>
      <w:r>
        <w:t>.</w:t>
      </w:r>
    </w:p>
    <w:p w:rsidR="007D461E" w:rsidRDefault="007D461E" w:rsidP="007D461E">
      <w:pPr>
        <w:pStyle w:val="SangriaFrancesaArticulo"/>
      </w:pPr>
      <w:r w:rsidRPr="007D461E">
        <w:rPr>
          <w:rStyle w:val="TextoNormalNegritaCaracter"/>
        </w:rPr>
        <w:t>Artículo 162.1 b).</w:t>
      </w:r>
      <w:r w:rsidRPr="007D461E">
        <w:rPr>
          <w:rStyle w:val="TextoNormalCaracter"/>
        </w:rPr>
        <w:t>-</w:t>
      </w:r>
      <w:r>
        <w:t xml:space="preserve"> Sentencias </w:t>
      </w:r>
      <w:hyperlink w:anchor="SENTENCIA_1997_92" w:history="1">
        <w:r w:rsidRPr="007D461E">
          <w:rPr>
            <w:rStyle w:val="TextoNormalCaracter"/>
          </w:rPr>
          <w:t>92/1997</w:t>
        </w:r>
      </w:hyperlink>
      <w:r>
        <w:t xml:space="preserve">, f. 1; </w:t>
      </w:r>
      <w:hyperlink w:anchor="SENTENCIA_1997_140" w:history="1">
        <w:r w:rsidRPr="007D461E">
          <w:rPr>
            <w:rStyle w:val="TextoNormalCaracter"/>
          </w:rPr>
          <w:t>140/1997</w:t>
        </w:r>
      </w:hyperlink>
      <w:r>
        <w:t>, f. 1.</w:t>
      </w:r>
    </w:p>
    <w:p w:rsidR="007D461E" w:rsidRDefault="007D461E" w:rsidP="007D461E">
      <w:pPr>
        <w:pStyle w:val="SangriaFrancesaArticulo"/>
      </w:pPr>
      <w:r w:rsidRPr="007D461E">
        <w:rPr>
          <w:rStyle w:val="TextoNormalNegritaCaracter"/>
        </w:rPr>
        <w:t>Artículo 163.</w:t>
      </w:r>
      <w:r w:rsidRPr="007D461E">
        <w:rPr>
          <w:rStyle w:val="TextoNormalCaracter"/>
        </w:rPr>
        <w:t>-</w:t>
      </w:r>
      <w:r>
        <w:t xml:space="preserve"> Sentencia </w:t>
      </w:r>
      <w:hyperlink w:anchor="SENTENCIA_1997_126" w:history="1">
        <w:r w:rsidRPr="007D461E">
          <w:rPr>
            <w:rStyle w:val="TextoNormalCaracter"/>
          </w:rPr>
          <w:t>126/1997</w:t>
        </w:r>
      </w:hyperlink>
      <w:r>
        <w:t>, ff. 3, 5, VP II.</w:t>
      </w:r>
    </w:p>
    <w:p w:rsidR="007D461E" w:rsidRDefault="007D461E" w:rsidP="007D461E">
      <w:pPr>
        <w:pStyle w:val="SangriaIzquierdaArticulo"/>
      </w:pPr>
      <w:r>
        <w:t xml:space="preserve">Autos </w:t>
      </w:r>
      <w:hyperlink w:anchor="AUTO_1997_140" w:history="1">
        <w:r w:rsidRPr="007D461E">
          <w:rPr>
            <w:rStyle w:val="TextoNormalCaracter"/>
          </w:rPr>
          <w:t>140/1997</w:t>
        </w:r>
      </w:hyperlink>
      <w:r>
        <w:t xml:space="preserve">; </w:t>
      </w:r>
      <w:hyperlink w:anchor="AUTO_1997_260" w:history="1">
        <w:r w:rsidRPr="007D461E">
          <w:rPr>
            <w:rStyle w:val="TextoNormalCaracter"/>
          </w:rPr>
          <w:t>260/1997</w:t>
        </w:r>
      </w:hyperlink>
      <w:r>
        <w:t xml:space="preserve">;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164.</w:t>
      </w:r>
      <w:r w:rsidRPr="007D461E">
        <w:rPr>
          <w:rStyle w:val="TextoNormalCaracter"/>
        </w:rPr>
        <w:t>-</w:t>
      </w:r>
      <w:r>
        <w:t xml:space="preserve"> Sentencia </w:t>
      </w:r>
      <w:hyperlink w:anchor="SENTENCIA_1997_135" w:history="1">
        <w:r w:rsidRPr="007D461E">
          <w:rPr>
            <w:rStyle w:val="TextoNormalCaracter"/>
          </w:rPr>
          <w:t>135/1997</w:t>
        </w:r>
      </w:hyperlink>
      <w:r>
        <w:t>, f. 7.</w:t>
      </w:r>
    </w:p>
    <w:p w:rsidR="007D461E" w:rsidRDefault="007D461E" w:rsidP="007D461E">
      <w:pPr>
        <w:pStyle w:val="SangriaFrancesaArticulo"/>
      </w:pPr>
      <w:r w:rsidRPr="007D461E">
        <w:rPr>
          <w:rStyle w:val="TextoNormalNegritaCaracter"/>
        </w:rPr>
        <w:t>Artículo 164.1.</w:t>
      </w:r>
      <w:r w:rsidRPr="007D461E">
        <w:rPr>
          <w:rStyle w:val="TextoNormalCaracter"/>
        </w:rPr>
        <w:t>-</w:t>
      </w:r>
      <w:r>
        <w:t xml:space="preserve"> Sentencia </w:t>
      </w:r>
      <w:hyperlink w:anchor="SENTENCIA_1997_91" w:history="1">
        <w:r w:rsidRPr="007D461E">
          <w:rPr>
            <w:rStyle w:val="TextoNormalCaracter"/>
          </w:rPr>
          <w:t>91/1997</w:t>
        </w:r>
      </w:hyperlink>
      <w:r>
        <w:t>, f. 1.</w:t>
      </w:r>
    </w:p>
    <w:p w:rsidR="007D461E" w:rsidRDefault="007D461E" w:rsidP="007D461E">
      <w:pPr>
        <w:pStyle w:val="SangriaIzquierdaArticulo"/>
      </w:pPr>
      <w:r>
        <w:t xml:space="preserve">Auto </w:t>
      </w:r>
      <w:hyperlink w:anchor="AUTO_1997_137" w:history="1">
        <w:r w:rsidRPr="007D461E">
          <w:rPr>
            <w:rStyle w:val="TextoNormalCaracter"/>
          </w:rPr>
          <w:t>137/1997</w:t>
        </w:r>
      </w:hyperlink>
      <w:r>
        <w:t>.</w:t>
      </w:r>
    </w:p>
    <w:p w:rsidR="007D461E" w:rsidRDefault="007D461E" w:rsidP="007D461E">
      <w:pPr>
        <w:pStyle w:val="SangriaFrancesaArticulo"/>
      </w:pPr>
      <w:r w:rsidRPr="007D461E">
        <w:rPr>
          <w:rStyle w:val="TextoNormalNegritaCaracter"/>
        </w:rPr>
        <w:t>Disposición adicional primera.</w:t>
      </w:r>
      <w:r w:rsidRPr="007D461E">
        <w:rPr>
          <w:rStyle w:val="TextoNormalCaracter"/>
        </w:rPr>
        <w:t>-</w:t>
      </w:r>
      <w:r>
        <w:t xml:space="preserve"> Sentencia </w:t>
      </w:r>
      <w:hyperlink w:anchor="SENTENCIA_1997_126" w:history="1">
        <w:r w:rsidRPr="007D461E">
          <w:rPr>
            <w:rStyle w:val="TextoNormalCaracter"/>
          </w:rPr>
          <w:t>126/1997</w:t>
        </w:r>
      </w:hyperlink>
      <w:r>
        <w:t>, VP I.</w:t>
      </w:r>
    </w:p>
    <w:p w:rsidR="007D461E" w:rsidRDefault="007D461E" w:rsidP="007D461E">
      <w:pPr>
        <w:pStyle w:val="SangriaFrancesaArticulo"/>
      </w:pPr>
      <w:r w:rsidRPr="007D461E">
        <w:rPr>
          <w:rStyle w:val="TextoNormalNegritaCaracter"/>
        </w:rPr>
        <w:t>Disposición derogatoria, apartado 3.</w:t>
      </w:r>
      <w:r w:rsidRPr="007D461E">
        <w:rPr>
          <w:rStyle w:val="TextoNormalCaracter"/>
        </w:rPr>
        <w:t>-</w:t>
      </w:r>
      <w:r>
        <w:t xml:space="preserve"> Sentencia </w:t>
      </w:r>
      <w:hyperlink w:anchor="SENTENCIA_1997_126" w:history="1">
        <w:r w:rsidRPr="007D461E">
          <w:rPr>
            <w:rStyle w:val="TextoNormalCaracter"/>
          </w:rPr>
          <w:t>126/1997</w:t>
        </w:r>
      </w:hyperlink>
      <w:r>
        <w:t>, f. 4.</w:t>
      </w:r>
    </w:p>
    <w:p w:rsidR="007D461E" w:rsidRDefault="007D461E" w:rsidP="007D461E">
      <w:pPr>
        <w:pStyle w:val="TextoNormal"/>
      </w:pPr>
    </w:p>
    <w:p w:rsidR="007D461E" w:rsidRDefault="007D461E" w:rsidP="007D461E">
      <w:pPr>
        <w:pStyle w:val="SangriaFrancesaArticulo"/>
      </w:pPr>
      <w:bookmarkStart w:id="234" w:name="INDICE22843"/>
    </w:p>
    <w:bookmarkEnd w:id="234"/>
    <w:p w:rsidR="007D461E" w:rsidRDefault="007D461E" w:rsidP="007D461E">
      <w:pPr>
        <w:pStyle w:val="TextoIndiceNivel2"/>
        <w:suppressAutoHyphens/>
      </w:pPr>
      <w:r>
        <w:t>B) Tribunal Constitucional</w:t>
      </w:r>
    </w:p>
    <w:p w:rsidR="007D461E" w:rsidRDefault="007D461E" w:rsidP="007D461E">
      <w:pPr>
        <w:pStyle w:val="TextoIndiceNivel2"/>
      </w:pPr>
    </w:p>
    <w:p w:rsidR="007D461E" w:rsidRDefault="007D461E" w:rsidP="007D461E">
      <w:pPr>
        <w:pStyle w:val="TextoNormalNegritaCursivandice"/>
      </w:pPr>
      <w:r>
        <w:t>Ley Orgánica 2/1979, de 3 de octubre. Tribunal Constitucional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95" w:history="1">
        <w:r w:rsidRPr="007D461E">
          <w:rPr>
            <w:rStyle w:val="TextoNormalCaracter"/>
          </w:rPr>
          <w:t>95/1997</w:t>
        </w:r>
      </w:hyperlink>
      <w:r>
        <w:t xml:space="preserve">, f. 3; </w:t>
      </w:r>
      <w:hyperlink w:anchor="SENTENCIA_1997_126" w:history="1">
        <w:r w:rsidRPr="007D461E">
          <w:rPr>
            <w:rStyle w:val="TextoNormalCaracter"/>
          </w:rPr>
          <w:t>126/1997</w:t>
        </w:r>
      </w:hyperlink>
      <w:r>
        <w:t>, f. 2.</w:t>
      </w:r>
    </w:p>
    <w:p w:rsidR="007D461E" w:rsidRDefault="007D461E" w:rsidP="007D461E">
      <w:pPr>
        <w:pStyle w:val="SangriaFrancesaArticulo"/>
      </w:pPr>
      <w:r w:rsidRPr="007D461E">
        <w:rPr>
          <w:rStyle w:val="TextoNormalNegritaCaracter"/>
        </w:rPr>
        <w:t>Título V.</w:t>
      </w:r>
      <w:r w:rsidRPr="007D461E">
        <w:rPr>
          <w:rStyle w:val="TextoNormalCaracter"/>
        </w:rPr>
        <w:t>-</w:t>
      </w:r>
      <w:r>
        <w:t xml:space="preserve"> Auto </w:t>
      </w:r>
      <w:hyperlink w:anchor="AUTO_1997_189" w:history="1">
        <w:r w:rsidRPr="007D461E">
          <w:rPr>
            <w:rStyle w:val="TextoNormalCaracter"/>
          </w:rPr>
          <w:t>189/1997</w:t>
        </w:r>
      </w:hyperlink>
      <w:r>
        <w:t>.</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Sentencias </w:t>
      </w:r>
      <w:hyperlink w:anchor="SENTENCIA_1997_125" w:history="1">
        <w:r w:rsidRPr="007D461E">
          <w:rPr>
            <w:rStyle w:val="TextoNormalCaracter"/>
          </w:rPr>
          <w:t>125/1997</w:t>
        </w:r>
      </w:hyperlink>
      <w:r>
        <w:t xml:space="preserve">, VP II; </w:t>
      </w:r>
      <w:hyperlink w:anchor="SENTENCIA_1997_126" w:history="1">
        <w:r w:rsidRPr="007D461E">
          <w:rPr>
            <w:rStyle w:val="TextoNormalCaracter"/>
          </w:rPr>
          <w:t>126/1997</w:t>
        </w:r>
      </w:hyperlink>
      <w:r>
        <w:t>, f. 5.</w:t>
      </w:r>
    </w:p>
    <w:p w:rsidR="007D461E" w:rsidRDefault="007D461E" w:rsidP="007D461E">
      <w:pPr>
        <w:pStyle w:val="SangriaFrancesaArticulo"/>
      </w:pPr>
      <w:r w:rsidRPr="007D461E">
        <w:rPr>
          <w:rStyle w:val="TextoNormalNegritaCaracter"/>
        </w:rPr>
        <w:t>Artículo 1.1.</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2.1.</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3.</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4.2.</w:t>
      </w:r>
      <w:r w:rsidRPr="007D461E">
        <w:rPr>
          <w:rStyle w:val="TextoNormalCaracter"/>
        </w:rPr>
        <w:t>-</w:t>
      </w:r>
      <w:r>
        <w:t xml:space="preserve"> Sentencia </w:t>
      </w:r>
      <w:hyperlink w:anchor="SENTENCIA_1997_126" w:history="1">
        <w:r w:rsidRPr="007D461E">
          <w:rPr>
            <w:rStyle w:val="TextoNormalCaracter"/>
          </w:rPr>
          <w:t>126/1997</w:t>
        </w:r>
      </w:hyperlink>
      <w:r>
        <w:t>, f. 5.</w:t>
      </w:r>
    </w:p>
    <w:p w:rsidR="007D461E" w:rsidRDefault="007D461E" w:rsidP="007D461E">
      <w:pPr>
        <w:pStyle w:val="SangriaFrancesaArticulo"/>
      </w:pPr>
      <w:r w:rsidRPr="007D461E">
        <w:rPr>
          <w:rStyle w:val="TextoNormalNegritaCaracter"/>
        </w:rPr>
        <w:t>Artículo 27.</w:t>
      </w:r>
      <w:r w:rsidRPr="007D461E">
        <w:rPr>
          <w:rStyle w:val="TextoNormalCaracter"/>
        </w:rPr>
        <w:t>-</w:t>
      </w:r>
      <w:r>
        <w:t xml:space="preserve"> Sentencia </w:t>
      </w:r>
      <w:hyperlink w:anchor="SENTENCIA_1997_121" w:history="1">
        <w:r w:rsidRPr="007D461E">
          <w:rPr>
            <w:rStyle w:val="TextoNormalCaracter"/>
          </w:rPr>
          <w:t>121/1997</w:t>
        </w:r>
      </w:hyperlink>
      <w:r>
        <w:t>, f. 5.</w:t>
      </w:r>
    </w:p>
    <w:p w:rsidR="007D461E" w:rsidRDefault="007D461E" w:rsidP="007D461E">
      <w:pPr>
        <w:pStyle w:val="SangriaFrancesaArticulo"/>
      </w:pPr>
      <w:r w:rsidRPr="007D461E">
        <w:rPr>
          <w:rStyle w:val="TextoNormalNegritaCaracter"/>
        </w:rPr>
        <w:t>Artículo 35.</w:t>
      </w:r>
      <w:r w:rsidRPr="007D461E">
        <w:rPr>
          <w:rStyle w:val="TextoNormalCaracter"/>
        </w:rPr>
        <w:t>-</w:t>
      </w:r>
      <w:r>
        <w:t xml:space="preserve"> Sentencia </w:t>
      </w:r>
      <w:hyperlink w:anchor="SENTENCIA_1997_126" w:history="1">
        <w:r w:rsidRPr="007D461E">
          <w:rPr>
            <w:rStyle w:val="TextoNormalCaracter"/>
          </w:rPr>
          <w:t>126/1997</w:t>
        </w:r>
      </w:hyperlink>
      <w:r>
        <w:t>, f. 3, VP II.</w:t>
      </w:r>
    </w:p>
    <w:p w:rsidR="007D461E" w:rsidRDefault="007D461E" w:rsidP="007D461E">
      <w:pPr>
        <w:pStyle w:val="SangriaFrancesaArticulo"/>
      </w:pPr>
      <w:r w:rsidRPr="007D461E">
        <w:rPr>
          <w:rStyle w:val="TextoNormalNegritaCaracter"/>
        </w:rPr>
        <w:t>Artículo 35.1.</w:t>
      </w:r>
      <w:r w:rsidRPr="007D461E">
        <w:rPr>
          <w:rStyle w:val="TextoNormalCaracter"/>
        </w:rPr>
        <w:t>-</w:t>
      </w:r>
      <w:r>
        <w:t xml:space="preserve"> Sentencia </w:t>
      </w:r>
      <w:hyperlink w:anchor="SENTENCIA_1997_126" w:history="1">
        <w:r w:rsidRPr="007D461E">
          <w:rPr>
            <w:rStyle w:val="TextoNormalCaracter"/>
          </w:rPr>
          <w:t>126/1997</w:t>
        </w:r>
      </w:hyperlink>
      <w:r>
        <w:t>, ff. 2, 3, 5, VP I.</w:t>
      </w:r>
    </w:p>
    <w:p w:rsidR="007D461E" w:rsidRDefault="007D461E" w:rsidP="007D461E">
      <w:pPr>
        <w:pStyle w:val="SangriaIzquierdaArticulo"/>
      </w:pPr>
      <w:r>
        <w:t xml:space="preserve">Autos </w:t>
      </w:r>
      <w:hyperlink w:anchor="AUTO_1997_140" w:history="1">
        <w:r w:rsidRPr="007D461E">
          <w:rPr>
            <w:rStyle w:val="TextoNormalCaracter"/>
          </w:rPr>
          <w:t>140/1997</w:t>
        </w:r>
      </w:hyperlink>
      <w:r>
        <w:t xml:space="preserve">;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35.2.</w:t>
      </w:r>
      <w:r w:rsidRPr="007D461E">
        <w:rPr>
          <w:rStyle w:val="TextoNormalCaracter"/>
        </w:rPr>
        <w:t>-</w:t>
      </w:r>
      <w:r>
        <w:t xml:space="preserve"> Sentencia </w:t>
      </w:r>
      <w:hyperlink w:anchor="SENTENCIA_1997_126" w:history="1">
        <w:r w:rsidRPr="007D461E">
          <w:rPr>
            <w:rStyle w:val="TextoNormalCaracter"/>
          </w:rPr>
          <w:t>126/1997</w:t>
        </w:r>
      </w:hyperlink>
      <w:r>
        <w:t>, f. 4.</w:t>
      </w:r>
    </w:p>
    <w:p w:rsidR="007D461E" w:rsidRDefault="007D461E" w:rsidP="007D461E">
      <w:pPr>
        <w:pStyle w:val="SangriaIzquierdaArticulo"/>
      </w:pPr>
      <w:r>
        <w:t xml:space="preserve">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37.1.</w:t>
      </w:r>
      <w:r w:rsidRPr="007D461E">
        <w:rPr>
          <w:rStyle w:val="TextoNormalCaracter"/>
        </w:rPr>
        <w:t>-</w:t>
      </w:r>
      <w:r>
        <w:t xml:space="preserve"> Sentencia </w:t>
      </w:r>
      <w:hyperlink w:anchor="SENTENCIA_1997_126" w:history="1">
        <w:r w:rsidRPr="007D461E">
          <w:rPr>
            <w:rStyle w:val="TextoNormalCaracter"/>
          </w:rPr>
          <w:t>126/1997</w:t>
        </w:r>
      </w:hyperlink>
      <w:r>
        <w:t>, f. 2, VP II.</w:t>
      </w:r>
    </w:p>
    <w:p w:rsidR="007D461E" w:rsidRDefault="007D461E" w:rsidP="007D461E">
      <w:pPr>
        <w:pStyle w:val="SangriaIzquierdaArticulo"/>
      </w:pPr>
      <w:r>
        <w:t xml:space="preserve">Auto </w:t>
      </w:r>
      <w:hyperlink w:anchor="AUTO_1997_292" w:history="1">
        <w:r w:rsidRPr="007D461E">
          <w:rPr>
            <w:rStyle w:val="TextoNormalCaracter"/>
          </w:rPr>
          <w:t>292/1997</w:t>
        </w:r>
      </w:hyperlink>
      <w:r>
        <w:t>.</w:t>
      </w:r>
    </w:p>
    <w:p w:rsidR="007D461E" w:rsidRDefault="007D461E" w:rsidP="007D461E">
      <w:pPr>
        <w:pStyle w:val="SangriaFrancesaArticulo"/>
      </w:pPr>
      <w:r w:rsidRPr="007D461E">
        <w:rPr>
          <w:rStyle w:val="TextoNormalNegritaCaracter"/>
        </w:rPr>
        <w:t>Artículo 38.1.</w:t>
      </w:r>
      <w:r w:rsidRPr="007D461E">
        <w:rPr>
          <w:rStyle w:val="TextoNormalCaracter"/>
        </w:rPr>
        <w:t>-</w:t>
      </w:r>
      <w:r>
        <w:t xml:space="preserve"> Sentencia </w:t>
      </w:r>
      <w:hyperlink w:anchor="SENTENCIA_1997_91" w:history="1">
        <w:r w:rsidRPr="007D461E">
          <w:rPr>
            <w:rStyle w:val="TextoNormalCaracter"/>
          </w:rPr>
          <w:t>91/1997</w:t>
        </w:r>
      </w:hyperlink>
      <w:r>
        <w:t>, f. 1.</w:t>
      </w:r>
    </w:p>
    <w:p w:rsidR="007D461E" w:rsidRDefault="007D461E" w:rsidP="007D461E">
      <w:pPr>
        <w:pStyle w:val="SangriaFrancesaArticulo"/>
      </w:pPr>
      <w:r w:rsidRPr="007D461E">
        <w:rPr>
          <w:rStyle w:val="TextoNormalNegritaCaracter"/>
        </w:rPr>
        <w:t>Artículo 41.</w:t>
      </w:r>
      <w:r w:rsidRPr="007D461E">
        <w:rPr>
          <w:rStyle w:val="TextoNormalCaracter"/>
        </w:rPr>
        <w:t>-</w:t>
      </w:r>
      <w:r>
        <w:t xml:space="preserve"> Auto </w:t>
      </w:r>
      <w:hyperlink w:anchor="AUTO_1997_150" w:history="1">
        <w:r w:rsidRPr="007D461E">
          <w:rPr>
            <w:rStyle w:val="TextoNormalCaracter"/>
          </w:rPr>
          <w:t>150/1997</w:t>
        </w:r>
      </w:hyperlink>
      <w:r>
        <w:t>.</w:t>
      </w:r>
    </w:p>
    <w:p w:rsidR="007D461E" w:rsidRDefault="007D461E" w:rsidP="007D461E">
      <w:pPr>
        <w:pStyle w:val="SangriaFrancesaArticulo"/>
      </w:pPr>
      <w:r w:rsidRPr="007D461E">
        <w:rPr>
          <w:rStyle w:val="TextoNormalNegritaCaracter"/>
        </w:rPr>
        <w:t>Artículo 41.1.</w:t>
      </w:r>
      <w:r w:rsidRPr="007D461E">
        <w:rPr>
          <w:rStyle w:val="TextoNormalCaracter"/>
        </w:rPr>
        <w:t>-</w:t>
      </w:r>
      <w:r>
        <w:t xml:space="preserve"> Sentencias </w:t>
      </w:r>
      <w:hyperlink w:anchor="SENTENCIA_1997_95" w:history="1">
        <w:r w:rsidRPr="007D461E">
          <w:rPr>
            <w:rStyle w:val="TextoNormalCaracter"/>
          </w:rPr>
          <w:t>95/1997</w:t>
        </w:r>
      </w:hyperlink>
      <w:r>
        <w:t xml:space="preserve">, f. 4; </w:t>
      </w:r>
      <w:hyperlink w:anchor="SENTENCIA_1997_117" w:history="1">
        <w:r w:rsidRPr="007D461E">
          <w:rPr>
            <w:rStyle w:val="TextoNormalCaracter"/>
          </w:rPr>
          <w:t>117/1997</w:t>
        </w:r>
      </w:hyperlink>
      <w:r>
        <w:t xml:space="preserve">, f. 2; </w:t>
      </w:r>
      <w:hyperlink w:anchor="SENTENCIA_1997_118" w:history="1">
        <w:r w:rsidRPr="007D461E">
          <w:rPr>
            <w:rStyle w:val="TextoNormalCaracter"/>
          </w:rPr>
          <w:t>118/1997</w:t>
        </w:r>
      </w:hyperlink>
      <w:r>
        <w:t>, VP.</w:t>
      </w:r>
    </w:p>
    <w:p w:rsidR="007D461E" w:rsidRDefault="007D461E" w:rsidP="007D461E">
      <w:pPr>
        <w:pStyle w:val="SangriaIzquierdaArticulo"/>
      </w:pPr>
      <w:r>
        <w:t xml:space="preserve">Autos </w:t>
      </w:r>
      <w:hyperlink w:anchor="AUTO_1997_147" w:history="1">
        <w:r w:rsidRPr="007D461E">
          <w:rPr>
            <w:rStyle w:val="TextoNormalCaracter"/>
          </w:rPr>
          <w:t>147/1997</w:t>
        </w:r>
      </w:hyperlink>
      <w:r>
        <w:t xml:space="preserve">; </w:t>
      </w:r>
      <w:hyperlink w:anchor="AUTO_1997_221" w:history="1">
        <w:r w:rsidRPr="007D461E">
          <w:rPr>
            <w:rStyle w:val="TextoNormalCaracter"/>
          </w:rPr>
          <w:t>221/1997</w:t>
        </w:r>
      </w:hyperlink>
      <w:r>
        <w:t xml:space="preserve">; </w:t>
      </w:r>
      <w:hyperlink w:anchor="AUTO_1997_239" w:history="1">
        <w:r w:rsidRPr="007D461E">
          <w:rPr>
            <w:rStyle w:val="TextoNormalCaracter"/>
          </w:rPr>
          <w:t>239/1997</w:t>
        </w:r>
      </w:hyperlink>
      <w:r>
        <w:t>.</w:t>
      </w:r>
    </w:p>
    <w:p w:rsidR="007D461E" w:rsidRDefault="007D461E" w:rsidP="007D461E">
      <w:pPr>
        <w:pStyle w:val="SangriaFrancesaArticulo"/>
      </w:pPr>
      <w:r w:rsidRPr="007D461E">
        <w:rPr>
          <w:rStyle w:val="TextoNormalNegritaCaracter"/>
        </w:rPr>
        <w:t>Artículo 42.</w:t>
      </w:r>
      <w:r w:rsidRPr="007D461E">
        <w:rPr>
          <w:rStyle w:val="TextoNormalCaracter"/>
        </w:rPr>
        <w:t>-</w:t>
      </w:r>
      <w:r>
        <w:t xml:space="preserve"> Sentencia </w:t>
      </w:r>
      <w:hyperlink w:anchor="SENTENCIA_1997_121" w:history="1">
        <w:r w:rsidRPr="007D461E">
          <w:rPr>
            <w:rStyle w:val="TextoNormalCaracter"/>
          </w:rPr>
          <w:t>121/1997</w:t>
        </w:r>
      </w:hyperlink>
      <w:r>
        <w:t>, ff. 2 a 5.</w:t>
      </w:r>
    </w:p>
    <w:p w:rsidR="007D461E" w:rsidRDefault="007D461E" w:rsidP="007D461E">
      <w:pPr>
        <w:pStyle w:val="SangriaIzquierdaArticulo"/>
      </w:pPr>
      <w:r>
        <w:t xml:space="preserve">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 xml:space="preserve">;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43.</w:t>
      </w:r>
      <w:r w:rsidRPr="007D461E">
        <w:rPr>
          <w:rStyle w:val="TextoNormalCaracter"/>
        </w:rPr>
        <w:t>-</w:t>
      </w:r>
      <w:r>
        <w:t xml:space="preserve"> Sentencias </w:t>
      </w:r>
      <w:hyperlink w:anchor="SENTENCIA_1997_96" w:history="1">
        <w:r w:rsidRPr="007D461E">
          <w:rPr>
            <w:rStyle w:val="TextoNormalCaracter"/>
          </w:rPr>
          <w:t>96/1997</w:t>
        </w:r>
      </w:hyperlink>
      <w:r>
        <w:t xml:space="preserve">, f. 2; </w:t>
      </w:r>
      <w:hyperlink w:anchor="SENTENCIA_1997_117" w:history="1">
        <w:r w:rsidRPr="007D461E">
          <w:rPr>
            <w:rStyle w:val="TextoNormalCaracter"/>
          </w:rPr>
          <w:t>117/1997</w:t>
        </w:r>
      </w:hyperlink>
      <w:r>
        <w:t xml:space="preserve">, f. 1; </w:t>
      </w:r>
      <w:hyperlink w:anchor="SENTENCIA_1997_121" w:history="1">
        <w:r w:rsidRPr="007D461E">
          <w:rPr>
            <w:rStyle w:val="TextoNormalCaracter"/>
          </w:rPr>
          <w:t>121/1997</w:t>
        </w:r>
      </w:hyperlink>
      <w:r>
        <w:t xml:space="preserve">, f. 3; </w:t>
      </w:r>
      <w:hyperlink w:anchor="SENTENCIA_1997_128" w:history="1">
        <w:r w:rsidRPr="007D461E">
          <w:rPr>
            <w:rStyle w:val="TextoNormalCaracter"/>
          </w:rPr>
          <w:t>128/1997</w:t>
        </w:r>
      </w:hyperlink>
      <w:r>
        <w:t>, f. 1, VP.</w:t>
      </w:r>
    </w:p>
    <w:p w:rsidR="007D461E" w:rsidRDefault="007D461E" w:rsidP="007D461E">
      <w:pPr>
        <w:pStyle w:val="SangriaIzquierdaArticulo"/>
      </w:pPr>
      <w:r>
        <w:t xml:space="preserve">Auto </w:t>
      </w:r>
      <w:hyperlink w:anchor="AUTO_1997_254" w:history="1">
        <w:r w:rsidRPr="007D461E">
          <w:rPr>
            <w:rStyle w:val="TextoNormalCaracter"/>
          </w:rPr>
          <w:t>254/1997</w:t>
        </w:r>
      </w:hyperlink>
      <w:r>
        <w:t>.</w:t>
      </w:r>
    </w:p>
    <w:p w:rsidR="007D461E" w:rsidRDefault="007D461E" w:rsidP="007D461E">
      <w:pPr>
        <w:pStyle w:val="SangriaFrancesaArticulo"/>
      </w:pPr>
      <w:r w:rsidRPr="007D461E">
        <w:rPr>
          <w:rStyle w:val="TextoNormalNegritaCaracter"/>
        </w:rPr>
        <w:t>Artículo 43.1.</w:t>
      </w:r>
      <w:r w:rsidRPr="007D461E">
        <w:rPr>
          <w:rStyle w:val="TextoNormalCaracter"/>
        </w:rPr>
        <w:t>-</w:t>
      </w:r>
      <w:r>
        <w:t xml:space="preserve"> Sentencia </w:t>
      </w:r>
      <w:hyperlink w:anchor="SENTENCIA_1997_117" w:history="1">
        <w:r w:rsidRPr="007D461E">
          <w:rPr>
            <w:rStyle w:val="TextoNormalCaracter"/>
          </w:rPr>
          <w:t>117/1997</w:t>
        </w:r>
      </w:hyperlink>
      <w:r>
        <w:t>, f. 2.</w:t>
      </w:r>
    </w:p>
    <w:p w:rsidR="007D461E" w:rsidRDefault="007D461E" w:rsidP="007D461E">
      <w:pPr>
        <w:pStyle w:val="SangriaIzquierdaArticulo"/>
      </w:pPr>
      <w:r>
        <w:t xml:space="preserve">Autos </w:t>
      </w:r>
      <w:hyperlink w:anchor="AUTO_1997_239" w:history="1">
        <w:r w:rsidRPr="007D461E">
          <w:rPr>
            <w:rStyle w:val="TextoNormalCaracter"/>
          </w:rPr>
          <w:t>239/1997</w:t>
        </w:r>
      </w:hyperlink>
      <w:r>
        <w:t xml:space="preserve">;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43.2.</w:t>
      </w:r>
      <w:r w:rsidRPr="007D461E">
        <w:rPr>
          <w:rStyle w:val="TextoNormalCaracter"/>
        </w:rPr>
        <w:t>-</w:t>
      </w:r>
      <w:r>
        <w:t xml:space="preserve"> Sentencia </w:t>
      </w:r>
      <w:hyperlink w:anchor="SENTENCIA_1997_121" w:history="1">
        <w:r w:rsidRPr="007D461E">
          <w:rPr>
            <w:rStyle w:val="TextoNormalCaracter"/>
          </w:rPr>
          <w:t>121/1997</w:t>
        </w:r>
      </w:hyperlink>
      <w:r>
        <w:t>, ff. 2, 3.</w:t>
      </w:r>
    </w:p>
    <w:p w:rsidR="007D461E" w:rsidRDefault="007D461E" w:rsidP="007D461E">
      <w:pPr>
        <w:pStyle w:val="SangriaIzquierdaArticulo"/>
      </w:pPr>
      <w:r>
        <w:t xml:space="preserve">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44.</w:t>
      </w:r>
      <w:r w:rsidRPr="007D461E">
        <w:rPr>
          <w:rStyle w:val="TextoNormalCaracter"/>
        </w:rPr>
        <w:t>-</w:t>
      </w:r>
      <w:r>
        <w:t xml:space="preserve"> Auto </w:t>
      </w:r>
      <w:hyperlink w:anchor="AUTO_1997_254" w:history="1">
        <w:r w:rsidRPr="007D461E">
          <w:rPr>
            <w:rStyle w:val="TextoNormalCaracter"/>
          </w:rPr>
          <w:t>254/1997</w:t>
        </w:r>
      </w:hyperlink>
      <w:r>
        <w:t>.</w:t>
      </w:r>
    </w:p>
    <w:p w:rsidR="007D461E" w:rsidRDefault="007D461E" w:rsidP="007D461E">
      <w:pPr>
        <w:pStyle w:val="SangriaFrancesaArticulo"/>
      </w:pPr>
      <w:r w:rsidRPr="007D461E">
        <w:rPr>
          <w:rStyle w:val="TextoNormalNegritaCaracter"/>
        </w:rPr>
        <w:t>Artículo 44.1.</w:t>
      </w:r>
      <w:r w:rsidRPr="007D461E">
        <w:rPr>
          <w:rStyle w:val="TextoNormalCaracter"/>
        </w:rPr>
        <w:t>-</w:t>
      </w:r>
      <w:r>
        <w:t xml:space="preserve"> Sentencia </w:t>
      </w:r>
      <w:hyperlink w:anchor="SENTENCIA_1997_118" w:history="1">
        <w:r w:rsidRPr="007D461E">
          <w:rPr>
            <w:rStyle w:val="TextoNormalCaracter"/>
          </w:rPr>
          <w:t>118/1997</w:t>
        </w:r>
      </w:hyperlink>
      <w:r>
        <w:t>, VP.</w:t>
      </w:r>
    </w:p>
    <w:p w:rsidR="007D461E" w:rsidRDefault="007D461E" w:rsidP="007D461E">
      <w:pPr>
        <w:pStyle w:val="SangriaIzquierdaArticulo"/>
      </w:pPr>
      <w:r>
        <w:t xml:space="preserve">Autos </w:t>
      </w:r>
      <w:hyperlink w:anchor="AUTO_1997_137" w:history="1">
        <w:r w:rsidRPr="007D461E">
          <w:rPr>
            <w:rStyle w:val="TextoNormalCaracter"/>
          </w:rPr>
          <w:t>137/1997</w:t>
        </w:r>
      </w:hyperlink>
      <w:r>
        <w:t xml:space="preserve">; </w:t>
      </w:r>
      <w:hyperlink w:anchor="AUTO_1997_244" w:history="1">
        <w:r w:rsidRPr="007D461E">
          <w:rPr>
            <w:rStyle w:val="TextoNormalCaracter"/>
          </w:rPr>
          <w:t>244/1997</w:t>
        </w:r>
      </w:hyperlink>
      <w:r>
        <w:t>.</w:t>
      </w:r>
    </w:p>
    <w:p w:rsidR="007D461E" w:rsidRDefault="007D461E" w:rsidP="007D461E">
      <w:pPr>
        <w:pStyle w:val="SangriaFrancesaArticulo"/>
      </w:pPr>
      <w:r w:rsidRPr="007D461E">
        <w:rPr>
          <w:rStyle w:val="TextoNormalNegritaCaracter"/>
        </w:rPr>
        <w:lastRenderedPageBreak/>
        <w:t>Artículo 44.1 a).</w:t>
      </w:r>
      <w:r w:rsidRPr="007D461E">
        <w:rPr>
          <w:rStyle w:val="TextoNormalCaracter"/>
        </w:rPr>
        <w:t>-</w:t>
      </w:r>
      <w:r>
        <w:t xml:space="preserve"> Sentencias </w:t>
      </w:r>
      <w:hyperlink w:anchor="SENTENCIA_1997_90" w:history="1">
        <w:r w:rsidRPr="007D461E">
          <w:rPr>
            <w:rStyle w:val="TextoNormalCaracter"/>
          </w:rPr>
          <w:t>90/1997</w:t>
        </w:r>
      </w:hyperlink>
      <w:r>
        <w:t xml:space="preserve">, f. 2; </w:t>
      </w:r>
      <w:hyperlink w:anchor="SENTENCIA_1997_93" w:history="1">
        <w:r w:rsidRPr="007D461E">
          <w:rPr>
            <w:rStyle w:val="TextoNormalCaracter"/>
          </w:rPr>
          <w:t>93/1997</w:t>
        </w:r>
      </w:hyperlink>
      <w:r>
        <w:t xml:space="preserve">, f. 2; </w:t>
      </w:r>
      <w:hyperlink w:anchor="SENTENCIA_1997_95" w:history="1">
        <w:r w:rsidRPr="007D461E">
          <w:rPr>
            <w:rStyle w:val="TextoNormalCaracter"/>
          </w:rPr>
          <w:t>95/1997</w:t>
        </w:r>
      </w:hyperlink>
      <w:r>
        <w:t xml:space="preserve">, ff. 3, 4; </w:t>
      </w:r>
      <w:hyperlink w:anchor="SENTENCIA_1997_99" w:history="1">
        <w:r w:rsidRPr="007D461E">
          <w:rPr>
            <w:rStyle w:val="TextoNormalCaracter"/>
          </w:rPr>
          <w:t>99/1997</w:t>
        </w:r>
      </w:hyperlink>
      <w:r>
        <w:t xml:space="preserve">, f. 2; </w:t>
      </w:r>
      <w:hyperlink w:anchor="SENTENCIA_1997_106" w:history="1">
        <w:r w:rsidRPr="007D461E">
          <w:rPr>
            <w:rStyle w:val="TextoNormalCaracter"/>
          </w:rPr>
          <w:t>106/1997</w:t>
        </w:r>
      </w:hyperlink>
      <w:r>
        <w:t xml:space="preserve">, f. 2; </w:t>
      </w:r>
      <w:hyperlink w:anchor="SENTENCIA_1997_108" w:history="1">
        <w:r w:rsidRPr="007D461E">
          <w:rPr>
            <w:rStyle w:val="TextoNormalCaracter"/>
          </w:rPr>
          <w:t>108/1997</w:t>
        </w:r>
      </w:hyperlink>
      <w:r>
        <w:t xml:space="preserve">, f. 1; </w:t>
      </w:r>
      <w:hyperlink w:anchor="SENTENCIA_1997_113" w:history="1">
        <w:r w:rsidRPr="007D461E">
          <w:rPr>
            <w:rStyle w:val="TextoNormalCaracter"/>
          </w:rPr>
          <w:t>113/1997</w:t>
        </w:r>
      </w:hyperlink>
      <w:r>
        <w:t xml:space="preserve">, f. 2; </w:t>
      </w:r>
      <w:hyperlink w:anchor="SENTENCIA_1997_116" w:history="1">
        <w:r w:rsidRPr="007D461E">
          <w:rPr>
            <w:rStyle w:val="TextoNormalCaracter"/>
          </w:rPr>
          <w:t>116/1997</w:t>
        </w:r>
      </w:hyperlink>
      <w:r>
        <w:t xml:space="preserve">, f. 3; </w:t>
      </w:r>
      <w:hyperlink w:anchor="SENTENCIA_1997_118" w:history="1">
        <w:r w:rsidRPr="007D461E">
          <w:rPr>
            <w:rStyle w:val="TextoNormalCaracter"/>
          </w:rPr>
          <w:t>118/1997</w:t>
        </w:r>
      </w:hyperlink>
      <w:r>
        <w:t xml:space="preserve">, VP; </w:t>
      </w:r>
      <w:hyperlink w:anchor="SENTENCIA_1997_122" w:history="1">
        <w:r w:rsidRPr="007D461E">
          <w:rPr>
            <w:rStyle w:val="TextoNormalCaracter"/>
          </w:rPr>
          <w:t>122/1997</w:t>
        </w:r>
      </w:hyperlink>
      <w:r>
        <w:t xml:space="preserve">, ff. 1, 2; </w:t>
      </w:r>
      <w:hyperlink w:anchor="SENTENCIA_1997_127" w:history="1">
        <w:r w:rsidRPr="007D461E">
          <w:rPr>
            <w:rStyle w:val="TextoNormalCaracter"/>
          </w:rPr>
          <w:t>127/1997</w:t>
        </w:r>
      </w:hyperlink>
      <w:r>
        <w:t xml:space="preserve">, f. 1; </w:t>
      </w:r>
      <w:hyperlink w:anchor="SENTENCIA_1997_135" w:history="1">
        <w:r w:rsidRPr="007D461E">
          <w:rPr>
            <w:rStyle w:val="TextoNormalCaracter"/>
          </w:rPr>
          <w:t>135/1997</w:t>
        </w:r>
      </w:hyperlink>
      <w:r>
        <w:t xml:space="preserve">, f. 3; </w:t>
      </w:r>
      <w:hyperlink w:anchor="SENTENCIA_1997_136" w:history="1">
        <w:r w:rsidRPr="007D461E">
          <w:rPr>
            <w:rStyle w:val="TextoNormalCaracter"/>
          </w:rPr>
          <w:t>136/1997</w:t>
        </w:r>
      </w:hyperlink>
      <w:r>
        <w:t>, f. 2.</w:t>
      </w:r>
    </w:p>
    <w:p w:rsidR="007D461E" w:rsidRDefault="007D461E" w:rsidP="007D461E">
      <w:pPr>
        <w:pStyle w:val="SangriaIzquierdaArticulo"/>
      </w:pPr>
      <w:r>
        <w:t xml:space="preserve">Autos </w:t>
      </w:r>
      <w:hyperlink w:anchor="AUTO_1997_136" w:history="1">
        <w:r w:rsidRPr="007D461E">
          <w:rPr>
            <w:rStyle w:val="TextoNormalCaracter"/>
          </w:rPr>
          <w:t>136/1997</w:t>
        </w:r>
      </w:hyperlink>
      <w:r>
        <w:t xml:space="preserve">; </w:t>
      </w:r>
      <w:hyperlink w:anchor="AUTO_1997_147" w:history="1">
        <w:r w:rsidRPr="007D461E">
          <w:rPr>
            <w:rStyle w:val="TextoNormalCaracter"/>
          </w:rPr>
          <w:t>147/1997</w:t>
        </w:r>
      </w:hyperlink>
      <w:r>
        <w:t xml:space="preserve">; </w:t>
      </w:r>
      <w:hyperlink w:anchor="AUTO_1997_209" w:history="1">
        <w:r w:rsidRPr="007D461E">
          <w:rPr>
            <w:rStyle w:val="TextoNormalCaracter"/>
          </w:rPr>
          <w:t>209/1997</w:t>
        </w:r>
      </w:hyperlink>
      <w:r>
        <w:t xml:space="preserve">; </w:t>
      </w:r>
      <w:hyperlink w:anchor="AUTO_1997_239" w:history="1">
        <w:r w:rsidRPr="007D461E">
          <w:rPr>
            <w:rStyle w:val="TextoNormalCaracter"/>
          </w:rPr>
          <w:t>239/1997</w:t>
        </w:r>
      </w:hyperlink>
      <w:r>
        <w:t>.</w:t>
      </w:r>
    </w:p>
    <w:p w:rsidR="007D461E" w:rsidRDefault="007D461E" w:rsidP="007D461E">
      <w:pPr>
        <w:pStyle w:val="SangriaFrancesaArticulo"/>
      </w:pPr>
      <w:r w:rsidRPr="007D461E">
        <w:rPr>
          <w:rStyle w:val="TextoNormalNegritaCaracter"/>
        </w:rPr>
        <w:t>Artículo 44.1 b).</w:t>
      </w:r>
      <w:r w:rsidRPr="007D461E">
        <w:rPr>
          <w:rStyle w:val="TextoNormalCaracter"/>
        </w:rPr>
        <w:t>-</w:t>
      </w:r>
      <w:r>
        <w:t xml:space="preserve"> Sentencias </w:t>
      </w:r>
      <w:hyperlink w:anchor="SENTENCIA_1997_90" w:history="1">
        <w:r w:rsidRPr="007D461E">
          <w:rPr>
            <w:rStyle w:val="TextoNormalCaracter"/>
          </w:rPr>
          <w:t>90/1997</w:t>
        </w:r>
      </w:hyperlink>
      <w:r>
        <w:t xml:space="preserve">, f. 2; </w:t>
      </w:r>
      <w:hyperlink w:anchor="SENTENCIA_1997_95" w:history="1">
        <w:r w:rsidRPr="007D461E">
          <w:rPr>
            <w:rStyle w:val="TextoNormalCaracter"/>
          </w:rPr>
          <w:t>95/1997</w:t>
        </w:r>
      </w:hyperlink>
      <w:r>
        <w:t xml:space="preserve">, f. 3; </w:t>
      </w:r>
      <w:hyperlink w:anchor="SENTENCIA_1997_113" w:history="1">
        <w:r w:rsidRPr="007D461E">
          <w:rPr>
            <w:rStyle w:val="TextoNormalCaracter"/>
          </w:rPr>
          <w:t>113/1997</w:t>
        </w:r>
      </w:hyperlink>
      <w:r>
        <w:t>, f. 3.</w:t>
      </w:r>
    </w:p>
    <w:p w:rsidR="007D461E" w:rsidRDefault="007D461E" w:rsidP="007D461E">
      <w:pPr>
        <w:pStyle w:val="SangriaIzquierdaArticulo"/>
      </w:pPr>
      <w:r>
        <w:t xml:space="preserve">Autos </w:t>
      </w:r>
      <w:hyperlink w:anchor="AUTO_1997_174" w:history="1">
        <w:r w:rsidRPr="007D461E">
          <w:rPr>
            <w:rStyle w:val="TextoNormalCaracter"/>
          </w:rPr>
          <w:t>174/1997</w:t>
        </w:r>
      </w:hyperlink>
      <w:r>
        <w:t xml:space="preserve">; </w:t>
      </w:r>
      <w:hyperlink w:anchor="AUTO_1997_244" w:history="1">
        <w:r w:rsidRPr="007D461E">
          <w:rPr>
            <w:rStyle w:val="TextoNormalCaracter"/>
          </w:rPr>
          <w:t>244/1997</w:t>
        </w:r>
      </w:hyperlink>
      <w:r>
        <w:t>.</w:t>
      </w:r>
    </w:p>
    <w:p w:rsidR="007D461E" w:rsidRDefault="007D461E" w:rsidP="007D461E">
      <w:pPr>
        <w:pStyle w:val="SangriaFrancesaArticulo"/>
      </w:pPr>
      <w:r w:rsidRPr="007D461E">
        <w:rPr>
          <w:rStyle w:val="TextoNormalNegritaCaracter"/>
        </w:rPr>
        <w:t>Artículo 44.1 c).</w:t>
      </w:r>
      <w:r w:rsidRPr="007D461E">
        <w:rPr>
          <w:rStyle w:val="TextoNormalCaracter"/>
        </w:rPr>
        <w:t>-</w:t>
      </w:r>
      <w:r>
        <w:t xml:space="preserve"> Sentencias </w:t>
      </w:r>
      <w:hyperlink w:anchor="SENTENCIA_1997_95" w:history="1">
        <w:r w:rsidRPr="007D461E">
          <w:rPr>
            <w:rStyle w:val="TextoNormalCaracter"/>
          </w:rPr>
          <w:t>95/1997</w:t>
        </w:r>
      </w:hyperlink>
      <w:r>
        <w:t xml:space="preserve">, f. 3; </w:t>
      </w:r>
      <w:hyperlink w:anchor="SENTENCIA_1997_99" w:history="1">
        <w:r w:rsidRPr="007D461E">
          <w:rPr>
            <w:rStyle w:val="TextoNormalCaracter"/>
          </w:rPr>
          <w:t>99/1997</w:t>
        </w:r>
      </w:hyperlink>
      <w:r>
        <w:t xml:space="preserve">, ff. 2, 3; </w:t>
      </w:r>
      <w:hyperlink w:anchor="SENTENCIA_1997_116" w:history="1">
        <w:r w:rsidRPr="007D461E">
          <w:rPr>
            <w:rStyle w:val="TextoNormalCaracter"/>
          </w:rPr>
          <w:t>116/1997</w:t>
        </w:r>
      </w:hyperlink>
      <w:r>
        <w:t xml:space="preserve">, f. 3; </w:t>
      </w:r>
      <w:hyperlink w:anchor="SENTENCIA_1997_117" w:history="1">
        <w:r w:rsidRPr="007D461E">
          <w:rPr>
            <w:rStyle w:val="TextoNormalCaracter"/>
          </w:rPr>
          <w:t>117/1997</w:t>
        </w:r>
      </w:hyperlink>
      <w:r>
        <w:t>, f. 2.</w:t>
      </w:r>
    </w:p>
    <w:p w:rsidR="007D461E" w:rsidRDefault="007D461E" w:rsidP="007D461E">
      <w:pPr>
        <w:pStyle w:val="SangriaIzquierdaArticulo"/>
      </w:pPr>
      <w:r>
        <w:t xml:space="preserve">Autos </w:t>
      </w:r>
      <w:hyperlink w:anchor="AUTO_1997_157" w:history="1">
        <w:r w:rsidRPr="007D461E">
          <w:rPr>
            <w:rStyle w:val="TextoNormalCaracter"/>
          </w:rPr>
          <w:t>157/1997</w:t>
        </w:r>
      </w:hyperlink>
      <w:r>
        <w:t xml:space="preserve">; </w:t>
      </w:r>
      <w:hyperlink w:anchor="AUTO_1997_221" w:history="1">
        <w:r w:rsidRPr="007D461E">
          <w:rPr>
            <w:rStyle w:val="TextoNormalCaracter"/>
          </w:rPr>
          <w:t>221/1997</w:t>
        </w:r>
      </w:hyperlink>
      <w:r>
        <w:t xml:space="preserve">; </w:t>
      </w:r>
      <w:hyperlink w:anchor="AUTO_1997_246" w:history="1">
        <w:r w:rsidRPr="007D461E">
          <w:rPr>
            <w:rStyle w:val="TextoNormalCaracter"/>
          </w:rPr>
          <w:t>246/1997</w:t>
        </w:r>
      </w:hyperlink>
      <w:r>
        <w:t xml:space="preserve">; </w:t>
      </w:r>
      <w:hyperlink w:anchor="AUTO_1997_268" w:history="1">
        <w:r w:rsidRPr="007D461E">
          <w:rPr>
            <w:rStyle w:val="TextoNormalCaracter"/>
          </w:rPr>
          <w:t>268/1997</w:t>
        </w:r>
      </w:hyperlink>
      <w:r>
        <w:t>.</w:t>
      </w:r>
    </w:p>
    <w:p w:rsidR="007D461E" w:rsidRDefault="007D461E" w:rsidP="007D461E">
      <w:pPr>
        <w:pStyle w:val="SangriaFrancesaArticulo"/>
      </w:pPr>
      <w:r w:rsidRPr="007D461E">
        <w:rPr>
          <w:rStyle w:val="TextoNormalNegritaCaracter"/>
        </w:rPr>
        <w:t>Artículo 44.2.</w:t>
      </w:r>
      <w:r w:rsidRPr="007D461E">
        <w:rPr>
          <w:rStyle w:val="TextoNormalCaracter"/>
        </w:rPr>
        <w:t>-</w:t>
      </w:r>
      <w:r>
        <w:t xml:space="preserve"> Sentencias </w:t>
      </w:r>
      <w:hyperlink w:anchor="SENTENCIA_1997_97" w:history="1">
        <w:r w:rsidRPr="007D461E">
          <w:rPr>
            <w:rStyle w:val="TextoNormalCaracter"/>
          </w:rPr>
          <w:t>97/1997</w:t>
        </w:r>
      </w:hyperlink>
      <w:r>
        <w:t xml:space="preserve">, f. 2; </w:t>
      </w:r>
      <w:hyperlink w:anchor="SENTENCIA_1997_118" w:history="1">
        <w:r w:rsidRPr="007D461E">
          <w:rPr>
            <w:rStyle w:val="TextoNormalCaracter"/>
          </w:rPr>
          <w:t>118/1997</w:t>
        </w:r>
      </w:hyperlink>
      <w:r>
        <w:t xml:space="preserve">, f. 1; </w:t>
      </w:r>
      <w:hyperlink w:anchor="SENTENCIA_1997_121" w:history="1">
        <w:r w:rsidRPr="007D461E">
          <w:rPr>
            <w:rStyle w:val="TextoNormalCaracter"/>
          </w:rPr>
          <w:t>121/1997</w:t>
        </w:r>
      </w:hyperlink>
      <w:r>
        <w:t xml:space="preserve">, f. 2; </w:t>
      </w:r>
      <w:hyperlink w:anchor="SENTENCIA_1997_135" w:history="1">
        <w:r w:rsidRPr="007D461E">
          <w:rPr>
            <w:rStyle w:val="TextoNormalCaracter"/>
          </w:rPr>
          <w:t>135/1997</w:t>
        </w:r>
      </w:hyperlink>
      <w:r>
        <w:t>, ff. 3, 6.</w:t>
      </w:r>
    </w:p>
    <w:p w:rsidR="007D461E" w:rsidRDefault="007D461E" w:rsidP="007D461E">
      <w:pPr>
        <w:pStyle w:val="SangriaIzquierdaArticulo"/>
      </w:pPr>
      <w:r>
        <w:t xml:space="preserve">Autos </w:t>
      </w:r>
      <w:hyperlink w:anchor="AUTO_1997_130" w:history="1">
        <w:r w:rsidRPr="007D461E">
          <w:rPr>
            <w:rStyle w:val="TextoNormalCaracter"/>
          </w:rPr>
          <w:t>130/1997</w:t>
        </w:r>
      </w:hyperlink>
      <w:r>
        <w:t xml:space="preserve">;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46.1 b).</w:t>
      </w:r>
      <w:r w:rsidRPr="007D461E">
        <w:rPr>
          <w:rStyle w:val="TextoNormalCaracter"/>
        </w:rPr>
        <w:t>-</w:t>
      </w:r>
      <w:r>
        <w:t xml:space="preserve"> Sentencias </w:t>
      </w:r>
      <w:hyperlink w:anchor="SENTENCIA_1997_101" w:history="1">
        <w:r w:rsidRPr="007D461E">
          <w:rPr>
            <w:rStyle w:val="TextoNormalCaracter"/>
          </w:rPr>
          <w:t>101/1997</w:t>
        </w:r>
      </w:hyperlink>
      <w:r>
        <w:t xml:space="preserve">, f. 1; </w:t>
      </w:r>
      <w:hyperlink w:anchor="SENTENCIA_1997_140" w:history="1">
        <w:r w:rsidRPr="007D461E">
          <w:rPr>
            <w:rStyle w:val="TextoNormalCaracter"/>
          </w:rPr>
          <w:t>140/1997</w:t>
        </w:r>
      </w:hyperlink>
      <w:r>
        <w:t>, f. 1.</w:t>
      </w:r>
    </w:p>
    <w:p w:rsidR="007D461E" w:rsidRDefault="007D461E" w:rsidP="007D461E">
      <w:pPr>
        <w:pStyle w:val="SangriaFrancesaArticulo"/>
      </w:pPr>
      <w:r w:rsidRPr="007D461E">
        <w:rPr>
          <w:rStyle w:val="TextoNormalNegritaCaracter"/>
        </w:rPr>
        <w:t>Artículo 49.</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49.1.</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49.2.</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50.</w:t>
      </w:r>
      <w:r w:rsidRPr="007D461E">
        <w:rPr>
          <w:rStyle w:val="TextoNormalCaracter"/>
        </w:rPr>
        <w:t>-</w:t>
      </w:r>
      <w:r>
        <w:t xml:space="preserve"> Auto </w:t>
      </w:r>
      <w:hyperlink w:anchor="AUTO_1997_176" w:history="1">
        <w:r w:rsidRPr="007D461E">
          <w:rPr>
            <w:rStyle w:val="TextoNormalCaracter"/>
          </w:rPr>
          <w:t>176/1997</w:t>
        </w:r>
      </w:hyperlink>
      <w:r>
        <w:t>.</w:t>
      </w:r>
    </w:p>
    <w:p w:rsidR="007D461E" w:rsidRDefault="007D461E" w:rsidP="007D461E">
      <w:pPr>
        <w:pStyle w:val="SangriaFrancesaArticulo"/>
      </w:pPr>
      <w:r w:rsidRPr="007D461E">
        <w:rPr>
          <w:rStyle w:val="TextoNormalNegritaCaracter"/>
        </w:rPr>
        <w:t>Artículo 50.1 a).</w:t>
      </w:r>
      <w:r w:rsidRPr="007D461E">
        <w:rPr>
          <w:rStyle w:val="TextoNormalCaracter"/>
        </w:rPr>
        <w:t>-</w:t>
      </w:r>
      <w:r>
        <w:t xml:space="preserve"> Sentencias </w:t>
      </w:r>
      <w:hyperlink w:anchor="SENTENCIA_1997_90" w:history="1">
        <w:r w:rsidRPr="007D461E">
          <w:rPr>
            <w:rStyle w:val="TextoNormalCaracter"/>
          </w:rPr>
          <w:t>90/1997</w:t>
        </w:r>
      </w:hyperlink>
      <w:r>
        <w:t xml:space="preserve">, f. 2; </w:t>
      </w:r>
      <w:hyperlink w:anchor="SENTENCIA_1997_121" w:history="1">
        <w:r w:rsidRPr="007D461E">
          <w:rPr>
            <w:rStyle w:val="TextoNormalCaracter"/>
          </w:rPr>
          <w:t>121/1997</w:t>
        </w:r>
      </w:hyperlink>
      <w:r>
        <w:t xml:space="preserve">, f. 2; </w:t>
      </w:r>
      <w:hyperlink w:anchor="SENTENCIA_1997_122" w:history="1">
        <w:r w:rsidRPr="007D461E">
          <w:rPr>
            <w:rStyle w:val="TextoNormalCaracter"/>
          </w:rPr>
          <w:t>122/1997</w:t>
        </w:r>
      </w:hyperlink>
      <w:r>
        <w:t>, ff. 1, 2.</w:t>
      </w:r>
    </w:p>
    <w:p w:rsidR="007D461E" w:rsidRDefault="007D461E" w:rsidP="007D461E">
      <w:pPr>
        <w:pStyle w:val="SangriaIzquierdaArticulo"/>
      </w:pPr>
      <w:r>
        <w:t xml:space="preserve">Autos </w:t>
      </w:r>
      <w:hyperlink w:anchor="AUTO_1997_136" w:history="1">
        <w:r w:rsidRPr="007D461E">
          <w:rPr>
            <w:rStyle w:val="TextoNormalCaracter"/>
          </w:rPr>
          <w:t>136/1997</w:t>
        </w:r>
      </w:hyperlink>
      <w:r>
        <w:t xml:space="preserve">; </w:t>
      </w:r>
      <w:hyperlink w:anchor="AUTO_1997_147" w:history="1">
        <w:r w:rsidRPr="007D461E">
          <w:rPr>
            <w:rStyle w:val="TextoNormalCaracter"/>
          </w:rPr>
          <w:t>147/1997</w:t>
        </w:r>
      </w:hyperlink>
      <w:r>
        <w:t xml:space="preserve">; </w:t>
      </w:r>
      <w:hyperlink w:anchor="AUTO_1997_209" w:history="1">
        <w:r w:rsidRPr="007D461E">
          <w:rPr>
            <w:rStyle w:val="TextoNormalCaracter"/>
          </w:rPr>
          <w:t>209/1997</w:t>
        </w:r>
      </w:hyperlink>
      <w:r>
        <w:t xml:space="preserve">; </w:t>
      </w:r>
      <w:hyperlink w:anchor="AUTO_1997_239" w:history="1">
        <w:r w:rsidRPr="007D461E">
          <w:rPr>
            <w:rStyle w:val="TextoNormalCaracter"/>
          </w:rPr>
          <w:t>239/1997</w:t>
        </w:r>
      </w:hyperlink>
      <w:r>
        <w:t xml:space="preserve">; </w:t>
      </w:r>
      <w:hyperlink w:anchor="AUTO_1997_246" w:history="1">
        <w:r w:rsidRPr="007D461E">
          <w:rPr>
            <w:rStyle w:val="TextoNormalCaracter"/>
          </w:rPr>
          <w:t>246/1997</w:t>
        </w:r>
      </w:hyperlink>
      <w:r>
        <w:t xml:space="preserve">; </w:t>
      </w:r>
      <w:hyperlink w:anchor="AUTO_1997_268" w:history="1">
        <w:r w:rsidRPr="007D461E">
          <w:rPr>
            <w:rStyle w:val="TextoNormalCaracter"/>
          </w:rPr>
          <w:t>268/1997</w:t>
        </w:r>
      </w:hyperlink>
      <w:r>
        <w:t xml:space="preserve">;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50.1 b).</w:t>
      </w:r>
      <w:r w:rsidRPr="007D461E">
        <w:rPr>
          <w:rStyle w:val="TextoNormalCaracter"/>
        </w:rPr>
        <w:t>-</w:t>
      </w:r>
      <w:r>
        <w:t xml:space="preserve"> Auto </w:t>
      </w:r>
      <w:hyperlink w:anchor="AUTO_1997_221" w:history="1">
        <w:r w:rsidRPr="007D461E">
          <w:rPr>
            <w:rStyle w:val="TextoNormalCaracter"/>
          </w:rPr>
          <w:t>221/1997</w:t>
        </w:r>
      </w:hyperlink>
      <w:r>
        <w:t>.</w:t>
      </w:r>
    </w:p>
    <w:p w:rsidR="007D461E" w:rsidRDefault="007D461E" w:rsidP="007D461E">
      <w:pPr>
        <w:pStyle w:val="SangriaFrancesaArticulo"/>
      </w:pPr>
      <w:r w:rsidRPr="007D461E">
        <w:rPr>
          <w:rStyle w:val="TextoNormalNegritaCaracter"/>
        </w:rPr>
        <w:t>Artículo 50.1 c).</w:t>
      </w:r>
      <w:r w:rsidRPr="007D461E">
        <w:rPr>
          <w:rStyle w:val="TextoNormalCaracter"/>
        </w:rPr>
        <w:t>-</w:t>
      </w:r>
      <w:r>
        <w:t xml:space="preserve"> Sentencia </w:t>
      </w:r>
      <w:hyperlink w:anchor="SENTENCIA_1997_102" w:history="1">
        <w:r w:rsidRPr="007D461E">
          <w:rPr>
            <w:rStyle w:val="TextoNormalCaracter"/>
          </w:rPr>
          <w:t>102/1997</w:t>
        </w:r>
      </w:hyperlink>
      <w:r>
        <w:t>, f. 5.</w:t>
      </w:r>
    </w:p>
    <w:p w:rsidR="007D461E" w:rsidRDefault="007D461E" w:rsidP="007D461E">
      <w:pPr>
        <w:pStyle w:val="SangriaIzquierdaArticulo"/>
      </w:pPr>
      <w:r>
        <w:t xml:space="preserve">Autos </w:t>
      </w:r>
      <w:hyperlink w:anchor="AUTO_1997_130" w:history="1">
        <w:r w:rsidRPr="007D461E">
          <w:rPr>
            <w:rStyle w:val="TextoNormalCaracter"/>
          </w:rPr>
          <w:t>130/1997</w:t>
        </w:r>
      </w:hyperlink>
      <w:r>
        <w:t xml:space="preserve">; </w:t>
      </w:r>
      <w:hyperlink w:anchor="AUTO_1997_136" w:history="1">
        <w:r w:rsidRPr="007D461E">
          <w:rPr>
            <w:rStyle w:val="TextoNormalCaracter"/>
          </w:rPr>
          <w:t>136/1997</w:t>
        </w:r>
      </w:hyperlink>
      <w:r>
        <w:t xml:space="preserve">; </w:t>
      </w:r>
      <w:hyperlink w:anchor="AUTO_1997_137" w:history="1">
        <w:r w:rsidRPr="007D461E">
          <w:rPr>
            <w:rStyle w:val="TextoNormalCaracter"/>
          </w:rPr>
          <w:t>137/1997</w:t>
        </w:r>
      </w:hyperlink>
      <w:r>
        <w:t xml:space="preserve">; </w:t>
      </w:r>
      <w:hyperlink w:anchor="AUTO_1997_174" w:history="1">
        <w:r w:rsidRPr="007D461E">
          <w:rPr>
            <w:rStyle w:val="TextoNormalCaracter"/>
          </w:rPr>
          <w:t>174/1997</w:t>
        </w:r>
      </w:hyperlink>
      <w:r>
        <w:t xml:space="preserve">; </w:t>
      </w:r>
      <w:hyperlink w:anchor="AUTO_1997_175" w:history="1">
        <w:r w:rsidRPr="007D461E">
          <w:rPr>
            <w:rStyle w:val="TextoNormalCaracter"/>
          </w:rPr>
          <w:t>175/1997</w:t>
        </w:r>
      </w:hyperlink>
      <w:r>
        <w:t xml:space="preserve">; </w:t>
      </w:r>
      <w:hyperlink w:anchor="AUTO_1997_176" w:history="1">
        <w:r w:rsidRPr="007D461E">
          <w:rPr>
            <w:rStyle w:val="TextoNormalCaracter"/>
          </w:rPr>
          <w:t>176/1997</w:t>
        </w:r>
      </w:hyperlink>
      <w:r>
        <w:t xml:space="preserve">; </w:t>
      </w:r>
      <w:hyperlink w:anchor="AUTO_1997_182" w:history="1">
        <w:r w:rsidRPr="007D461E">
          <w:rPr>
            <w:rStyle w:val="TextoNormalCaracter"/>
          </w:rPr>
          <w:t>182/1997</w:t>
        </w:r>
      </w:hyperlink>
      <w:r>
        <w:t xml:space="preserve">; </w:t>
      </w:r>
      <w:hyperlink w:anchor="AUTO_1997_191" w:history="1">
        <w:r w:rsidRPr="007D461E">
          <w:rPr>
            <w:rStyle w:val="TextoNormalCaracter"/>
          </w:rPr>
          <w:t>191/1997</w:t>
        </w:r>
      </w:hyperlink>
      <w:r>
        <w:t xml:space="preserve">; </w:t>
      </w:r>
      <w:hyperlink w:anchor="AUTO_1997_195" w:history="1">
        <w:r w:rsidRPr="007D461E">
          <w:rPr>
            <w:rStyle w:val="TextoNormalCaracter"/>
          </w:rPr>
          <w:t>195/1997</w:t>
        </w:r>
      </w:hyperlink>
      <w:r>
        <w:t xml:space="preserve">; </w:t>
      </w:r>
      <w:hyperlink w:anchor="AUTO_1997_196" w:history="1">
        <w:r w:rsidRPr="007D461E">
          <w:rPr>
            <w:rStyle w:val="TextoNormalCaracter"/>
          </w:rPr>
          <w:t>196/1997</w:t>
        </w:r>
      </w:hyperlink>
      <w:r>
        <w:t xml:space="preserve">; </w:t>
      </w:r>
      <w:hyperlink w:anchor="AUTO_1997_207" w:history="1">
        <w:r w:rsidRPr="007D461E">
          <w:rPr>
            <w:rStyle w:val="TextoNormalCaracter"/>
          </w:rPr>
          <w:t>207/1997</w:t>
        </w:r>
      </w:hyperlink>
      <w:r>
        <w:t xml:space="preserve">; </w:t>
      </w:r>
      <w:hyperlink w:anchor="AUTO_1997_208" w:history="1">
        <w:r w:rsidRPr="007D461E">
          <w:rPr>
            <w:rStyle w:val="TextoNormalCaracter"/>
          </w:rPr>
          <w:t>208/1997</w:t>
        </w:r>
      </w:hyperlink>
      <w:r>
        <w:t xml:space="preserve">; </w:t>
      </w:r>
      <w:hyperlink w:anchor="AUTO_1997_209" w:history="1">
        <w:r w:rsidRPr="007D461E">
          <w:rPr>
            <w:rStyle w:val="TextoNormalCaracter"/>
          </w:rPr>
          <w:t>209/1997</w:t>
        </w:r>
      </w:hyperlink>
      <w:r>
        <w:t xml:space="preserve">; </w:t>
      </w:r>
      <w:hyperlink w:anchor="AUTO_1997_236" w:history="1">
        <w:r w:rsidRPr="007D461E">
          <w:rPr>
            <w:rStyle w:val="TextoNormalCaracter"/>
          </w:rPr>
          <w:t>236/1997</w:t>
        </w:r>
      </w:hyperlink>
      <w:r>
        <w:t xml:space="preserve">; </w:t>
      </w:r>
      <w:hyperlink w:anchor="AUTO_1997_238" w:history="1">
        <w:r w:rsidRPr="007D461E">
          <w:rPr>
            <w:rStyle w:val="TextoNormalCaracter"/>
          </w:rPr>
          <w:t>238/1997</w:t>
        </w:r>
      </w:hyperlink>
      <w:r>
        <w:t xml:space="preserve">; </w:t>
      </w:r>
      <w:hyperlink w:anchor="AUTO_1997_239" w:history="1">
        <w:r w:rsidRPr="007D461E">
          <w:rPr>
            <w:rStyle w:val="TextoNormalCaracter"/>
          </w:rPr>
          <w:t>239/1997</w:t>
        </w:r>
      </w:hyperlink>
      <w:r>
        <w:t xml:space="preserve">; </w:t>
      </w:r>
      <w:hyperlink w:anchor="AUTO_1997_246" w:history="1">
        <w:r w:rsidRPr="007D461E">
          <w:rPr>
            <w:rStyle w:val="TextoNormalCaracter"/>
          </w:rPr>
          <w:t>246/1997</w:t>
        </w:r>
      </w:hyperlink>
      <w:r>
        <w:t xml:space="preserve">; </w:t>
      </w:r>
      <w:hyperlink w:anchor="AUTO_1997_254" w:history="1">
        <w:r w:rsidRPr="007D461E">
          <w:rPr>
            <w:rStyle w:val="TextoNormalCaracter"/>
          </w:rPr>
          <w:t>254/1997</w:t>
        </w:r>
      </w:hyperlink>
      <w:r>
        <w:t xml:space="preserve">; </w:t>
      </w:r>
      <w:hyperlink w:anchor="AUTO_1997_274" w:history="1">
        <w:r w:rsidRPr="007D461E">
          <w:rPr>
            <w:rStyle w:val="TextoNormalCaracter"/>
          </w:rPr>
          <w:t>274/1997</w:t>
        </w:r>
      </w:hyperlink>
      <w:r>
        <w:t xml:space="preserve">; </w:t>
      </w:r>
      <w:hyperlink w:anchor="AUTO_1997_275" w:history="1">
        <w:r w:rsidRPr="007D461E">
          <w:rPr>
            <w:rStyle w:val="TextoNormalCaracter"/>
          </w:rPr>
          <w:t>275/1997</w:t>
        </w:r>
      </w:hyperlink>
      <w:r>
        <w:t xml:space="preserve">; </w:t>
      </w:r>
      <w:hyperlink w:anchor="AUTO_1997_277" w:history="1">
        <w:r w:rsidRPr="007D461E">
          <w:rPr>
            <w:rStyle w:val="TextoNormalCaracter"/>
          </w:rPr>
          <w:t>277/1997</w:t>
        </w:r>
      </w:hyperlink>
      <w:r>
        <w:t xml:space="preserve">; </w:t>
      </w:r>
      <w:hyperlink w:anchor="AUTO_1997_278" w:history="1">
        <w:r w:rsidRPr="007D461E">
          <w:rPr>
            <w:rStyle w:val="TextoNormalCaracter"/>
          </w:rPr>
          <w:t>278/1997</w:t>
        </w:r>
      </w:hyperlink>
      <w:r>
        <w:t xml:space="preserve">; </w:t>
      </w:r>
      <w:hyperlink w:anchor="AUTO_1997_294" w:history="1">
        <w:r w:rsidRPr="007D461E">
          <w:rPr>
            <w:rStyle w:val="TextoNormalCaracter"/>
          </w:rPr>
          <w:t>294/1997</w:t>
        </w:r>
      </w:hyperlink>
      <w:r>
        <w:t xml:space="preserve">; </w:t>
      </w:r>
      <w:hyperlink w:anchor="AUTO_1997_295" w:history="1">
        <w:r w:rsidRPr="007D461E">
          <w:rPr>
            <w:rStyle w:val="TextoNormalCaracter"/>
          </w:rPr>
          <w:t>295/1997</w:t>
        </w:r>
      </w:hyperlink>
      <w:r>
        <w:t>.</w:t>
      </w:r>
    </w:p>
    <w:p w:rsidR="007D461E" w:rsidRDefault="007D461E" w:rsidP="007D461E">
      <w:pPr>
        <w:pStyle w:val="SangriaFrancesaArticulo"/>
      </w:pPr>
      <w:r w:rsidRPr="007D461E">
        <w:rPr>
          <w:rStyle w:val="TextoNormalNegritaCaracter"/>
        </w:rPr>
        <w:t>Artículo 50.2.</w:t>
      </w:r>
      <w:r w:rsidRPr="007D461E">
        <w:rPr>
          <w:rStyle w:val="TextoNormalCaracter"/>
        </w:rPr>
        <w:t>-</w:t>
      </w:r>
      <w:r>
        <w:t xml:space="preserve"> Auto </w:t>
      </w:r>
      <w:hyperlink w:anchor="AUTO_1997_176" w:history="1">
        <w:r w:rsidRPr="007D461E">
          <w:rPr>
            <w:rStyle w:val="TextoNormalCaracter"/>
          </w:rPr>
          <w:t>176/1997</w:t>
        </w:r>
      </w:hyperlink>
      <w:r>
        <w:t>.</w:t>
      </w:r>
    </w:p>
    <w:p w:rsidR="007D461E" w:rsidRDefault="007D461E" w:rsidP="007D461E">
      <w:pPr>
        <w:pStyle w:val="SangriaFrancesaArticulo"/>
      </w:pPr>
      <w:r w:rsidRPr="007D461E">
        <w:rPr>
          <w:rStyle w:val="TextoNormalNegritaCaracter"/>
        </w:rPr>
        <w:t>Artículo 50.3.</w:t>
      </w:r>
      <w:r w:rsidRPr="007D461E">
        <w:rPr>
          <w:rStyle w:val="TextoNormalCaracter"/>
        </w:rPr>
        <w:t>-</w:t>
      </w:r>
      <w:r>
        <w:t xml:space="preserve"> Autos </w:t>
      </w:r>
      <w:hyperlink w:anchor="AUTO_1997_175" w:history="1">
        <w:r w:rsidRPr="007D461E">
          <w:rPr>
            <w:rStyle w:val="TextoNormalCaracter"/>
          </w:rPr>
          <w:t>175/1997</w:t>
        </w:r>
      </w:hyperlink>
      <w:r>
        <w:t xml:space="preserve">; </w:t>
      </w:r>
      <w:hyperlink w:anchor="AUTO_1997_182" w:history="1">
        <w:r w:rsidRPr="007D461E">
          <w:rPr>
            <w:rStyle w:val="TextoNormalCaracter"/>
          </w:rPr>
          <w:t>182/1997</w:t>
        </w:r>
      </w:hyperlink>
      <w:r>
        <w:t xml:space="preserve">; </w:t>
      </w:r>
      <w:hyperlink w:anchor="AUTO_1997_207" w:history="1">
        <w:r w:rsidRPr="007D461E">
          <w:rPr>
            <w:rStyle w:val="TextoNormalCaracter"/>
          </w:rPr>
          <w:t>207/1997</w:t>
        </w:r>
      </w:hyperlink>
      <w:r>
        <w:t xml:space="preserve">; </w:t>
      </w:r>
      <w:hyperlink w:anchor="AUTO_1997_209" w:history="1">
        <w:r w:rsidRPr="007D461E">
          <w:rPr>
            <w:rStyle w:val="TextoNormalCaracter"/>
          </w:rPr>
          <w:t>209/1997</w:t>
        </w:r>
      </w:hyperlink>
      <w:r>
        <w:t xml:space="preserve">; </w:t>
      </w:r>
      <w:hyperlink w:anchor="AUTO_1997_254" w:history="1">
        <w:r w:rsidRPr="007D461E">
          <w:rPr>
            <w:rStyle w:val="TextoNormalCaracter"/>
          </w:rPr>
          <w:t>254/1997</w:t>
        </w:r>
      </w:hyperlink>
      <w:r>
        <w:t>.</w:t>
      </w:r>
    </w:p>
    <w:p w:rsidR="007D461E" w:rsidRDefault="007D461E" w:rsidP="007D461E">
      <w:pPr>
        <w:pStyle w:val="SangriaFrancesaArticulo"/>
      </w:pPr>
      <w:r w:rsidRPr="007D461E">
        <w:rPr>
          <w:rStyle w:val="TextoNormalNegritaCaracter"/>
        </w:rPr>
        <w:t>Artículo 52.</w:t>
      </w:r>
      <w:r w:rsidRPr="007D461E">
        <w:rPr>
          <w:rStyle w:val="TextoNormalCaracter"/>
        </w:rPr>
        <w:t>-</w:t>
      </w:r>
      <w:r>
        <w:t xml:space="preserve"> Sentencia </w:t>
      </w:r>
      <w:hyperlink w:anchor="SENTENCIA_1997_99" w:history="1">
        <w:r w:rsidRPr="007D461E">
          <w:rPr>
            <w:rStyle w:val="TextoNormalCaracter"/>
          </w:rPr>
          <w:t>99/1997</w:t>
        </w:r>
      </w:hyperlink>
      <w:r>
        <w:t>, f. 2.</w:t>
      </w:r>
    </w:p>
    <w:p w:rsidR="007D461E" w:rsidRDefault="007D461E" w:rsidP="007D461E">
      <w:pPr>
        <w:pStyle w:val="SangriaIzquierdaArticulo"/>
      </w:pPr>
      <w:r>
        <w:t xml:space="preserve">Autos </w:t>
      </w:r>
      <w:hyperlink w:anchor="AUTO_1997_124" w:history="1">
        <w:r w:rsidRPr="007D461E">
          <w:rPr>
            <w:rStyle w:val="TextoNormalCaracter"/>
          </w:rPr>
          <w:t>124/1997</w:t>
        </w:r>
      </w:hyperlink>
      <w:r>
        <w:t xml:space="preserve">; </w:t>
      </w:r>
      <w:hyperlink w:anchor="AUTO_1997_207" w:history="1">
        <w:r w:rsidRPr="007D461E">
          <w:rPr>
            <w:rStyle w:val="TextoNormalCaracter"/>
          </w:rPr>
          <w:t>207/1997</w:t>
        </w:r>
      </w:hyperlink>
      <w:r>
        <w:t>.</w:t>
      </w:r>
    </w:p>
    <w:p w:rsidR="007D461E" w:rsidRDefault="007D461E" w:rsidP="007D461E">
      <w:pPr>
        <w:pStyle w:val="SangriaFrancesaArticulo"/>
      </w:pPr>
      <w:r w:rsidRPr="007D461E">
        <w:rPr>
          <w:rStyle w:val="TextoNormalNegritaCaracter"/>
        </w:rPr>
        <w:t>Artículo 55.2.</w:t>
      </w:r>
      <w:r w:rsidRPr="007D461E">
        <w:rPr>
          <w:rStyle w:val="TextoNormalCaracter"/>
        </w:rPr>
        <w:t>-</w:t>
      </w:r>
      <w:r>
        <w:t xml:space="preserve"> Sentencia </w:t>
      </w:r>
      <w:hyperlink w:anchor="SENTENCIA_1997_121" w:history="1">
        <w:r w:rsidRPr="007D461E">
          <w:rPr>
            <w:rStyle w:val="TextoNormalCaracter"/>
          </w:rPr>
          <w:t>121/1997</w:t>
        </w:r>
      </w:hyperlink>
      <w:r>
        <w:t>, f. 5.</w:t>
      </w:r>
    </w:p>
    <w:p w:rsidR="007D461E" w:rsidRDefault="007D461E" w:rsidP="007D461E">
      <w:pPr>
        <w:pStyle w:val="SangriaFrancesaArticulo"/>
      </w:pPr>
      <w:r w:rsidRPr="007D461E">
        <w:rPr>
          <w:rStyle w:val="TextoNormalNegritaCaracter"/>
        </w:rPr>
        <w:t>Artículo 56.</w:t>
      </w:r>
      <w:r w:rsidRPr="007D461E">
        <w:rPr>
          <w:rStyle w:val="TextoNormalCaracter"/>
        </w:rPr>
        <w:t>-</w:t>
      </w:r>
      <w:r>
        <w:t xml:space="preserve"> Autos </w:t>
      </w:r>
      <w:hyperlink w:anchor="AUTO_1997_126" w:history="1">
        <w:r w:rsidRPr="007D461E">
          <w:rPr>
            <w:rStyle w:val="TextoNormalCaracter"/>
          </w:rPr>
          <w:t>126/1997</w:t>
        </w:r>
      </w:hyperlink>
      <w:r>
        <w:t xml:space="preserve">; </w:t>
      </w:r>
      <w:hyperlink w:anchor="AUTO_1997_128" w:history="1">
        <w:r w:rsidRPr="007D461E">
          <w:rPr>
            <w:rStyle w:val="TextoNormalCaracter"/>
          </w:rPr>
          <w:t>128/1997</w:t>
        </w:r>
      </w:hyperlink>
      <w:r>
        <w:t xml:space="preserve">; </w:t>
      </w:r>
      <w:hyperlink w:anchor="AUTO_1997_185" w:history="1">
        <w:r w:rsidRPr="007D461E">
          <w:rPr>
            <w:rStyle w:val="TextoNormalCaracter"/>
          </w:rPr>
          <w:t>185/1997</w:t>
        </w:r>
      </w:hyperlink>
      <w:r>
        <w:t xml:space="preserve">; </w:t>
      </w:r>
      <w:hyperlink w:anchor="AUTO_1997_186" w:history="1">
        <w:r w:rsidRPr="007D461E">
          <w:rPr>
            <w:rStyle w:val="TextoNormalCaracter"/>
          </w:rPr>
          <w:t>186/1997</w:t>
        </w:r>
      </w:hyperlink>
      <w:r>
        <w:t xml:space="preserve">; </w:t>
      </w:r>
      <w:hyperlink w:anchor="AUTO_1997_192" w:history="1">
        <w:r w:rsidRPr="007D461E">
          <w:rPr>
            <w:rStyle w:val="TextoNormalCaracter"/>
          </w:rPr>
          <w:t>192/1997</w:t>
        </w:r>
      </w:hyperlink>
      <w:r>
        <w:t xml:space="preserve">; </w:t>
      </w:r>
      <w:hyperlink w:anchor="AUTO_1997_193" w:history="1">
        <w:r w:rsidRPr="007D461E">
          <w:rPr>
            <w:rStyle w:val="TextoNormalCaracter"/>
          </w:rPr>
          <w:t>193/1997</w:t>
        </w:r>
      </w:hyperlink>
      <w:r>
        <w:t xml:space="preserve">; </w:t>
      </w:r>
      <w:hyperlink w:anchor="AUTO_1997_194" w:history="1">
        <w:r w:rsidRPr="007D461E">
          <w:rPr>
            <w:rStyle w:val="TextoNormalCaracter"/>
          </w:rPr>
          <w:t>194/1997</w:t>
        </w:r>
      </w:hyperlink>
      <w:r>
        <w:t xml:space="preserve">; </w:t>
      </w:r>
      <w:hyperlink w:anchor="AUTO_1997_200" w:history="1">
        <w:r w:rsidRPr="007D461E">
          <w:rPr>
            <w:rStyle w:val="TextoNormalCaracter"/>
          </w:rPr>
          <w:t>200/1997</w:t>
        </w:r>
      </w:hyperlink>
      <w:r>
        <w:t xml:space="preserve">; </w:t>
      </w:r>
      <w:hyperlink w:anchor="AUTO_1997_212" w:history="1">
        <w:r w:rsidRPr="007D461E">
          <w:rPr>
            <w:rStyle w:val="TextoNormalCaracter"/>
          </w:rPr>
          <w:t>212/1997</w:t>
        </w:r>
      </w:hyperlink>
      <w:r>
        <w:t xml:space="preserve">; </w:t>
      </w:r>
      <w:hyperlink w:anchor="AUTO_1997_214" w:history="1">
        <w:r w:rsidRPr="007D461E">
          <w:rPr>
            <w:rStyle w:val="TextoNormalCaracter"/>
          </w:rPr>
          <w:t>214/1997</w:t>
        </w:r>
      </w:hyperlink>
      <w:r>
        <w:t xml:space="preserve">; </w:t>
      </w:r>
      <w:hyperlink w:anchor="AUTO_1997_216" w:history="1">
        <w:r w:rsidRPr="007D461E">
          <w:rPr>
            <w:rStyle w:val="TextoNormalCaracter"/>
          </w:rPr>
          <w:t>216/1997</w:t>
        </w:r>
      </w:hyperlink>
      <w:r>
        <w:t xml:space="preserve">; </w:t>
      </w:r>
      <w:hyperlink w:anchor="AUTO_1997_226" w:history="1">
        <w:r w:rsidRPr="007D461E">
          <w:rPr>
            <w:rStyle w:val="TextoNormalCaracter"/>
          </w:rPr>
          <w:t>226/1997</w:t>
        </w:r>
      </w:hyperlink>
      <w:r>
        <w:t xml:space="preserve">; </w:t>
      </w:r>
      <w:hyperlink w:anchor="AUTO_1997_284" w:history="1">
        <w:r w:rsidRPr="007D461E">
          <w:rPr>
            <w:rStyle w:val="TextoNormalCaracter"/>
          </w:rPr>
          <w:t>284/1997</w:t>
        </w:r>
      </w:hyperlink>
      <w:r>
        <w:t xml:space="preserve">; </w:t>
      </w:r>
      <w:hyperlink w:anchor="AUTO_1997_285" w:history="1">
        <w:r w:rsidRPr="007D461E">
          <w:rPr>
            <w:rStyle w:val="TextoNormalCaracter"/>
          </w:rPr>
          <w:t>285/1997</w:t>
        </w:r>
      </w:hyperlink>
      <w:r>
        <w:t>.</w:t>
      </w:r>
    </w:p>
    <w:p w:rsidR="007D461E" w:rsidRDefault="007D461E" w:rsidP="007D461E">
      <w:pPr>
        <w:pStyle w:val="SangriaFrancesaArticulo"/>
      </w:pPr>
      <w:r w:rsidRPr="007D461E">
        <w:rPr>
          <w:rStyle w:val="TextoNormalNegritaCaracter"/>
        </w:rPr>
        <w:t>Artículo 56.1.</w:t>
      </w:r>
      <w:r w:rsidRPr="007D461E">
        <w:rPr>
          <w:rStyle w:val="TextoNormalCaracter"/>
        </w:rPr>
        <w:t>-</w:t>
      </w:r>
      <w:r>
        <w:t xml:space="preserve"> Autos </w:t>
      </w:r>
      <w:hyperlink w:anchor="AUTO_1997_125" w:history="1">
        <w:r w:rsidRPr="007D461E">
          <w:rPr>
            <w:rStyle w:val="TextoNormalCaracter"/>
          </w:rPr>
          <w:t>125/1997</w:t>
        </w:r>
      </w:hyperlink>
      <w:r>
        <w:t xml:space="preserve">; </w:t>
      </w:r>
      <w:hyperlink w:anchor="AUTO_1997_127" w:history="1">
        <w:r w:rsidRPr="007D461E">
          <w:rPr>
            <w:rStyle w:val="TextoNormalCaracter"/>
          </w:rPr>
          <w:t>127/1997</w:t>
        </w:r>
      </w:hyperlink>
      <w:r>
        <w:t xml:space="preserve">; </w:t>
      </w:r>
      <w:hyperlink w:anchor="AUTO_1997_129" w:history="1">
        <w:r w:rsidRPr="007D461E">
          <w:rPr>
            <w:rStyle w:val="TextoNormalCaracter"/>
          </w:rPr>
          <w:t>129/1997</w:t>
        </w:r>
      </w:hyperlink>
      <w:r>
        <w:t xml:space="preserve">; </w:t>
      </w:r>
      <w:hyperlink w:anchor="AUTO_1997_141" w:history="1">
        <w:r w:rsidRPr="007D461E">
          <w:rPr>
            <w:rStyle w:val="TextoNormalCaracter"/>
          </w:rPr>
          <w:t>141/1997</w:t>
        </w:r>
      </w:hyperlink>
      <w:r>
        <w:t xml:space="preserve">; </w:t>
      </w:r>
      <w:hyperlink w:anchor="AUTO_1997_143" w:history="1">
        <w:r w:rsidRPr="007D461E">
          <w:rPr>
            <w:rStyle w:val="TextoNormalCaracter"/>
          </w:rPr>
          <w:t>143/1997</w:t>
        </w:r>
      </w:hyperlink>
      <w:r>
        <w:t xml:space="preserve">; </w:t>
      </w:r>
      <w:hyperlink w:anchor="AUTO_1997_144" w:history="1">
        <w:r w:rsidRPr="007D461E">
          <w:rPr>
            <w:rStyle w:val="TextoNormalCaracter"/>
          </w:rPr>
          <w:t>144/1997</w:t>
        </w:r>
      </w:hyperlink>
      <w:r>
        <w:t xml:space="preserve">; </w:t>
      </w:r>
      <w:hyperlink w:anchor="AUTO_1997_145" w:history="1">
        <w:r w:rsidRPr="007D461E">
          <w:rPr>
            <w:rStyle w:val="TextoNormalCaracter"/>
          </w:rPr>
          <w:t>145/1997</w:t>
        </w:r>
      </w:hyperlink>
      <w:r>
        <w:t xml:space="preserve">; </w:t>
      </w:r>
      <w:hyperlink w:anchor="AUTO_1997_149" w:history="1">
        <w:r w:rsidRPr="007D461E">
          <w:rPr>
            <w:rStyle w:val="TextoNormalCaracter"/>
          </w:rPr>
          <w:t>149/1997</w:t>
        </w:r>
      </w:hyperlink>
      <w:r>
        <w:t xml:space="preserve">; </w:t>
      </w:r>
      <w:hyperlink w:anchor="AUTO_1997_151" w:history="1">
        <w:r w:rsidRPr="007D461E">
          <w:rPr>
            <w:rStyle w:val="TextoNormalCaracter"/>
          </w:rPr>
          <w:t>151/1997</w:t>
        </w:r>
      </w:hyperlink>
      <w:r>
        <w:t xml:space="preserve">; </w:t>
      </w:r>
      <w:hyperlink w:anchor="AUTO_1997_152" w:history="1">
        <w:r w:rsidRPr="007D461E">
          <w:rPr>
            <w:rStyle w:val="TextoNormalCaracter"/>
          </w:rPr>
          <w:t>152/1997</w:t>
        </w:r>
      </w:hyperlink>
      <w:r>
        <w:t xml:space="preserve">; </w:t>
      </w:r>
      <w:hyperlink w:anchor="AUTO_1997_153" w:history="1">
        <w:r w:rsidRPr="007D461E">
          <w:rPr>
            <w:rStyle w:val="TextoNormalCaracter"/>
          </w:rPr>
          <w:t>153/1997</w:t>
        </w:r>
      </w:hyperlink>
      <w:r>
        <w:t xml:space="preserve">; </w:t>
      </w:r>
      <w:hyperlink w:anchor="AUTO_1997_155" w:history="1">
        <w:r w:rsidRPr="007D461E">
          <w:rPr>
            <w:rStyle w:val="TextoNormalCaracter"/>
          </w:rPr>
          <w:t>155/1997</w:t>
        </w:r>
      </w:hyperlink>
      <w:r>
        <w:t xml:space="preserve">; </w:t>
      </w:r>
      <w:hyperlink w:anchor="AUTO_1997_156" w:history="1">
        <w:r w:rsidRPr="007D461E">
          <w:rPr>
            <w:rStyle w:val="TextoNormalCaracter"/>
          </w:rPr>
          <w:t>156/1997</w:t>
        </w:r>
      </w:hyperlink>
      <w:r>
        <w:t xml:space="preserve">; </w:t>
      </w:r>
      <w:hyperlink w:anchor="AUTO_1997_158" w:history="1">
        <w:r w:rsidRPr="007D461E">
          <w:rPr>
            <w:rStyle w:val="TextoNormalCaracter"/>
          </w:rPr>
          <w:t>158/1997</w:t>
        </w:r>
      </w:hyperlink>
      <w:r>
        <w:t xml:space="preserve">; </w:t>
      </w:r>
      <w:hyperlink w:anchor="AUTO_1997_180" w:history="1">
        <w:r w:rsidRPr="007D461E">
          <w:rPr>
            <w:rStyle w:val="TextoNormalCaracter"/>
          </w:rPr>
          <w:t>180/1997</w:t>
        </w:r>
      </w:hyperlink>
      <w:r>
        <w:t xml:space="preserve">; </w:t>
      </w:r>
      <w:hyperlink w:anchor="AUTO_1997_181" w:history="1">
        <w:r w:rsidRPr="007D461E">
          <w:rPr>
            <w:rStyle w:val="TextoNormalCaracter"/>
          </w:rPr>
          <w:t>181/1997</w:t>
        </w:r>
      </w:hyperlink>
      <w:r>
        <w:t xml:space="preserve">; </w:t>
      </w:r>
      <w:hyperlink w:anchor="AUTO_1997_183" w:history="1">
        <w:r w:rsidRPr="007D461E">
          <w:rPr>
            <w:rStyle w:val="TextoNormalCaracter"/>
          </w:rPr>
          <w:t>183/1997</w:t>
        </w:r>
      </w:hyperlink>
      <w:r>
        <w:t xml:space="preserve">; </w:t>
      </w:r>
      <w:hyperlink w:anchor="AUTO_1997_184" w:history="1">
        <w:r w:rsidRPr="007D461E">
          <w:rPr>
            <w:rStyle w:val="TextoNormalCaracter"/>
          </w:rPr>
          <w:t>184/1997</w:t>
        </w:r>
      </w:hyperlink>
      <w:r>
        <w:t xml:space="preserve">; </w:t>
      </w:r>
      <w:hyperlink w:anchor="AUTO_1997_198" w:history="1">
        <w:r w:rsidRPr="007D461E">
          <w:rPr>
            <w:rStyle w:val="TextoNormalCaracter"/>
          </w:rPr>
          <w:t>198/1997</w:t>
        </w:r>
      </w:hyperlink>
      <w:r>
        <w:t xml:space="preserve">; </w:t>
      </w:r>
      <w:hyperlink w:anchor="AUTO_1997_202" w:history="1">
        <w:r w:rsidRPr="007D461E">
          <w:rPr>
            <w:rStyle w:val="TextoNormalCaracter"/>
          </w:rPr>
          <w:t>202/1997</w:t>
        </w:r>
      </w:hyperlink>
      <w:r>
        <w:t xml:space="preserve">; </w:t>
      </w:r>
      <w:hyperlink w:anchor="AUTO_1997_205" w:history="1">
        <w:r w:rsidRPr="007D461E">
          <w:rPr>
            <w:rStyle w:val="TextoNormalCaracter"/>
          </w:rPr>
          <w:t>205/1997</w:t>
        </w:r>
      </w:hyperlink>
      <w:r>
        <w:t xml:space="preserve">; </w:t>
      </w:r>
      <w:hyperlink w:anchor="AUTO_1997_210" w:history="1">
        <w:r w:rsidRPr="007D461E">
          <w:rPr>
            <w:rStyle w:val="TextoNormalCaracter"/>
          </w:rPr>
          <w:t>210/1997</w:t>
        </w:r>
      </w:hyperlink>
      <w:r>
        <w:t xml:space="preserve">; </w:t>
      </w:r>
      <w:hyperlink w:anchor="AUTO_1997_211" w:history="1">
        <w:r w:rsidRPr="007D461E">
          <w:rPr>
            <w:rStyle w:val="TextoNormalCaracter"/>
          </w:rPr>
          <w:t>211/1997</w:t>
        </w:r>
      </w:hyperlink>
      <w:r>
        <w:t xml:space="preserve">; </w:t>
      </w:r>
      <w:hyperlink w:anchor="AUTO_1997_213" w:history="1">
        <w:r w:rsidRPr="007D461E">
          <w:rPr>
            <w:rStyle w:val="TextoNormalCaracter"/>
          </w:rPr>
          <w:t>213/1997</w:t>
        </w:r>
      </w:hyperlink>
      <w:r>
        <w:t xml:space="preserve">; </w:t>
      </w:r>
      <w:hyperlink w:anchor="AUTO_1997_222" w:history="1">
        <w:r w:rsidRPr="007D461E">
          <w:rPr>
            <w:rStyle w:val="TextoNormalCaracter"/>
          </w:rPr>
          <w:t>222/1997</w:t>
        </w:r>
      </w:hyperlink>
      <w:r>
        <w:t xml:space="preserve">; </w:t>
      </w:r>
      <w:hyperlink w:anchor="AUTO_1997_223" w:history="1">
        <w:r w:rsidRPr="007D461E">
          <w:rPr>
            <w:rStyle w:val="TextoNormalCaracter"/>
          </w:rPr>
          <w:t>223/1997</w:t>
        </w:r>
      </w:hyperlink>
      <w:r>
        <w:t xml:space="preserve">; </w:t>
      </w:r>
      <w:hyperlink w:anchor="AUTO_1997_247" w:history="1">
        <w:r w:rsidRPr="007D461E">
          <w:rPr>
            <w:rStyle w:val="TextoNormalCaracter"/>
          </w:rPr>
          <w:t>247/1997</w:t>
        </w:r>
      </w:hyperlink>
      <w:r>
        <w:t xml:space="preserve">; </w:t>
      </w:r>
      <w:hyperlink w:anchor="AUTO_1997_248" w:history="1">
        <w:r w:rsidRPr="007D461E">
          <w:rPr>
            <w:rStyle w:val="TextoNormalCaracter"/>
          </w:rPr>
          <w:t>248/1997</w:t>
        </w:r>
      </w:hyperlink>
      <w:r>
        <w:t xml:space="preserve">; </w:t>
      </w:r>
      <w:hyperlink w:anchor="AUTO_1997_251" w:history="1">
        <w:r w:rsidRPr="007D461E">
          <w:rPr>
            <w:rStyle w:val="TextoNormalCaracter"/>
          </w:rPr>
          <w:t>251/1997</w:t>
        </w:r>
      </w:hyperlink>
      <w:r>
        <w:t xml:space="preserve">; </w:t>
      </w:r>
      <w:hyperlink w:anchor="AUTO_1997_253" w:history="1">
        <w:r w:rsidRPr="007D461E">
          <w:rPr>
            <w:rStyle w:val="TextoNormalCaracter"/>
          </w:rPr>
          <w:t>253/1997</w:t>
        </w:r>
      </w:hyperlink>
      <w:r>
        <w:t xml:space="preserve">; </w:t>
      </w:r>
      <w:hyperlink w:anchor="AUTO_1997_261" w:history="1">
        <w:r w:rsidRPr="007D461E">
          <w:rPr>
            <w:rStyle w:val="TextoNormalCaracter"/>
          </w:rPr>
          <w:t>261/1997</w:t>
        </w:r>
      </w:hyperlink>
      <w:r>
        <w:t xml:space="preserve">; </w:t>
      </w:r>
      <w:hyperlink w:anchor="AUTO_1997_265" w:history="1">
        <w:r w:rsidRPr="007D461E">
          <w:rPr>
            <w:rStyle w:val="TextoNormalCaracter"/>
          </w:rPr>
          <w:t>265/1997</w:t>
        </w:r>
      </w:hyperlink>
      <w:r>
        <w:t xml:space="preserve">; </w:t>
      </w:r>
      <w:hyperlink w:anchor="AUTO_1997_266" w:history="1">
        <w:r w:rsidRPr="007D461E">
          <w:rPr>
            <w:rStyle w:val="TextoNormalCaracter"/>
          </w:rPr>
          <w:t>266/1997</w:t>
        </w:r>
      </w:hyperlink>
      <w:r>
        <w:t xml:space="preserve">; </w:t>
      </w:r>
      <w:hyperlink w:anchor="AUTO_1997_281" w:history="1">
        <w:r w:rsidRPr="007D461E">
          <w:rPr>
            <w:rStyle w:val="TextoNormalCaracter"/>
          </w:rPr>
          <w:t>281/1997</w:t>
        </w:r>
      </w:hyperlink>
      <w:r>
        <w:t xml:space="preserve">; </w:t>
      </w:r>
      <w:hyperlink w:anchor="AUTO_1997_282" w:history="1">
        <w:r w:rsidRPr="007D461E">
          <w:rPr>
            <w:rStyle w:val="TextoNormalCaracter"/>
          </w:rPr>
          <w:t>282/1997</w:t>
        </w:r>
      </w:hyperlink>
      <w:r>
        <w:t xml:space="preserve">; </w:t>
      </w:r>
      <w:hyperlink w:anchor="AUTO_1997_283" w:history="1">
        <w:r w:rsidRPr="007D461E">
          <w:rPr>
            <w:rStyle w:val="TextoNormalCaracter"/>
          </w:rPr>
          <w:t>283/1997</w:t>
        </w:r>
      </w:hyperlink>
      <w:r>
        <w:t xml:space="preserve">; </w:t>
      </w:r>
      <w:hyperlink w:anchor="AUTO_1997_285" w:history="1">
        <w:r w:rsidRPr="007D461E">
          <w:rPr>
            <w:rStyle w:val="TextoNormalCaracter"/>
          </w:rPr>
          <w:t>285/1997</w:t>
        </w:r>
      </w:hyperlink>
      <w:r>
        <w:t xml:space="preserve">; </w:t>
      </w:r>
      <w:hyperlink w:anchor="AUTO_1997_286" w:history="1">
        <w:r w:rsidRPr="007D461E">
          <w:rPr>
            <w:rStyle w:val="TextoNormalCaracter"/>
          </w:rPr>
          <w:t>286/1997</w:t>
        </w:r>
      </w:hyperlink>
      <w:r>
        <w:t xml:space="preserve">; </w:t>
      </w:r>
      <w:hyperlink w:anchor="AUTO_1997_287" w:history="1">
        <w:r w:rsidRPr="007D461E">
          <w:rPr>
            <w:rStyle w:val="TextoNormalCaracter"/>
          </w:rPr>
          <w:t>287/1997</w:t>
        </w:r>
      </w:hyperlink>
      <w:r>
        <w:t xml:space="preserve">; </w:t>
      </w:r>
      <w:hyperlink w:anchor="AUTO_1997_288" w:history="1">
        <w:r w:rsidRPr="007D461E">
          <w:rPr>
            <w:rStyle w:val="TextoNormalCaracter"/>
          </w:rPr>
          <w:t>288/1997</w:t>
        </w:r>
      </w:hyperlink>
      <w:r>
        <w:t xml:space="preserve">; </w:t>
      </w:r>
      <w:hyperlink w:anchor="AUTO_1997_289" w:history="1">
        <w:r w:rsidRPr="007D461E">
          <w:rPr>
            <w:rStyle w:val="TextoNormalCaracter"/>
          </w:rPr>
          <w:t>289/1997</w:t>
        </w:r>
      </w:hyperlink>
      <w:r>
        <w:t>.</w:t>
      </w:r>
    </w:p>
    <w:p w:rsidR="007D461E" w:rsidRDefault="007D461E" w:rsidP="007D461E">
      <w:pPr>
        <w:pStyle w:val="SangriaFrancesaArticulo"/>
      </w:pPr>
      <w:r w:rsidRPr="007D461E">
        <w:rPr>
          <w:rStyle w:val="TextoNormalNegritaCaracter"/>
        </w:rPr>
        <w:t>Artículo 56.2.</w:t>
      </w:r>
      <w:r w:rsidRPr="007D461E">
        <w:rPr>
          <w:rStyle w:val="TextoNormalCaracter"/>
        </w:rPr>
        <w:t>-</w:t>
      </w:r>
      <w:r>
        <w:t xml:space="preserve"> Auto </w:t>
      </w:r>
      <w:hyperlink w:anchor="AUTO_1997_280" w:history="1">
        <w:r w:rsidRPr="007D461E">
          <w:rPr>
            <w:rStyle w:val="TextoNormalCaracter"/>
          </w:rPr>
          <w:t>280/1997</w:t>
        </w:r>
      </w:hyperlink>
      <w:r>
        <w:t>.</w:t>
      </w:r>
    </w:p>
    <w:p w:rsidR="007D461E" w:rsidRDefault="007D461E" w:rsidP="007D461E">
      <w:pPr>
        <w:pStyle w:val="SangriaFrancesaArticulo"/>
      </w:pPr>
      <w:r w:rsidRPr="007D461E">
        <w:rPr>
          <w:rStyle w:val="TextoNormalNegritaCaracter"/>
        </w:rPr>
        <w:t>Artículo 57.</w:t>
      </w:r>
      <w:r w:rsidRPr="007D461E">
        <w:rPr>
          <w:rStyle w:val="TextoNormalCaracter"/>
        </w:rPr>
        <w:t>-</w:t>
      </w:r>
      <w:r>
        <w:t xml:space="preserve"> Autos </w:t>
      </w:r>
      <w:hyperlink w:anchor="AUTO_1997_281" w:history="1">
        <w:r w:rsidRPr="007D461E">
          <w:rPr>
            <w:rStyle w:val="TextoNormalCaracter"/>
          </w:rPr>
          <w:t>281/1997</w:t>
        </w:r>
      </w:hyperlink>
      <w:r>
        <w:t xml:space="preserve">; </w:t>
      </w:r>
      <w:hyperlink w:anchor="AUTO_1997_286" w:history="1">
        <w:r w:rsidRPr="007D461E">
          <w:rPr>
            <w:rStyle w:val="TextoNormalCaracter"/>
          </w:rPr>
          <w:t>286/1997</w:t>
        </w:r>
      </w:hyperlink>
      <w:r>
        <w:t>.</w:t>
      </w:r>
    </w:p>
    <w:p w:rsidR="007D461E" w:rsidRDefault="007D461E" w:rsidP="007D461E">
      <w:pPr>
        <w:pStyle w:val="SangriaFrancesaArticulo"/>
      </w:pPr>
      <w:r w:rsidRPr="007D461E">
        <w:rPr>
          <w:rStyle w:val="TextoNormalNegritaCaracter"/>
        </w:rPr>
        <w:t>Artículo 58.</w:t>
      </w:r>
      <w:r w:rsidRPr="007D461E">
        <w:rPr>
          <w:rStyle w:val="TextoNormalCaracter"/>
        </w:rPr>
        <w:t>-</w:t>
      </w:r>
      <w:r>
        <w:t xml:space="preserve"> Sentencia </w:t>
      </w:r>
      <w:hyperlink w:anchor="SENTENCIA_1997_109" w:history="1">
        <w:r w:rsidRPr="007D461E">
          <w:rPr>
            <w:rStyle w:val="TextoNormalCaracter"/>
          </w:rPr>
          <w:t>109/1997</w:t>
        </w:r>
      </w:hyperlink>
      <w:r>
        <w:t>, f. 3.</w:t>
      </w:r>
    </w:p>
    <w:p w:rsidR="007D461E" w:rsidRDefault="007D461E" w:rsidP="007D461E">
      <w:pPr>
        <w:pStyle w:val="SangriaFrancesaArticulo"/>
      </w:pPr>
      <w:r w:rsidRPr="007D461E">
        <w:rPr>
          <w:rStyle w:val="TextoNormalNegritaCaracter"/>
        </w:rPr>
        <w:t>Artículo 63.</w:t>
      </w:r>
      <w:r w:rsidRPr="007D461E">
        <w:rPr>
          <w:rStyle w:val="TextoNormalCaracter"/>
        </w:rPr>
        <w:t>-</w:t>
      </w:r>
      <w:r>
        <w:t xml:space="preserve"> Sentencia </w:t>
      </w:r>
      <w:hyperlink w:anchor="SENTENCIA_1997_133" w:history="1">
        <w:r w:rsidRPr="007D461E">
          <w:rPr>
            <w:rStyle w:val="TextoNormalCaracter"/>
          </w:rPr>
          <w:t>133/1997</w:t>
        </w:r>
      </w:hyperlink>
      <w:r>
        <w:t>, f. 14.</w:t>
      </w:r>
    </w:p>
    <w:p w:rsidR="007D461E" w:rsidRDefault="007D461E" w:rsidP="007D461E">
      <w:pPr>
        <w:pStyle w:val="SangriaFrancesaArticulo"/>
      </w:pPr>
      <w:r w:rsidRPr="007D461E">
        <w:rPr>
          <w:rStyle w:val="TextoNormalNegritaCaracter"/>
        </w:rPr>
        <w:t>Artículo 80.</w:t>
      </w:r>
      <w:r w:rsidRPr="007D461E">
        <w:rPr>
          <w:rStyle w:val="TextoNormalCaracter"/>
        </w:rPr>
        <w:t>-</w:t>
      </w:r>
      <w:r>
        <w:t xml:space="preserve"> Autos </w:t>
      </w:r>
      <w:hyperlink w:anchor="AUTO_1997_173" w:history="1">
        <w:r w:rsidRPr="007D461E">
          <w:rPr>
            <w:rStyle w:val="TextoNormalCaracter"/>
          </w:rPr>
          <w:t>173/1997</w:t>
        </w:r>
      </w:hyperlink>
      <w:r>
        <w:t xml:space="preserve">; </w:t>
      </w:r>
      <w:hyperlink w:anchor="AUTO_1997_190" w:history="1">
        <w:r w:rsidRPr="007D461E">
          <w:rPr>
            <w:rStyle w:val="TextoNormalCaracter"/>
          </w:rPr>
          <w:t>190/1997</w:t>
        </w:r>
      </w:hyperlink>
      <w:r>
        <w:t xml:space="preserve">; </w:t>
      </w:r>
      <w:hyperlink w:anchor="AUTO_1997_258" w:history="1">
        <w:r w:rsidRPr="007D461E">
          <w:rPr>
            <w:rStyle w:val="TextoNormalCaracter"/>
          </w:rPr>
          <w:t>258/1997</w:t>
        </w:r>
      </w:hyperlink>
      <w:r>
        <w:t xml:space="preserve">; </w:t>
      </w:r>
      <w:hyperlink w:anchor="AUTO_1997_260" w:history="1">
        <w:r w:rsidRPr="007D461E">
          <w:rPr>
            <w:rStyle w:val="TextoNormalCaracter"/>
          </w:rPr>
          <w:t>260/1997</w:t>
        </w:r>
      </w:hyperlink>
      <w:r>
        <w:t xml:space="preserve">;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81.1.</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84.</w:t>
      </w:r>
      <w:r w:rsidRPr="007D461E">
        <w:rPr>
          <w:rStyle w:val="TextoNormalCaracter"/>
        </w:rPr>
        <w:t>-</w:t>
      </w:r>
      <w:r>
        <w:t xml:space="preserve"> Autos </w:t>
      </w:r>
      <w:hyperlink w:anchor="AUTO_1997_150" w:history="1">
        <w:r w:rsidRPr="007D461E">
          <w:rPr>
            <w:rStyle w:val="TextoNormalCaracter"/>
          </w:rPr>
          <w:t>150/1997</w:t>
        </w:r>
      </w:hyperlink>
      <w:r>
        <w:t xml:space="preserve">; </w:t>
      </w:r>
      <w:hyperlink w:anchor="AUTO_1997_189" w:history="1">
        <w:r w:rsidRPr="007D461E">
          <w:rPr>
            <w:rStyle w:val="TextoNormalCaracter"/>
          </w:rPr>
          <w:t>189/1997</w:t>
        </w:r>
      </w:hyperlink>
      <w:r>
        <w:t>.</w:t>
      </w:r>
    </w:p>
    <w:p w:rsidR="007D461E" w:rsidRDefault="007D461E" w:rsidP="007D461E">
      <w:pPr>
        <w:pStyle w:val="SangriaFrancesaArticulo"/>
      </w:pPr>
      <w:r w:rsidRPr="007D461E">
        <w:rPr>
          <w:rStyle w:val="TextoNormalNegritaCaracter"/>
        </w:rPr>
        <w:t>Artículo 86.</w:t>
      </w:r>
      <w:r w:rsidRPr="007D461E">
        <w:rPr>
          <w:rStyle w:val="TextoNormalCaracter"/>
        </w:rPr>
        <w:t>-</w:t>
      </w:r>
      <w:r>
        <w:t xml:space="preserve"> Autos </w:t>
      </w:r>
      <w:hyperlink w:anchor="AUTO_1997_173" w:history="1">
        <w:r w:rsidRPr="007D461E">
          <w:rPr>
            <w:rStyle w:val="TextoNormalCaracter"/>
          </w:rPr>
          <w:t>173/1997</w:t>
        </w:r>
      </w:hyperlink>
      <w:r>
        <w:t xml:space="preserve">; </w:t>
      </w:r>
      <w:hyperlink w:anchor="AUTO_1997_190" w:history="1">
        <w:r w:rsidRPr="007D461E">
          <w:rPr>
            <w:rStyle w:val="TextoNormalCaracter"/>
          </w:rPr>
          <w:t>190/1997</w:t>
        </w:r>
      </w:hyperlink>
      <w:r>
        <w:t>.</w:t>
      </w:r>
    </w:p>
    <w:p w:rsidR="007D461E" w:rsidRDefault="007D461E" w:rsidP="007D461E">
      <w:pPr>
        <w:pStyle w:val="SangriaFrancesaArticulo"/>
      </w:pPr>
      <w:r w:rsidRPr="007D461E">
        <w:rPr>
          <w:rStyle w:val="TextoNormalNegritaCaracter"/>
        </w:rPr>
        <w:t>Artículo 86.1.</w:t>
      </w:r>
      <w:r w:rsidRPr="007D461E">
        <w:rPr>
          <w:rStyle w:val="TextoNormalCaracter"/>
        </w:rPr>
        <w:t>-</w:t>
      </w:r>
      <w:r>
        <w:t xml:space="preserve"> Auto </w:t>
      </w:r>
      <w:hyperlink w:anchor="AUTO_1997_189" w:history="1">
        <w:r w:rsidRPr="007D461E">
          <w:rPr>
            <w:rStyle w:val="TextoNormalCaracter"/>
          </w:rPr>
          <w:t>189/1997</w:t>
        </w:r>
      </w:hyperlink>
      <w:r>
        <w:t>.</w:t>
      </w:r>
    </w:p>
    <w:p w:rsidR="007D461E" w:rsidRDefault="007D461E" w:rsidP="007D461E">
      <w:pPr>
        <w:pStyle w:val="SangriaFrancesaArticulo"/>
      </w:pPr>
      <w:r w:rsidRPr="007D461E">
        <w:rPr>
          <w:rStyle w:val="TextoNormalNegritaCaracter"/>
        </w:rPr>
        <w:lastRenderedPageBreak/>
        <w:t>Artículo 88.1.</w:t>
      </w:r>
      <w:r w:rsidRPr="007D461E">
        <w:rPr>
          <w:rStyle w:val="TextoNormalCaracter"/>
        </w:rPr>
        <w:t>-</w:t>
      </w:r>
      <w:r>
        <w:t xml:space="preserve"> Auto </w:t>
      </w:r>
      <w:hyperlink w:anchor="AUTO_1997_244" w:history="1">
        <w:r w:rsidRPr="007D461E">
          <w:rPr>
            <w:rStyle w:val="TextoNormalCaracter"/>
          </w:rPr>
          <w:t>244/1997</w:t>
        </w:r>
      </w:hyperlink>
      <w:r>
        <w:t>.</w:t>
      </w:r>
    </w:p>
    <w:p w:rsidR="007D461E" w:rsidRDefault="007D461E" w:rsidP="007D461E">
      <w:pPr>
        <w:pStyle w:val="SangriaFrancesaArticulo"/>
      </w:pPr>
      <w:r w:rsidRPr="007D461E">
        <w:rPr>
          <w:rStyle w:val="TextoNormalNegritaCaracter"/>
        </w:rPr>
        <w:t>Artículo 89.1.</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93.1.</w:t>
      </w:r>
      <w:r w:rsidRPr="007D461E">
        <w:rPr>
          <w:rStyle w:val="TextoNormalCaracter"/>
        </w:rPr>
        <w:t>-</w:t>
      </w:r>
      <w:r>
        <w:t xml:space="preserve"> Auto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93.2.</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Disposición transitoria segunda, apartado 2.</w:t>
      </w:r>
      <w:r w:rsidRPr="007D461E">
        <w:rPr>
          <w:rStyle w:val="TextoNormalCaracter"/>
        </w:rPr>
        <w:t>-</w:t>
      </w:r>
      <w:r>
        <w:t xml:space="preserve"> Sentencias </w:t>
      </w:r>
      <w:hyperlink w:anchor="SENTENCIA_1997_95" w:history="1">
        <w:r w:rsidRPr="007D461E">
          <w:rPr>
            <w:rStyle w:val="TextoNormalCaracter"/>
          </w:rPr>
          <w:t>95/1997</w:t>
        </w:r>
      </w:hyperlink>
      <w:r>
        <w:t xml:space="preserve">, f. 3; </w:t>
      </w:r>
      <w:hyperlink w:anchor="SENTENCIA_1997_125" w:history="1">
        <w:r w:rsidRPr="007D461E">
          <w:rPr>
            <w:rStyle w:val="TextoNormalCaracter"/>
          </w:rPr>
          <w:t>125/1997</w:t>
        </w:r>
      </w:hyperlink>
      <w:r>
        <w:t>, f. 4.</w:t>
      </w:r>
    </w:p>
    <w:p w:rsidR="007D461E" w:rsidRDefault="007D461E" w:rsidP="007D461E">
      <w:pPr>
        <w:pStyle w:val="SangriaFrancesaArticulo"/>
      </w:pPr>
    </w:p>
    <w:p w:rsidR="007D461E" w:rsidRDefault="007D461E" w:rsidP="007D461E">
      <w:pPr>
        <w:pStyle w:val="TextoNormalNegritaCursivandice"/>
      </w:pPr>
      <w:r>
        <w:t>Acuerdo del Pleno del Tribunal Constitucional, de 15 de junio de 1982. Normas que han de regir el funcionamiento del Tribunal durante el período de vacaciones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p>
    <w:p w:rsidR="007D461E" w:rsidRDefault="007D461E" w:rsidP="007D461E">
      <w:pPr>
        <w:pStyle w:val="TextoNormalNegritaCursivandice"/>
      </w:pPr>
      <w:r>
        <w:t>Acuerdo del Pleno del Tribunal Constitucional, de 18 de junio de 1996. Asistencia jurídica gratuita en los procesos de amparo constitucional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 xml:space="preserve">;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9.</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10.1.</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TextoNormal"/>
      </w:pPr>
    </w:p>
    <w:p w:rsidR="007D461E" w:rsidRDefault="007D461E" w:rsidP="007D461E">
      <w:pPr>
        <w:pStyle w:val="SangriaFrancesaArticulo"/>
      </w:pPr>
      <w:bookmarkStart w:id="235" w:name="INDICE22844"/>
    </w:p>
    <w:bookmarkEnd w:id="235"/>
    <w:p w:rsidR="007D461E" w:rsidRDefault="007D461E" w:rsidP="007D461E">
      <w:pPr>
        <w:pStyle w:val="TextoIndiceNivel2"/>
        <w:suppressAutoHyphens/>
      </w:pPr>
      <w:r>
        <w:t>C) Cortes Generales</w:t>
      </w:r>
    </w:p>
    <w:p w:rsidR="007D461E" w:rsidRDefault="007D461E" w:rsidP="007D461E">
      <w:pPr>
        <w:pStyle w:val="TextoIndiceNivel2"/>
      </w:pPr>
    </w:p>
    <w:p w:rsidR="007D461E" w:rsidRDefault="007D461E" w:rsidP="007D461E">
      <w:pPr>
        <w:pStyle w:val="TextoNormalNegritaCursivandice"/>
      </w:pPr>
      <w:r>
        <w:t>Estatuto del personal de las Cortes Generales, de 23 de junio de 1983</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1" w:history="1">
        <w:r w:rsidRPr="007D461E">
          <w:rPr>
            <w:rStyle w:val="TextoNormalCaracter"/>
          </w:rPr>
          <w:t>121/1997</w:t>
        </w:r>
      </w:hyperlink>
      <w:r>
        <w:t>, f. 6.</w:t>
      </w:r>
    </w:p>
    <w:p w:rsidR="007D461E" w:rsidRDefault="007D461E" w:rsidP="007D461E">
      <w:pPr>
        <w:pStyle w:val="SangriaFrancesaArticulo"/>
      </w:pPr>
      <w:r w:rsidRPr="007D461E">
        <w:rPr>
          <w:rStyle w:val="TextoNormalNegritaCaracter"/>
        </w:rPr>
        <w:t>Artículo 23.</w:t>
      </w:r>
      <w:r w:rsidRPr="007D461E">
        <w:rPr>
          <w:rStyle w:val="TextoNormalCaracter"/>
        </w:rPr>
        <w:t>-</w:t>
      </w:r>
      <w:r>
        <w:t xml:space="preserve"> Sentencia </w:t>
      </w:r>
      <w:hyperlink w:anchor="SENTENCIA_1997_121" w:history="1">
        <w:r w:rsidRPr="007D461E">
          <w:rPr>
            <w:rStyle w:val="TextoNormalCaracter"/>
          </w:rPr>
          <w:t>121/1997</w:t>
        </w:r>
      </w:hyperlink>
      <w:r>
        <w:t>, ff. 1, 4, 5, 7, 10 a 12.</w:t>
      </w:r>
    </w:p>
    <w:p w:rsidR="007D461E" w:rsidRDefault="007D461E" w:rsidP="007D461E">
      <w:pPr>
        <w:pStyle w:val="SangriaFrancesaArticulo"/>
      </w:pPr>
      <w:r w:rsidRPr="007D461E">
        <w:rPr>
          <w:rStyle w:val="TextoNormalNegritaCaracter"/>
        </w:rPr>
        <w:t>Artículo 23.1.</w:t>
      </w:r>
      <w:r w:rsidRPr="007D461E">
        <w:rPr>
          <w:rStyle w:val="TextoNormalCaracter"/>
        </w:rPr>
        <w:t>-</w:t>
      </w:r>
      <w:r>
        <w:t xml:space="preserve"> Sentencia </w:t>
      </w:r>
      <w:hyperlink w:anchor="SENTENCIA_1997_121" w:history="1">
        <w:r w:rsidRPr="007D461E">
          <w:rPr>
            <w:rStyle w:val="TextoNormalCaracter"/>
          </w:rPr>
          <w:t>121/1997</w:t>
        </w:r>
      </w:hyperlink>
      <w:r>
        <w:t>, f. 10.</w:t>
      </w:r>
    </w:p>
    <w:p w:rsidR="007D461E" w:rsidRDefault="007D461E" w:rsidP="007D461E">
      <w:pPr>
        <w:pStyle w:val="SangriaFrancesaArticulo"/>
      </w:pPr>
      <w:r w:rsidRPr="007D461E">
        <w:rPr>
          <w:rStyle w:val="TextoNormalNegritaCaracter"/>
        </w:rPr>
        <w:t>Artículo 23.2.</w:t>
      </w:r>
      <w:r w:rsidRPr="007D461E">
        <w:rPr>
          <w:rStyle w:val="TextoNormalCaracter"/>
        </w:rPr>
        <w:t>-</w:t>
      </w:r>
      <w:r>
        <w:t xml:space="preserve"> Sentencia </w:t>
      </w:r>
      <w:hyperlink w:anchor="SENTENCIA_1997_121" w:history="1">
        <w:r w:rsidRPr="007D461E">
          <w:rPr>
            <w:rStyle w:val="TextoNormalCaracter"/>
          </w:rPr>
          <w:t>121/1997</w:t>
        </w:r>
      </w:hyperlink>
      <w:r>
        <w:t>, f. 11.</w:t>
      </w:r>
    </w:p>
    <w:p w:rsidR="007D461E" w:rsidRDefault="007D461E" w:rsidP="007D461E">
      <w:pPr>
        <w:pStyle w:val="SangriaFrancesaArticulo"/>
      </w:pPr>
      <w:r w:rsidRPr="007D461E">
        <w:rPr>
          <w:rStyle w:val="TextoNormalNegritaCaracter"/>
        </w:rPr>
        <w:t>Artículo 24.</w:t>
      </w:r>
      <w:r w:rsidRPr="007D461E">
        <w:rPr>
          <w:rStyle w:val="TextoNormalCaracter"/>
        </w:rPr>
        <w:t>-</w:t>
      </w:r>
      <w:r>
        <w:t xml:space="preserve"> Sentencia </w:t>
      </w:r>
      <w:hyperlink w:anchor="SENTENCIA_1997_121" w:history="1">
        <w:r w:rsidRPr="007D461E">
          <w:rPr>
            <w:rStyle w:val="TextoNormalCaracter"/>
          </w:rPr>
          <w:t>121/1997</w:t>
        </w:r>
      </w:hyperlink>
      <w:r>
        <w:t>, ff. 1, 4.</w:t>
      </w:r>
    </w:p>
    <w:p w:rsidR="007D461E" w:rsidRDefault="007D461E" w:rsidP="007D461E">
      <w:pPr>
        <w:pStyle w:val="SangriaFrancesaArticulo"/>
      </w:pPr>
      <w:r w:rsidRPr="007D461E">
        <w:rPr>
          <w:rStyle w:val="TextoNormalNegritaCaracter"/>
        </w:rPr>
        <w:t>Artículo 24.8.</w:t>
      </w:r>
      <w:r w:rsidRPr="007D461E">
        <w:rPr>
          <w:rStyle w:val="TextoNormalCaracter"/>
        </w:rPr>
        <w:t>-</w:t>
      </w:r>
      <w:r>
        <w:t xml:space="preserve"> Sentencia </w:t>
      </w:r>
      <w:hyperlink w:anchor="SENTENCIA_1997_121" w:history="1">
        <w:r w:rsidRPr="007D461E">
          <w:rPr>
            <w:rStyle w:val="TextoNormalCaracter"/>
          </w:rPr>
          <w:t>121/1997</w:t>
        </w:r>
      </w:hyperlink>
      <w:r>
        <w:t>, f. 6.</w:t>
      </w:r>
    </w:p>
    <w:p w:rsidR="007D461E" w:rsidRDefault="007D461E" w:rsidP="007D461E">
      <w:pPr>
        <w:pStyle w:val="SangriaFrancesaArticulo"/>
      </w:pPr>
      <w:r w:rsidRPr="007D461E">
        <w:rPr>
          <w:rStyle w:val="TextoNormalNegritaCaracter"/>
        </w:rPr>
        <w:t>Artículo 24.8 c).</w:t>
      </w:r>
      <w:r w:rsidRPr="007D461E">
        <w:rPr>
          <w:rStyle w:val="TextoNormalCaracter"/>
        </w:rPr>
        <w:t>-</w:t>
      </w:r>
      <w:r>
        <w:t xml:space="preserve"> Sentencia </w:t>
      </w:r>
      <w:hyperlink w:anchor="SENTENCIA_1997_121" w:history="1">
        <w:r w:rsidRPr="007D461E">
          <w:rPr>
            <w:rStyle w:val="TextoNormalCaracter"/>
          </w:rPr>
          <w:t>121/1997</w:t>
        </w:r>
      </w:hyperlink>
      <w:r>
        <w:t>, f. 6.</w:t>
      </w:r>
    </w:p>
    <w:p w:rsidR="007D461E" w:rsidRDefault="007D461E" w:rsidP="007D461E">
      <w:pPr>
        <w:pStyle w:val="SangriaFrancesaArticulo"/>
      </w:pPr>
      <w:r w:rsidRPr="007D461E">
        <w:rPr>
          <w:rStyle w:val="TextoNormalNegritaCaracter"/>
        </w:rPr>
        <w:t>Artículo 24.15 d).</w:t>
      </w:r>
      <w:r w:rsidRPr="007D461E">
        <w:rPr>
          <w:rStyle w:val="TextoNormalCaracter"/>
        </w:rPr>
        <w:t>-</w:t>
      </w:r>
      <w:r>
        <w:t xml:space="preserve"> Sentencia </w:t>
      </w:r>
      <w:hyperlink w:anchor="SENTENCIA_1997_121" w:history="1">
        <w:r w:rsidRPr="007D461E">
          <w:rPr>
            <w:rStyle w:val="TextoNormalCaracter"/>
          </w:rPr>
          <w:t>121/1997</w:t>
        </w:r>
      </w:hyperlink>
      <w:r>
        <w:t>, f. 6.</w:t>
      </w:r>
    </w:p>
    <w:p w:rsidR="007D461E" w:rsidRDefault="007D461E" w:rsidP="007D461E">
      <w:pPr>
        <w:pStyle w:val="SangriaFrancesaArticulo"/>
      </w:pPr>
    </w:p>
    <w:p w:rsidR="007D461E" w:rsidRDefault="007D461E" w:rsidP="007D461E">
      <w:pPr>
        <w:pStyle w:val="TextoNormalNegritaCursivandice"/>
      </w:pPr>
      <w:r>
        <w:t>Acuerdo de 25 de abril de 1988, adoptado por las Mesas del Congreso y del Senado en reunión conjunta, por el que se da nueva redacción a los artículos 23 y 24 del Estatuto del personal de las Cortes Generales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1" w:history="1">
        <w:r w:rsidRPr="007D461E">
          <w:rPr>
            <w:rStyle w:val="TextoNormalCaracter"/>
          </w:rPr>
          <w:t>121/1997</w:t>
        </w:r>
      </w:hyperlink>
      <w:r>
        <w:t>, ff. 1, 4, 7, 10, 11.</w:t>
      </w:r>
    </w:p>
    <w:p w:rsidR="007D461E" w:rsidRDefault="007D461E" w:rsidP="007D461E">
      <w:pPr>
        <w:pStyle w:val="SangriaFrancesaArticulo"/>
      </w:pPr>
    </w:p>
    <w:p w:rsidR="007D461E" w:rsidRDefault="007D461E" w:rsidP="007D461E">
      <w:pPr>
        <w:pStyle w:val="TextoNormalNegritaCursivandice"/>
      </w:pPr>
      <w:r>
        <w:t>Resolución de los Presidentes del Congreso de los Diputados y del Senado, de 20 de mayo de 1988, por la que se dictan normas reguladoras de las elecciones a la Junta de Personal de las Cortes Generales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1" w:history="1">
        <w:r w:rsidRPr="007D461E">
          <w:rPr>
            <w:rStyle w:val="TextoNormalCaracter"/>
          </w:rPr>
          <w:t>121/1997</w:t>
        </w:r>
      </w:hyperlink>
      <w:r>
        <w:t>, ff. 1, 4, 6.</w:t>
      </w:r>
    </w:p>
    <w:p w:rsidR="007D461E" w:rsidRDefault="007D461E" w:rsidP="007D461E">
      <w:pPr>
        <w:pStyle w:val="SangriaFrancesaArticulo"/>
      </w:pPr>
      <w:r w:rsidRPr="007D461E">
        <w:rPr>
          <w:rStyle w:val="TextoNormalNegritaCaracter"/>
        </w:rPr>
        <w:t>Artículo 3.1.</w:t>
      </w:r>
      <w:r w:rsidRPr="007D461E">
        <w:rPr>
          <w:rStyle w:val="TextoNormalCaracter"/>
        </w:rPr>
        <w:t>-</w:t>
      </w:r>
      <w:r>
        <w:t xml:space="preserve"> Sentencia </w:t>
      </w:r>
      <w:hyperlink w:anchor="SENTENCIA_1997_121" w:history="1">
        <w:r w:rsidRPr="007D461E">
          <w:rPr>
            <w:rStyle w:val="TextoNormalCaracter"/>
          </w:rPr>
          <w:t>121/1997</w:t>
        </w:r>
      </w:hyperlink>
      <w:r>
        <w:t>, ff. 7, 12.</w:t>
      </w:r>
    </w:p>
    <w:p w:rsidR="007D461E" w:rsidRDefault="007D461E" w:rsidP="007D461E">
      <w:pPr>
        <w:pStyle w:val="SangriaFrancesaArticulo"/>
      </w:pPr>
      <w:r w:rsidRPr="007D461E">
        <w:rPr>
          <w:rStyle w:val="TextoNormalNegritaCaracter"/>
        </w:rPr>
        <w:t>Artículo 8.1.</w:t>
      </w:r>
      <w:r w:rsidRPr="007D461E">
        <w:rPr>
          <w:rStyle w:val="TextoNormalCaracter"/>
        </w:rPr>
        <w:t>-</w:t>
      </w:r>
      <w:r>
        <w:t xml:space="preserve"> Sentencia </w:t>
      </w:r>
      <w:hyperlink w:anchor="SENTENCIA_1997_121" w:history="1">
        <w:r w:rsidRPr="007D461E">
          <w:rPr>
            <w:rStyle w:val="TextoNormalCaracter"/>
          </w:rPr>
          <w:t>121/1997</w:t>
        </w:r>
      </w:hyperlink>
      <w:r>
        <w:t>, f. 6.</w:t>
      </w:r>
    </w:p>
    <w:p w:rsidR="007D461E" w:rsidRDefault="007D461E" w:rsidP="007D461E">
      <w:pPr>
        <w:pStyle w:val="SangriaFrancesaArticulo"/>
      </w:pPr>
      <w:r w:rsidRPr="007D461E">
        <w:rPr>
          <w:rStyle w:val="TextoNormalNegritaCaracter"/>
        </w:rPr>
        <w:t>Artículo 9.1.</w:t>
      </w:r>
      <w:r w:rsidRPr="007D461E">
        <w:rPr>
          <w:rStyle w:val="TextoNormalCaracter"/>
        </w:rPr>
        <w:t>-</w:t>
      </w:r>
      <w:r>
        <w:t xml:space="preserve"> Sentencia </w:t>
      </w:r>
      <w:hyperlink w:anchor="SENTENCIA_1997_121" w:history="1">
        <w:r w:rsidRPr="007D461E">
          <w:rPr>
            <w:rStyle w:val="TextoNormalCaracter"/>
          </w:rPr>
          <w:t>121/1997</w:t>
        </w:r>
      </w:hyperlink>
      <w:r>
        <w:t>, ff. 5, 7, 12.</w:t>
      </w:r>
    </w:p>
    <w:p w:rsidR="007D461E" w:rsidRDefault="007D461E" w:rsidP="007D461E">
      <w:pPr>
        <w:pStyle w:val="TextoNormal"/>
      </w:pPr>
    </w:p>
    <w:p w:rsidR="007D461E" w:rsidRDefault="007D461E" w:rsidP="007D461E">
      <w:pPr>
        <w:pStyle w:val="SangriaFrancesaArticulo"/>
      </w:pPr>
      <w:bookmarkStart w:id="236" w:name="INDICE22845"/>
    </w:p>
    <w:bookmarkEnd w:id="236"/>
    <w:p w:rsidR="007D461E" w:rsidRDefault="007D461E" w:rsidP="007D461E">
      <w:pPr>
        <w:pStyle w:val="TextoIndiceNivel2"/>
        <w:suppressAutoHyphens/>
      </w:pPr>
      <w:r>
        <w:lastRenderedPageBreak/>
        <w:t>D) Leyes Orgánicas</w:t>
      </w:r>
    </w:p>
    <w:p w:rsidR="007D461E" w:rsidRDefault="007D461E" w:rsidP="007D461E">
      <w:pPr>
        <w:pStyle w:val="TextoIndiceNivel2"/>
      </w:pPr>
    </w:p>
    <w:p w:rsidR="007D461E" w:rsidRDefault="007D461E" w:rsidP="007D461E">
      <w:pPr>
        <w:pStyle w:val="TextoNormalNegritaCursivandice"/>
      </w:pPr>
      <w:r>
        <w:t>Ley Orgánica 1/1979, de 26 de septiembre. General penitenciaria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8" w:history="1">
        <w:r w:rsidRPr="007D461E">
          <w:rPr>
            <w:rStyle w:val="TextoNormalCaracter"/>
          </w:rPr>
          <w:t>128/1997</w:t>
        </w:r>
      </w:hyperlink>
      <w:r>
        <w:t>, VP.</w:t>
      </w:r>
    </w:p>
    <w:p w:rsidR="007D461E" w:rsidRDefault="007D461E" w:rsidP="007D461E">
      <w:pPr>
        <w:pStyle w:val="SangriaFrancesaArticulo"/>
      </w:pPr>
      <w:r w:rsidRPr="007D461E">
        <w:rPr>
          <w:rStyle w:val="TextoNormalNegritaCaracter"/>
        </w:rPr>
        <w:t>Artículo 51.1.</w:t>
      </w:r>
      <w:r w:rsidRPr="007D461E">
        <w:rPr>
          <w:rStyle w:val="TextoNormalCaracter"/>
        </w:rPr>
        <w:t>-</w:t>
      </w:r>
      <w:r>
        <w:t xml:space="preserve"> Sentencia </w:t>
      </w:r>
      <w:hyperlink w:anchor="SENTENCIA_1997_128" w:history="1">
        <w:r w:rsidRPr="007D461E">
          <w:rPr>
            <w:rStyle w:val="TextoNormalCaracter"/>
          </w:rPr>
          <w:t>128/1997</w:t>
        </w:r>
      </w:hyperlink>
      <w:r>
        <w:t>, ff. 4, 5.</w:t>
      </w:r>
    </w:p>
    <w:p w:rsidR="007D461E" w:rsidRDefault="007D461E" w:rsidP="007D461E">
      <w:pPr>
        <w:pStyle w:val="SangriaFrancesaArticulo"/>
      </w:pPr>
      <w:r w:rsidRPr="007D461E">
        <w:rPr>
          <w:rStyle w:val="TextoNormalNegritaCaracter"/>
        </w:rPr>
        <w:t>Artículo 51.5.</w:t>
      </w:r>
      <w:r w:rsidRPr="007D461E">
        <w:rPr>
          <w:rStyle w:val="TextoNormalCaracter"/>
        </w:rPr>
        <w:t>-</w:t>
      </w:r>
      <w:r>
        <w:t xml:space="preserve"> Sentencia </w:t>
      </w:r>
      <w:hyperlink w:anchor="SENTENCIA_1997_128" w:history="1">
        <w:r w:rsidRPr="007D461E">
          <w:rPr>
            <w:rStyle w:val="TextoNormalCaracter"/>
          </w:rPr>
          <w:t>128/1997</w:t>
        </w:r>
      </w:hyperlink>
      <w:r>
        <w:t>, ff. 2, 4.</w:t>
      </w:r>
    </w:p>
    <w:p w:rsidR="007D461E" w:rsidRDefault="007D461E" w:rsidP="007D461E">
      <w:pPr>
        <w:pStyle w:val="SangriaFrancesaArticulo"/>
      </w:pPr>
      <w:r w:rsidRPr="007D461E">
        <w:rPr>
          <w:rStyle w:val="TextoNormalNegritaCaracter"/>
        </w:rPr>
        <w:t>Artículo 76.1.</w:t>
      </w:r>
      <w:r w:rsidRPr="007D461E">
        <w:rPr>
          <w:rStyle w:val="TextoNormalCaracter"/>
        </w:rPr>
        <w:t>-</w:t>
      </w:r>
      <w:r>
        <w:t xml:space="preserve"> Sentencia </w:t>
      </w:r>
      <w:hyperlink w:anchor="SENTENCIA_1997_128" w:history="1">
        <w:r w:rsidRPr="007D461E">
          <w:rPr>
            <w:rStyle w:val="TextoNormalCaracter"/>
          </w:rPr>
          <w:t>128/1997</w:t>
        </w:r>
      </w:hyperlink>
      <w:r>
        <w:t>, f. 6.</w:t>
      </w:r>
    </w:p>
    <w:p w:rsidR="007D461E" w:rsidRDefault="007D461E" w:rsidP="007D461E">
      <w:pPr>
        <w:pStyle w:val="SangriaFrancesaArticulo"/>
      </w:pPr>
    </w:p>
    <w:p w:rsidR="007D461E" w:rsidRDefault="007D461E" w:rsidP="007D461E">
      <w:pPr>
        <w:pStyle w:val="TextoNormalNegritaCursivandice"/>
      </w:pPr>
      <w:r>
        <w:t>Ley Orgánica 8/1980, de 22 de septiembre. Financiación de las Comunidades Autónomas</w:t>
      </w:r>
    </w:p>
    <w:p w:rsidR="007D461E" w:rsidRDefault="007D461E" w:rsidP="007D461E">
      <w:pPr>
        <w:pStyle w:val="SangriaFrancesaArticulo"/>
      </w:pPr>
      <w:r w:rsidRPr="007D461E">
        <w:rPr>
          <w:rStyle w:val="TextoNormalNegritaCaracter"/>
        </w:rPr>
        <w:t>Artículo 2.1 b).</w:t>
      </w:r>
      <w:r w:rsidRPr="007D461E">
        <w:rPr>
          <w:rStyle w:val="TextoNormalCaracter"/>
        </w:rPr>
        <w:t>-</w:t>
      </w:r>
      <w:r>
        <w:t xml:space="preserve"> Sentencia </w:t>
      </w:r>
      <w:hyperlink w:anchor="SENTENCIA_1997_103" w:history="1">
        <w:r w:rsidRPr="007D461E">
          <w:rPr>
            <w:rStyle w:val="TextoNormalCaracter"/>
          </w:rPr>
          <w:t>103/1997</w:t>
        </w:r>
      </w:hyperlink>
      <w:r>
        <w:t>, f. 1.</w:t>
      </w:r>
    </w:p>
    <w:p w:rsidR="007D461E" w:rsidRDefault="007D461E" w:rsidP="007D461E">
      <w:pPr>
        <w:pStyle w:val="SangriaFrancesaArticulo"/>
      </w:pPr>
    </w:p>
    <w:p w:rsidR="007D461E" w:rsidRDefault="007D461E" w:rsidP="007D461E">
      <w:pPr>
        <w:pStyle w:val="TextoNormalNegritaCursivandice"/>
      </w:pPr>
      <w:r>
        <w:t>Ley Orgánica 7/1982, de 13 de julio. Contrabando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93" w:history="1">
        <w:r w:rsidRPr="007D461E">
          <w:rPr>
            <w:rStyle w:val="TextoNormalCaracter"/>
          </w:rPr>
          <w:t>293/1997</w:t>
        </w:r>
      </w:hyperlink>
      <w:r>
        <w:t>.</w:t>
      </w:r>
    </w:p>
    <w:p w:rsidR="007D461E" w:rsidRDefault="007D461E" w:rsidP="007D461E">
      <w:pPr>
        <w:pStyle w:val="SangriaFrancesaArticulo"/>
      </w:pPr>
      <w:r w:rsidRPr="007D461E">
        <w:rPr>
          <w:rStyle w:val="TextoNormalNegritaCaracter"/>
        </w:rPr>
        <w:t>Artículo 5.</w:t>
      </w:r>
      <w:r w:rsidRPr="007D461E">
        <w:rPr>
          <w:rStyle w:val="TextoNormalCaracter"/>
        </w:rPr>
        <w:t>-</w:t>
      </w:r>
      <w:r>
        <w:t xml:space="preserve"> Sentencia </w:t>
      </w:r>
      <w:hyperlink w:anchor="SENTENCIA_1997_92" w:history="1">
        <w:r w:rsidRPr="007D461E">
          <w:rPr>
            <w:rStyle w:val="TextoNormalCaracter"/>
          </w:rPr>
          <w:t>92/1997</w:t>
        </w:r>
      </w:hyperlink>
      <w:r>
        <w:t>, f. 3.</w:t>
      </w:r>
    </w:p>
    <w:p w:rsidR="007D461E" w:rsidRDefault="007D461E" w:rsidP="007D461E">
      <w:pPr>
        <w:pStyle w:val="SangriaFrancesaArticulo"/>
      </w:pPr>
    </w:p>
    <w:p w:rsidR="007D461E" w:rsidRDefault="007D461E" w:rsidP="007D461E">
      <w:pPr>
        <w:pStyle w:val="TextoNormalNegritaCursivandice"/>
      </w:pPr>
      <w:r>
        <w:t>Ley Orgánica 7/1983, de 23 de abril. Reforma de los artículos 503 y 504 de la Ley de enjuiciamiento criminal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Ley Orgánica 10/1984, de 26 de diciembre. Modificación de los artículos 503 y 504 y primer párrafo del 529 de la Ley de enjuiciamiento criminal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Ley Orgánica 6/1985, de 1 de julio. Poder judicial</w:t>
      </w:r>
    </w:p>
    <w:p w:rsidR="007D461E" w:rsidRDefault="007D461E" w:rsidP="007D461E">
      <w:pPr>
        <w:pStyle w:val="SangriaFrancesaArticulo"/>
      </w:pPr>
      <w:r w:rsidRPr="007D461E">
        <w:rPr>
          <w:rStyle w:val="TextoNormalNegritaCaracter"/>
        </w:rPr>
        <w:t>Artículo 4.1.</w:t>
      </w:r>
      <w:r w:rsidRPr="007D461E">
        <w:rPr>
          <w:rStyle w:val="TextoNormalCaracter"/>
        </w:rPr>
        <w:t>-</w:t>
      </w:r>
      <w:r>
        <w:t xml:space="preserve"> Sentencia </w:t>
      </w:r>
      <w:hyperlink w:anchor="SENTENCIA_1997_96" w:history="1">
        <w:r w:rsidRPr="007D461E">
          <w:rPr>
            <w:rStyle w:val="TextoNormalCaracter"/>
          </w:rPr>
          <w:t>96/1997</w:t>
        </w:r>
      </w:hyperlink>
      <w:r>
        <w:t>, f. 5.</w:t>
      </w:r>
    </w:p>
    <w:p w:rsidR="007D461E" w:rsidRDefault="007D461E" w:rsidP="007D461E">
      <w:pPr>
        <w:pStyle w:val="SangriaFrancesaArticulo"/>
      </w:pPr>
      <w:r w:rsidRPr="007D461E">
        <w:rPr>
          <w:rStyle w:val="TextoNormalNegritaCaracter"/>
        </w:rPr>
        <w:t>Artículo 7.1.</w:t>
      </w:r>
      <w:r w:rsidRPr="007D461E">
        <w:rPr>
          <w:rStyle w:val="TextoNormalCaracter"/>
        </w:rPr>
        <w:t>-</w:t>
      </w:r>
      <w:r>
        <w:t xml:space="preserve"> Sentencia </w:t>
      </w:r>
      <w:hyperlink w:anchor="SENTENCIA_1997_95" w:history="1">
        <w:r w:rsidRPr="007D461E">
          <w:rPr>
            <w:rStyle w:val="TextoNormalCaracter"/>
          </w:rPr>
          <w:t>95/1997</w:t>
        </w:r>
      </w:hyperlink>
      <w:r>
        <w:t>, f. 3.</w:t>
      </w:r>
    </w:p>
    <w:p w:rsidR="007D461E" w:rsidRDefault="007D461E" w:rsidP="007D461E">
      <w:pPr>
        <w:pStyle w:val="SangriaFrancesaArticulo"/>
      </w:pPr>
      <w:r w:rsidRPr="007D461E">
        <w:rPr>
          <w:rStyle w:val="TextoNormalNegritaCaracter"/>
        </w:rPr>
        <w:t>Artículo 9.4.</w:t>
      </w:r>
      <w:r w:rsidRPr="007D461E">
        <w:rPr>
          <w:rStyle w:val="TextoNormalCaracter"/>
        </w:rPr>
        <w:t>-</w:t>
      </w:r>
      <w:r>
        <w:t xml:space="preserve"> Auto </w:t>
      </w:r>
      <w:hyperlink w:anchor="AUTO_1997_292" w:history="1">
        <w:r w:rsidRPr="007D461E">
          <w:rPr>
            <w:rStyle w:val="TextoNormalCaracter"/>
          </w:rPr>
          <w:t>292/1997</w:t>
        </w:r>
      </w:hyperlink>
      <w:r>
        <w:t>.</w:t>
      </w:r>
    </w:p>
    <w:p w:rsidR="007D461E" w:rsidRDefault="007D461E" w:rsidP="007D461E">
      <w:pPr>
        <w:pStyle w:val="SangriaFrancesaArticulo"/>
      </w:pPr>
      <w:r w:rsidRPr="007D461E">
        <w:rPr>
          <w:rStyle w:val="TextoNormalNegritaCaracter"/>
        </w:rPr>
        <w:t>Artículo 11.3.</w:t>
      </w:r>
      <w:r w:rsidRPr="007D461E">
        <w:rPr>
          <w:rStyle w:val="TextoNormalCaracter"/>
        </w:rPr>
        <w:t>-</w:t>
      </w:r>
      <w:r>
        <w:t xml:space="preserve"> Sentencia </w:t>
      </w:r>
      <w:hyperlink w:anchor="SENTENCIA_1997_101" w:history="1">
        <w:r w:rsidRPr="007D461E">
          <w:rPr>
            <w:rStyle w:val="TextoNormalCaracter"/>
          </w:rPr>
          <w:t>101/1997</w:t>
        </w:r>
      </w:hyperlink>
      <w:r>
        <w:t>, f. 4.</w:t>
      </w:r>
    </w:p>
    <w:p w:rsidR="007D461E" w:rsidRDefault="007D461E" w:rsidP="007D461E">
      <w:pPr>
        <w:pStyle w:val="SangriaFrancesaArticulo"/>
      </w:pPr>
      <w:r w:rsidRPr="007D461E">
        <w:rPr>
          <w:rStyle w:val="TextoNormalNegritaCaracter"/>
        </w:rPr>
        <w:t>Artículo 42.</w:t>
      </w:r>
      <w:r w:rsidRPr="007D461E">
        <w:rPr>
          <w:rStyle w:val="TextoNormalCaracter"/>
        </w:rPr>
        <w:t>-</w:t>
      </w:r>
      <w:r>
        <w:t xml:space="preserve"> Auto </w:t>
      </w:r>
      <w:hyperlink w:anchor="AUTO_1997_135" w:history="1">
        <w:r w:rsidRPr="007D461E">
          <w:rPr>
            <w:rStyle w:val="TextoNormalCaracter"/>
          </w:rPr>
          <w:t>135/1997</w:t>
        </w:r>
      </w:hyperlink>
      <w:r>
        <w:t>.</w:t>
      </w:r>
    </w:p>
    <w:p w:rsidR="007D461E" w:rsidRDefault="007D461E" w:rsidP="007D461E">
      <w:pPr>
        <w:pStyle w:val="SangriaFrancesaArticulo"/>
      </w:pPr>
      <w:r w:rsidRPr="007D461E">
        <w:rPr>
          <w:rStyle w:val="TextoNormalNegritaCaracter"/>
        </w:rPr>
        <w:t>Artículo 51.</w:t>
      </w:r>
      <w:r w:rsidRPr="007D461E">
        <w:rPr>
          <w:rStyle w:val="TextoNormalCaracter"/>
        </w:rPr>
        <w:t>-</w:t>
      </w:r>
      <w:r>
        <w:t xml:space="preserve"> Sentencia </w:t>
      </w:r>
      <w:hyperlink w:anchor="SENTENCIA_1997_136" w:history="1">
        <w:r w:rsidRPr="007D461E">
          <w:rPr>
            <w:rStyle w:val="TextoNormalCaracter"/>
          </w:rPr>
          <w:t>136/1997</w:t>
        </w:r>
      </w:hyperlink>
      <w:r>
        <w:t>, ff. 2, 3.</w:t>
      </w:r>
    </w:p>
    <w:p w:rsidR="007D461E" w:rsidRDefault="007D461E" w:rsidP="007D461E">
      <w:pPr>
        <w:pStyle w:val="SangriaFrancesaArticulo"/>
      </w:pPr>
      <w:r w:rsidRPr="007D461E">
        <w:rPr>
          <w:rStyle w:val="TextoNormalNegritaCaracter"/>
        </w:rPr>
        <w:t>Artículo 52.</w:t>
      </w:r>
      <w:r w:rsidRPr="007D461E">
        <w:rPr>
          <w:rStyle w:val="TextoNormalCaracter"/>
        </w:rPr>
        <w:t>-</w:t>
      </w:r>
      <w:r>
        <w:t xml:space="preserve"> Auto </w:t>
      </w:r>
      <w:hyperlink w:anchor="AUTO_1997_235" w:history="1">
        <w:r w:rsidRPr="007D461E">
          <w:rPr>
            <w:rStyle w:val="TextoNormalCaracter"/>
          </w:rPr>
          <w:t>235/1997</w:t>
        </w:r>
      </w:hyperlink>
      <w:r>
        <w:t>.</w:t>
      </w:r>
    </w:p>
    <w:p w:rsidR="007D461E" w:rsidRDefault="007D461E" w:rsidP="007D461E">
      <w:pPr>
        <w:pStyle w:val="SangriaFrancesaArticulo"/>
      </w:pPr>
      <w:r w:rsidRPr="007D461E">
        <w:rPr>
          <w:rStyle w:val="TextoNormalNegritaCaracter"/>
        </w:rPr>
        <w:t>Artículo 58.1.</w:t>
      </w:r>
      <w:r w:rsidRPr="007D461E">
        <w:rPr>
          <w:rStyle w:val="TextoNormalCaracter"/>
        </w:rPr>
        <w:t>-</w:t>
      </w:r>
      <w:r>
        <w:t xml:space="preserve"> Sentencia </w:t>
      </w:r>
      <w:hyperlink w:anchor="SENTENCIA_1997_121" w:history="1">
        <w:r w:rsidRPr="007D461E">
          <w:rPr>
            <w:rStyle w:val="TextoNormalCaracter"/>
          </w:rPr>
          <w:t>121/1997</w:t>
        </w:r>
      </w:hyperlink>
      <w:r>
        <w:t>, ff. 3, 5.</w:t>
      </w:r>
    </w:p>
    <w:p w:rsidR="007D461E" w:rsidRDefault="007D461E" w:rsidP="007D461E">
      <w:pPr>
        <w:pStyle w:val="SangriaFrancesaArticulo"/>
      </w:pPr>
      <w:r w:rsidRPr="007D461E">
        <w:rPr>
          <w:rStyle w:val="TextoNormalNegritaCaracter"/>
        </w:rPr>
        <w:t>Artículo 183.</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240.2.</w:t>
      </w:r>
      <w:r w:rsidRPr="007D461E">
        <w:rPr>
          <w:rStyle w:val="TextoNormalCaracter"/>
        </w:rPr>
        <w:t>-</w:t>
      </w:r>
      <w:r>
        <w:t xml:space="preserve"> Sentencia </w:t>
      </w:r>
      <w:hyperlink w:anchor="SENTENCIA_1997_106" w:history="1">
        <w:r w:rsidRPr="007D461E">
          <w:rPr>
            <w:rStyle w:val="TextoNormalCaracter"/>
          </w:rPr>
          <w:t>106/1997</w:t>
        </w:r>
      </w:hyperlink>
      <w:r>
        <w:t>, f. 3.</w:t>
      </w:r>
    </w:p>
    <w:p w:rsidR="007D461E" w:rsidRDefault="007D461E" w:rsidP="007D461E">
      <w:pPr>
        <w:pStyle w:val="SangriaIzquierdaArticulo"/>
      </w:pPr>
      <w:r>
        <w:t xml:space="preserve">Auto </w:t>
      </w:r>
      <w:hyperlink w:anchor="AUTO_1997_239" w:history="1">
        <w:r w:rsidRPr="007D461E">
          <w:rPr>
            <w:rStyle w:val="TextoNormalCaracter"/>
          </w:rPr>
          <w:t>239/1997</w:t>
        </w:r>
      </w:hyperlink>
      <w:r>
        <w:t>.</w:t>
      </w:r>
    </w:p>
    <w:p w:rsidR="007D461E" w:rsidRDefault="007D461E" w:rsidP="007D461E">
      <w:pPr>
        <w:pStyle w:val="SangriaFrancesaArticulo"/>
      </w:pPr>
      <w:r w:rsidRPr="007D461E">
        <w:rPr>
          <w:rStyle w:val="TextoNormalNegritaCaracter"/>
        </w:rPr>
        <w:t>Artículo 243.</w:t>
      </w:r>
      <w:r w:rsidRPr="007D461E">
        <w:rPr>
          <w:rStyle w:val="TextoNormalCaracter"/>
        </w:rPr>
        <w:t>-</w:t>
      </w:r>
      <w:r>
        <w:t xml:space="preserve"> Sentencia </w:t>
      </w:r>
      <w:hyperlink w:anchor="SENTENCIA_1997_101" w:history="1">
        <w:r w:rsidRPr="007D461E">
          <w:rPr>
            <w:rStyle w:val="TextoNormalCaracter"/>
          </w:rPr>
          <w:t>101/1997</w:t>
        </w:r>
      </w:hyperlink>
      <w:r>
        <w:t>, f. 4.</w:t>
      </w:r>
    </w:p>
    <w:p w:rsidR="007D461E" w:rsidRDefault="007D461E" w:rsidP="007D461E">
      <w:pPr>
        <w:pStyle w:val="SangriaFrancesaArticulo"/>
      </w:pPr>
      <w:r w:rsidRPr="007D461E">
        <w:rPr>
          <w:rStyle w:val="TextoNormalNegritaCaracter"/>
        </w:rPr>
        <w:t>Artículo 267.</w:t>
      </w:r>
      <w:r w:rsidRPr="007D461E">
        <w:rPr>
          <w:rStyle w:val="TextoNormalCaracter"/>
        </w:rPr>
        <w:t>-</w:t>
      </w:r>
      <w:r>
        <w:t xml:space="preserve"> Auto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268.</w:t>
      </w:r>
      <w:r w:rsidRPr="007D461E">
        <w:rPr>
          <w:rStyle w:val="TextoNormalCaracter"/>
        </w:rPr>
        <w:t>-</w:t>
      </w:r>
      <w:r>
        <w:t xml:space="preserve"> Auto </w:t>
      </w:r>
      <w:hyperlink w:anchor="AUTO_1997_134" w:history="1">
        <w:r w:rsidRPr="007D461E">
          <w:rPr>
            <w:rStyle w:val="TextoNormalCaracter"/>
          </w:rPr>
          <w:t>134/1997</w:t>
        </w:r>
      </w:hyperlink>
      <w:r>
        <w:t>.</w:t>
      </w:r>
    </w:p>
    <w:p w:rsidR="007D461E" w:rsidRDefault="007D461E" w:rsidP="007D461E">
      <w:pPr>
        <w:pStyle w:val="SangriaFrancesaArticulo"/>
      </w:pPr>
      <w:r w:rsidRPr="007D461E">
        <w:rPr>
          <w:rStyle w:val="TextoNormalNegritaCaracter"/>
        </w:rPr>
        <w:t>Artículo 272.2.</w:t>
      </w:r>
      <w:r w:rsidRPr="007D461E">
        <w:rPr>
          <w:rStyle w:val="TextoNormalCaracter"/>
        </w:rPr>
        <w:t>-</w:t>
      </w:r>
      <w:r>
        <w:t xml:space="preserve"> Auto </w:t>
      </w:r>
      <w:hyperlink w:anchor="AUTO_1997_134" w:history="1">
        <w:r w:rsidRPr="007D461E">
          <w:rPr>
            <w:rStyle w:val="TextoNormalCaracter"/>
          </w:rPr>
          <w:t>134/1997</w:t>
        </w:r>
      </w:hyperlink>
      <w:r>
        <w:t>.</w:t>
      </w:r>
    </w:p>
    <w:p w:rsidR="007D461E" w:rsidRDefault="007D461E" w:rsidP="007D461E">
      <w:pPr>
        <w:pStyle w:val="SangriaFrancesaArticulo"/>
      </w:pPr>
      <w:r w:rsidRPr="007D461E">
        <w:rPr>
          <w:rStyle w:val="TextoNormalNegritaCaracter"/>
        </w:rPr>
        <w:t>Artículo 283.</w:t>
      </w:r>
      <w:r w:rsidRPr="007D461E">
        <w:rPr>
          <w:rStyle w:val="TextoNormalCaracter"/>
        </w:rPr>
        <w:t>-</w:t>
      </w:r>
      <w:r>
        <w:t xml:space="preserve"> Auto </w:t>
      </w:r>
      <w:hyperlink w:anchor="AUTO_1997_134" w:history="1">
        <w:r w:rsidRPr="007D461E">
          <w:rPr>
            <w:rStyle w:val="TextoNormalCaracter"/>
          </w:rPr>
          <w:t>134/1997</w:t>
        </w:r>
      </w:hyperlink>
      <w:r>
        <w:t>.</w:t>
      </w:r>
    </w:p>
    <w:p w:rsidR="007D461E" w:rsidRDefault="007D461E" w:rsidP="007D461E">
      <w:pPr>
        <w:pStyle w:val="SangriaFrancesaArticulo"/>
      </w:pPr>
      <w:r w:rsidRPr="007D461E">
        <w:rPr>
          <w:rStyle w:val="TextoNormalNegritaCaracter"/>
        </w:rPr>
        <w:t>Artículo 292.</w:t>
      </w:r>
      <w:r w:rsidRPr="007D461E">
        <w:rPr>
          <w:rStyle w:val="TextoNormalCaracter"/>
        </w:rPr>
        <w:t>-</w:t>
      </w:r>
      <w:r>
        <w:t xml:space="preserve"> Sentencia </w:t>
      </w:r>
      <w:hyperlink w:anchor="SENTENCIA_1997_109" w:history="1">
        <w:r w:rsidRPr="007D461E">
          <w:rPr>
            <w:rStyle w:val="TextoNormalCaracter"/>
          </w:rPr>
          <w:t>109/1997</w:t>
        </w:r>
      </w:hyperlink>
      <w:r>
        <w:t>, f. 3.</w:t>
      </w:r>
    </w:p>
    <w:p w:rsidR="007D461E" w:rsidRDefault="007D461E" w:rsidP="007D461E">
      <w:pPr>
        <w:pStyle w:val="SangriaFrancesaArticulo"/>
      </w:pPr>
      <w:r w:rsidRPr="007D461E">
        <w:rPr>
          <w:rStyle w:val="TextoNormalNegritaCaracter"/>
        </w:rPr>
        <w:t>Artículo 380.</w:t>
      </w:r>
      <w:r w:rsidRPr="007D461E">
        <w:rPr>
          <w:rStyle w:val="TextoNormalCaracter"/>
        </w:rPr>
        <w:t>-</w:t>
      </w:r>
      <w:r>
        <w:t xml:space="preserve"> Auto </w:t>
      </w:r>
      <w:hyperlink w:anchor="AUTO_1997_207" w:history="1">
        <w:r w:rsidRPr="007D461E">
          <w:rPr>
            <w:rStyle w:val="TextoNormalCaracter"/>
          </w:rPr>
          <w:t>207/1997</w:t>
        </w:r>
      </w:hyperlink>
      <w:r>
        <w:t>.</w:t>
      </w:r>
    </w:p>
    <w:p w:rsidR="007D461E" w:rsidRDefault="007D461E" w:rsidP="007D461E">
      <w:pPr>
        <w:pStyle w:val="SangriaFrancesaArticulo"/>
      </w:pPr>
      <w:r w:rsidRPr="007D461E">
        <w:rPr>
          <w:rStyle w:val="TextoNormalNegritaCaracter"/>
        </w:rPr>
        <w:t>Disposición transitoria trigésima cuarta.</w:t>
      </w:r>
      <w:r w:rsidRPr="007D461E">
        <w:rPr>
          <w:rStyle w:val="TextoNormalCaracter"/>
        </w:rPr>
        <w:t>-</w:t>
      </w:r>
      <w:r>
        <w:t xml:space="preserve"> Sentencia </w:t>
      </w:r>
      <w:hyperlink w:anchor="SENTENCIA_1997_136" w:history="1">
        <w:r w:rsidRPr="007D461E">
          <w:rPr>
            <w:rStyle w:val="TextoNormalCaracter"/>
          </w:rPr>
          <w:t>136/1997</w:t>
        </w:r>
      </w:hyperlink>
      <w:r>
        <w:t>, f. 2.</w:t>
      </w:r>
    </w:p>
    <w:p w:rsidR="007D461E" w:rsidRDefault="007D461E" w:rsidP="007D461E">
      <w:pPr>
        <w:pStyle w:val="SangriaFrancesaArticulo"/>
      </w:pPr>
    </w:p>
    <w:p w:rsidR="007D461E" w:rsidRDefault="007D461E" w:rsidP="007D461E">
      <w:pPr>
        <w:pStyle w:val="TextoNormalNegritaCursivandice"/>
      </w:pPr>
      <w:r>
        <w:t>Ley Orgánica 8/1985, de 3 de julio. Reguladora del derecho a la educación</w:t>
      </w:r>
    </w:p>
    <w:p w:rsidR="007D461E" w:rsidRDefault="007D461E" w:rsidP="007D461E">
      <w:pPr>
        <w:pStyle w:val="SangriaFrancesaArticulo"/>
      </w:pPr>
      <w:r w:rsidRPr="007D461E">
        <w:rPr>
          <w:rStyle w:val="TextoNormalNegritaCaracter"/>
        </w:rPr>
        <w:lastRenderedPageBreak/>
        <w:t>En general.</w:t>
      </w:r>
      <w:r w:rsidRPr="007D461E">
        <w:rPr>
          <w:rStyle w:val="TextoNormalCaracter"/>
        </w:rPr>
        <w:t>-</w:t>
      </w:r>
      <w:r>
        <w:t xml:space="preserve"> Sentencia </w:t>
      </w:r>
      <w:hyperlink w:anchor="SENTENCIA_1997_134" w:history="1">
        <w:r w:rsidRPr="007D461E">
          <w:rPr>
            <w:rStyle w:val="TextoNormalCaracter"/>
          </w:rPr>
          <w:t>134/1997</w:t>
        </w:r>
      </w:hyperlink>
      <w:r>
        <w:t>, f. 1.</w:t>
      </w:r>
    </w:p>
    <w:p w:rsidR="007D461E" w:rsidRDefault="007D461E" w:rsidP="007D461E">
      <w:pPr>
        <w:pStyle w:val="SangriaFrancesaArticulo"/>
      </w:pPr>
      <w:r w:rsidRPr="007D461E">
        <w:rPr>
          <w:rStyle w:val="TextoNormalNegritaCaracter"/>
        </w:rPr>
        <w:t>Artículo 2 e).</w:t>
      </w:r>
      <w:r w:rsidRPr="007D461E">
        <w:rPr>
          <w:rStyle w:val="TextoNormalCaracter"/>
        </w:rPr>
        <w:t>-</w:t>
      </w:r>
      <w:r>
        <w:t xml:space="preserve"> Sentencia </w:t>
      </w:r>
      <w:hyperlink w:anchor="SENTENCIA_1997_134" w:history="1">
        <w:r w:rsidRPr="007D461E">
          <w:rPr>
            <w:rStyle w:val="TextoNormalCaracter"/>
          </w:rPr>
          <w:t>134/1997</w:t>
        </w:r>
      </w:hyperlink>
      <w:r>
        <w:t>, f. 4.</w:t>
      </w:r>
    </w:p>
    <w:p w:rsidR="007D461E" w:rsidRDefault="007D461E" w:rsidP="007D461E">
      <w:pPr>
        <w:pStyle w:val="SangriaFrancesaArticulo"/>
      </w:pPr>
      <w:r w:rsidRPr="007D461E">
        <w:rPr>
          <w:rStyle w:val="TextoNormalNegritaCaracter"/>
        </w:rPr>
        <w:t>Disposición final primera.</w:t>
      </w:r>
      <w:r w:rsidRPr="007D461E">
        <w:rPr>
          <w:rStyle w:val="TextoNormalCaracter"/>
        </w:rPr>
        <w:t>-</w:t>
      </w:r>
      <w:r>
        <w:t xml:space="preserve"> Sentencia </w:t>
      </w:r>
      <w:hyperlink w:anchor="SENTENCIA_1997_134" w:history="1">
        <w:r w:rsidRPr="007D461E">
          <w:rPr>
            <w:rStyle w:val="TextoNormalCaracter"/>
          </w:rPr>
          <w:t>134/1997</w:t>
        </w:r>
      </w:hyperlink>
      <w:r>
        <w:t>, f. 5.</w:t>
      </w:r>
    </w:p>
    <w:p w:rsidR="007D461E" w:rsidRDefault="007D461E" w:rsidP="007D461E">
      <w:pPr>
        <w:pStyle w:val="SangriaFrancesaArticulo"/>
      </w:pPr>
      <w:r w:rsidRPr="007D461E">
        <w:rPr>
          <w:rStyle w:val="TextoNormalNegritaCaracter"/>
        </w:rPr>
        <w:t>Disposición final segunda.</w:t>
      </w:r>
      <w:r w:rsidRPr="007D461E">
        <w:rPr>
          <w:rStyle w:val="TextoNormalCaracter"/>
        </w:rPr>
        <w:t>-</w:t>
      </w:r>
      <w:r>
        <w:t xml:space="preserve"> Sentencia </w:t>
      </w:r>
      <w:hyperlink w:anchor="SENTENCIA_1997_134" w:history="1">
        <w:r w:rsidRPr="007D461E">
          <w:rPr>
            <w:rStyle w:val="TextoNormalCaracter"/>
          </w:rPr>
          <w:t>134/1997</w:t>
        </w:r>
      </w:hyperlink>
      <w:r>
        <w:t>, ff. 4, 5.</w:t>
      </w:r>
    </w:p>
    <w:p w:rsidR="007D461E" w:rsidRDefault="007D461E" w:rsidP="007D461E">
      <w:pPr>
        <w:pStyle w:val="SangriaFrancesaArticulo"/>
      </w:pPr>
    </w:p>
    <w:p w:rsidR="007D461E" w:rsidRDefault="007D461E" w:rsidP="007D461E">
      <w:pPr>
        <w:pStyle w:val="TextoNormalNegritaCursivandice"/>
      </w:pPr>
      <w:r>
        <w:t>Ley Orgánica 11/1985, de 2 de agosto. Libertad sindical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1" w:history="1">
        <w:r w:rsidRPr="007D461E">
          <w:rPr>
            <w:rStyle w:val="TextoNormalCaracter"/>
          </w:rPr>
          <w:t>121/1997</w:t>
        </w:r>
      </w:hyperlink>
      <w:r>
        <w:t>, f. 7.</w:t>
      </w:r>
    </w:p>
    <w:p w:rsidR="007D461E" w:rsidRDefault="007D461E" w:rsidP="007D461E">
      <w:pPr>
        <w:pStyle w:val="SangriaFrancesaArticulo"/>
      </w:pPr>
      <w:r w:rsidRPr="007D461E">
        <w:rPr>
          <w:rStyle w:val="TextoNormalNegritaCaracter"/>
        </w:rPr>
        <w:t>Exposición de motivos.</w:t>
      </w:r>
      <w:r w:rsidRPr="007D461E">
        <w:rPr>
          <w:rStyle w:val="TextoNormalCaracter"/>
        </w:rPr>
        <w:t>-</w:t>
      </w:r>
      <w:r>
        <w:t xml:space="preserve"> Sentencia </w:t>
      </w:r>
      <w:hyperlink w:anchor="SENTENCIA_1997_121" w:history="1">
        <w:r w:rsidRPr="007D461E">
          <w:rPr>
            <w:rStyle w:val="TextoNormalCaracter"/>
          </w:rPr>
          <w:t>121/1997</w:t>
        </w:r>
      </w:hyperlink>
      <w:r>
        <w:t>, f. 7.</w:t>
      </w:r>
    </w:p>
    <w:p w:rsidR="007D461E" w:rsidRDefault="007D461E" w:rsidP="007D461E">
      <w:pPr>
        <w:pStyle w:val="SangriaFrancesaArticulo"/>
      </w:pPr>
      <w:r w:rsidRPr="007D461E">
        <w:rPr>
          <w:rStyle w:val="TextoNormalNegritaCaracter"/>
        </w:rPr>
        <w:t>Artículo 2.1 a).</w:t>
      </w:r>
      <w:r w:rsidRPr="007D461E">
        <w:rPr>
          <w:rStyle w:val="TextoNormalCaracter"/>
        </w:rPr>
        <w:t>-</w:t>
      </w:r>
      <w:r>
        <w:t xml:space="preserve"> Sentencia </w:t>
      </w:r>
      <w:hyperlink w:anchor="SENTENCIA_1997_121" w:history="1">
        <w:r w:rsidRPr="007D461E">
          <w:rPr>
            <w:rStyle w:val="TextoNormalCaracter"/>
          </w:rPr>
          <w:t>121/1997</w:t>
        </w:r>
      </w:hyperlink>
      <w:r>
        <w:t>, f. 9.</w:t>
      </w:r>
    </w:p>
    <w:p w:rsidR="007D461E" w:rsidRDefault="007D461E" w:rsidP="007D461E">
      <w:pPr>
        <w:pStyle w:val="SangriaFrancesaArticulo"/>
      </w:pPr>
      <w:r w:rsidRPr="007D461E">
        <w:rPr>
          <w:rStyle w:val="TextoNormalNegritaCaracter"/>
        </w:rPr>
        <w:t>Artículo 4.</w:t>
      </w:r>
      <w:r w:rsidRPr="007D461E">
        <w:rPr>
          <w:rStyle w:val="TextoNormalCaracter"/>
        </w:rPr>
        <w:t>-</w:t>
      </w:r>
      <w:r>
        <w:t xml:space="preserve"> Sentencia </w:t>
      </w:r>
      <w:hyperlink w:anchor="SENTENCIA_1997_121" w:history="1">
        <w:r w:rsidRPr="007D461E">
          <w:rPr>
            <w:rStyle w:val="TextoNormalCaracter"/>
          </w:rPr>
          <w:t>121/1997</w:t>
        </w:r>
      </w:hyperlink>
      <w:r>
        <w:t>, ff. 7, 9 a 11.</w:t>
      </w:r>
    </w:p>
    <w:p w:rsidR="007D461E" w:rsidRDefault="007D461E" w:rsidP="007D461E">
      <w:pPr>
        <w:pStyle w:val="SangriaFrancesaArticulo"/>
      </w:pPr>
      <w:r w:rsidRPr="007D461E">
        <w:rPr>
          <w:rStyle w:val="TextoNormalNegritaCaracter"/>
        </w:rPr>
        <w:t>Artículo 4.1.</w:t>
      </w:r>
      <w:r w:rsidRPr="007D461E">
        <w:rPr>
          <w:rStyle w:val="TextoNormalCaracter"/>
        </w:rPr>
        <w:t>-</w:t>
      </w:r>
      <w:r>
        <w:t xml:space="preserve"> Sentencia </w:t>
      </w:r>
      <w:hyperlink w:anchor="SENTENCIA_1997_121" w:history="1">
        <w:r w:rsidRPr="007D461E">
          <w:rPr>
            <w:rStyle w:val="TextoNormalCaracter"/>
          </w:rPr>
          <w:t>121/1997</w:t>
        </w:r>
      </w:hyperlink>
      <w:r>
        <w:t>, ff. 9, 11.</w:t>
      </w:r>
    </w:p>
    <w:p w:rsidR="007D461E" w:rsidRDefault="007D461E" w:rsidP="007D461E">
      <w:pPr>
        <w:pStyle w:val="SangriaFrancesaArticulo"/>
      </w:pPr>
      <w:r w:rsidRPr="007D461E">
        <w:rPr>
          <w:rStyle w:val="TextoNormalNegritaCaracter"/>
        </w:rPr>
        <w:t>Artículo 6.2.</w:t>
      </w:r>
      <w:r w:rsidRPr="007D461E">
        <w:rPr>
          <w:rStyle w:val="TextoNormalCaracter"/>
        </w:rPr>
        <w:t>-</w:t>
      </w:r>
      <w:r>
        <w:t xml:space="preserve"> Sentencia </w:t>
      </w:r>
      <w:hyperlink w:anchor="SENTENCIA_1997_121" w:history="1">
        <w:r w:rsidRPr="007D461E">
          <w:rPr>
            <w:rStyle w:val="TextoNormalCaracter"/>
          </w:rPr>
          <w:t>121/1997</w:t>
        </w:r>
      </w:hyperlink>
      <w:r>
        <w:t>, f. 6.</w:t>
      </w:r>
    </w:p>
    <w:p w:rsidR="007D461E" w:rsidRDefault="007D461E" w:rsidP="007D461E">
      <w:pPr>
        <w:pStyle w:val="SangriaFrancesaArticulo"/>
      </w:pPr>
      <w:r w:rsidRPr="007D461E">
        <w:rPr>
          <w:rStyle w:val="TextoNormalNegritaCaracter"/>
        </w:rPr>
        <w:t>Disposición final primera.</w:t>
      </w:r>
      <w:r w:rsidRPr="007D461E">
        <w:rPr>
          <w:rStyle w:val="TextoNormalCaracter"/>
        </w:rPr>
        <w:t>-</w:t>
      </w:r>
      <w:r>
        <w:t xml:space="preserve"> Sentencia </w:t>
      </w:r>
      <w:hyperlink w:anchor="SENTENCIA_1997_121" w:history="1">
        <w:r w:rsidRPr="007D461E">
          <w:rPr>
            <w:rStyle w:val="TextoNormalCaracter"/>
          </w:rPr>
          <w:t>121/1997</w:t>
        </w:r>
      </w:hyperlink>
      <w:r>
        <w:t>, ff. 7, 10, 11.</w:t>
      </w:r>
    </w:p>
    <w:p w:rsidR="007D461E" w:rsidRDefault="007D461E" w:rsidP="007D461E">
      <w:pPr>
        <w:pStyle w:val="SangriaFrancesaArticulo"/>
      </w:pPr>
      <w:r w:rsidRPr="007D461E">
        <w:rPr>
          <w:rStyle w:val="TextoNormalNegritaCaracter"/>
        </w:rPr>
        <w:t>Disposición final primera, apartado 1.</w:t>
      </w:r>
      <w:r w:rsidRPr="007D461E">
        <w:rPr>
          <w:rStyle w:val="TextoNormalCaracter"/>
        </w:rPr>
        <w:t>-</w:t>
      </w:r>
      <w:r>
        <w:t xml:space="preserve"> Sentencia </w:t>
      </w:r>
      <w:hyperlink w:anchor="SENTENCIA_1997_121" w:history="1">
        <w:r w:rsidRPr="007D461E">
          <w:rPr>
            <w:rStyle w:val="TextoNormalCaracter"/>
          </w:rPr>
          <w:t>121/1997</w:t>
        </w:r>
      </w:hyperlink>
      <w:r>
        <w:t>, f. 9.</w:t>
      </w:r>
    </w:p>
    <w:p w:rsidR="007D461E" w:rsidRDefault="007D461E" w:rsidP="007D461E">
      <w:pPr>
        <w:pStyle w:val="SangriaFrancesaArticulo"/>
      </w:pPr>
    </w:p>
    <w:p w:rsidR="007D461E" w:rsidRDefault="007D461E" w:rsidP="007D461E">
      <w:pPr>
        <w:pStyle w:val="TextoNormalNegritaCursivandice"/>
      </w:pPr>
      <w:r>
        <w:t>Ley Orgánica 2/1989, de 13 de abril. Procesal militar</w:t>
      </w:r>
    </w:p>
    <w:p w:rsidR="007D461E" w:rsidRDefault="007D461E" w:rsidP="007D461E">
      <w:pPr>
        <w:pStyle w:val="SangriaFrancesaArticulo"/>
      </w:pPr>
      <w:r w:rsidRPr="007D461E">
        <w:rPr>
          <w:rStyle w:val="TextoNormalNegritaCaracter"/>
        </w:rPr>
        <w:t>Artículo 3.</w:t>
      </w:r>
      <w:r w:rsidRPr="007D461E">
        <w:rPr>
          <w:rStyle w:val="TextoNormalCaracter"/>
        </w:rPr>
        <w:t>-</w:t>
      </w:r>
      <w:r>
        <w:t xml:space="preserve"> Auto </w:t>
      </w:r>
      <w:hyperlink w:anchor="AUTO_1997_195" w:history="1">
        <w:r w:rsidRPr="007D461E">
          <w:rPr>
            <w:rStyle w:val="TextoNormalCaracter"/>
          </w:rPr>
          <w:t>195/1997</w:t>
        </w:r>
      </w:hyperlink>
      <w:r>
        <w:t>.</w:t>
      </w:r>
    </w:p>
    <w:p w:rsidR="007D461E" w:rsidRDefault="007D461E" w:rsidP="007D461E">
      <w:pPr>
        <w:pStyle w:val="SangriaFrancesaArticulo"/>
      </w:pPr>
      <w:r w:rsidRPr="007D461E">
        <w:rPr>
          <w:rStyle w:val="TextoNormalNegritaCaracter"/>
        </w:rPr>
        <w:t>Artículo 141.</w:t>
      </w:r>
      <w:r w:rsidRPr="007D461E">
        <w:rPr>
          <w:rStyle w:val="TextoNormalCaracter"/>
        </w:rPr>
        <w:t>-</w:t>
      </w:r>
      <w:r>
        <w:t xml:space="preserve"> Auto </w:t>
      </w:r>
      <w:hyperlink w:anchor="AUTO_1997_195" w:history="1">
        <w:r w:rsidRPr="007D461E">
          <w:rPr>
            <w:rStyle w:val="TextoNormalCaracter"/>
          </w:rPr>
          <w:t>195/1997</w:t>
        </w:r>
      </w:hyperlink>
      <w:r>
        <w:t>.</w:t>
      </w:r>
    </w:p>
    <w:p w:rsidR="007D461E" w:rsidRDefault="007D461E" w:rsidP="007D461E">
      <w:pPr>
        <w:pStyle w:val="SangriaFrancesaArticulo"/>
      </w:pPr>
      <w:r w:rsidRPr="007D461E">
        <w:rPr>
          <w:rStyle w:val="TextoNormalNegritaCaracter"/>
        </w:rPr>
        <w:t>Artículo 143.</w:t>
      </w:r>
      <w:r w:rsidRPr="007D461E">
        <w:rPr>
          <w:rStyle w:val="TextoNormalCaracter"/>
        </w:rPr>
        <w:t>-</w:t>
      </w:r>
      <w:r>
        <w:t xml:space="preserve"> Auto </w:t>
      </w:r>
      <w:hyperlink w:anchor="AUTO_1997_195" w:history="1">
        <w:r w:rsidRPr="007D461E">
          <w:rPr>
            <w:rStyle w:val="TextoNormalCaracter"/>
          </w:rPr>
          <w:t>195/1997</w:t>
        </w:r>
      </w:hyperlink>
      <w:r>
        <w:t>.</w:t>
      </w:r>
    </w:p>
    <w:p w:rsidR="007D461E" w:rsidRDefault="007D461E" w:rsidP="007D461E">
      <w:pPr>
        <w:pStyle w:val="SangriaFrancesaArticulo"/>
      </w:pPr>
    </w:p>
    <w:p w:rsidR="007D461E" w:rsidRDefault="007D461E" w:rsidP="007D461E">
      <w:pPr>
        <w:pStyle w:val="TextoNormalNegritaCursivandice"/>
      </w:pPr>
      <w:r>
        <w:t>Ley Orgánica 1/1990, de 3 de octubre. Ordenación general del sistema educativo</w:t>
      </w:r>
    </w:p>
    <w:p w:rsidR="007D461E" w:rsidRDefault="007D461E" w:rsidP="007D461E">
      <w:pPr>
        <w:pStyle w:val="SangriaFrancesaArticulo"/>
      </w:pPr>
      <w:r w:rsidRPr="007D461E">
        <w:rPr>
          <w:rStyle w:val="TextoNormalNegritaCaracter"/>
        </w:rPr>
        <w:t>Artículo 14.2 d).</w:t>
      </w:r>
      <w:r w:rsidRPr="007D461E">
        <w:rPr>
          <w:rStyle w:val="TextoNormalCaracter"/>
        </w:rPr>
        <w:t>-</w:t>
      </w:r>
      <w:r>
        <w:t xml:space="preserve"> Sentencia </w:t>
      </w:r>
      <w:hyperlink w:anchor="SENTENCIA_1997_134" w:history="1">
        <w:r w:rsidRPr="007D461E">
          <w:rPr>
            <w:rStyle w:val="TextoNormalCaracter"/>
          </w:rPr>
          <w:t>134/1997</w:t>
        </w:r>
      </w:hyperlink>
      <w:r>
        <w:t>, f. 4.</w:t>
      </w:r>
    </w:p>
    <w:p w:rsidR="007D461E" w:rsidRDefault="007D461E" w:rsidP="007D461E">
      <w:pPr>
        <w:pStyle w:val="SangriaFrancesaArticulo"/>
      </w:pPr>
      <w:r w:rsidRPr="007D461E">
        <w:rPr>
          <w:rStyle w:val="TextoNormalNegritaCaracter"/>
        </w:rPr>
        <w:t>Artículo 20.2 e).</w:t>
      </w:r>
      <w:r w:rsidRPr="007D461E">
        <w:rPr>
          <w:rStyle w:val="TextoNormalCaracter"/>
        </w:rPr>
        <w:t>-</w:t>
      </w:r>
      <w:r>
        <w:t xml:space="preserve"> Sentencia </w:t>
      </w:r>
      <w:hyperlink w:anchor="SENTENCIA_1997_134" w:history="1">
        <w:r w:rsidRPr="007D461E">
          <w:rPr>
            <w:rStyle w:val="TextoNormalCaracter"/>
          </w:rPr>
          <w:t>134/1997</w:t>
        </w:r>
      </w:hyperlink>
      <w:r>
        <w:t>, f. 4.</w:t>
      </w:r>
    </w:p>
    <w:p w:rsidR="007D461E" w:rsidRDefault="007D461E" w:rsidP="007D461E">
      <w:pPr>
        <w:pStyle w:val="SangriaFrancesaArticulo"/>
      </w:pPr>
      <w:r w:rsidRPr="007D461E">
        <w:rPr>
          <w:rStyle w:val="TextoNormalNegritaCaracter"/>
        </w:rPr>
        <w:t>Artículo 27.4.</w:t>
      </w:r>
      <w:r w:rsidRPr="007D461E">
        <w:rPr>
          <w:rStyle w:val="TextoNormalCaracter"/>
        </w:rPr>
        <w:t>-</w:t>
      </w:r>
      <w:r>
        <w:t xml:space="preserve"> Sentencia </w:t>
      </w:r>
      <w:hyperlink w:anchor="SENTENCIA_1997_134" w:history="1">
        <w:r w:rsidRPr="007D461E">
          <w:rPr>
            <w:rStyle w:val="TextoNormalCaracter"/>
          </w:rPr>
          <w:t>134/1997</w:t>
        </w:r>
      </w:hyperlink>
      <w:r>
        <w:t>, f. 4.</w:t>
      </w:r>
    </w:p>
    <w:p w:rsidR="007D461E" w:rsidRDefault="007D461E" w:rsidP="007D461E">
      <w:pPr>
        <w:pStyle w:val="SangriaFrancesaArticulo"/>
      </w:pPr>
    </w:p>
    <w:p w:rsidR="007D461E" w:rsidRDefault="007D461E" w:rsidP="007D461E">
      <w:pPr>
        <w:pStyle w:val="TextoNormalNegritaCursivandice"/>
      </w:pPr>
      <w:r>
        <w:t>Ley Orgánica 11/1991, de 17 de junio. Régimen disciplinario de la Guardia Civil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64" w:history="1">
        <w:r w:rsidRPr="007D461E">
          <w:rPr>
            <w:rStyle w:val="TextoNormalCaracter"/>
          </w:rPr>
          <w:t>264/1997</w:t>
        </w:r>
      </w:hyperlink>
      <w:r>
        <w:t>.</w:t>
      </w:r>
    </w:p>
    <w:p w:rsidR="007D461E" w:rsidRDefault="007D461E" w:rsidP="007D461E">
      <w:pPr>
        <w:pStyle w:val="SangriaFrancesaArticulo"/>
      </w:pPr>
    </w:p>
    <w:p w:rsidR="007D461E" w:rsidRDefault="007D461E" w:rsidP="007D461E">
      <w:pPr>
        <w:pStyle w:val="TextoNormalNegritaCursivandice"/>
      </w:pPr>
      <w:r>
        <w:t>Ley Orgánica 5/1995, de 22 de mayo. Tribunal del Jurado</w:t>
      </w:r>
    </w:p>
    <w:p w:rsidR="007D461E" w:rsidRDefault="007D461E" w:rsidP="007D461E">
      <w:pPr>
        <w:pStyle w:val="SangriaFrancesaArticulo"/>
      </w:pPr>
      <w:r w:rsidRPr="007D461E">
        <w:rPr>
          <w:rStyle w:val="TextoNormalNegritaCaracter"/>
        </w:rPr>
        <w:t>Artículo 39.2.</w:t>
      </w:r>
      <w:r w:rsidRPr="007D461E">
        <w:rPr>
          <w:rStyle w:val="TextoNormalCaracter"/>
        </w:rPr>
        <w:t>-</w:t>
      </w:r>
      <w:r>
        <w:t xml:space="preserve"> Auto </w:t>
      </w:r>
      <w:hyperlink w:anchor="AUTO_1997_140" w:history="1">
        <w:r w:rsidRPr="007D461E">
          <w:rPr>
            <w:rStyle w:val="TextoNormalCaracter"/>
          </w:rPr>
          <w:t>140/1997</w:t>
        </w:r>
      </w:hyperlink>
      <w:r>
        <w:t>.</w:t>
      </w:r>
    </w:p>
    <w:p w:rsidR="007D461E" w:rsidRDefault="007D461E" w:rsidP="007D461E">
      <w:pPr>
        <w:pStyle w:val="SangriaFrancesaArticulo"/>
      </w:pPr>
    </w:p>
    <w:p w:rsidR="007D461E" w:rsidRDefault="007D461E" w:rsidP="007D461E">
      <w:pPr>
        <w:pStyle w:val="TextoNormalNegritaCursivandice"/>
      </w:pPr>
      <w:r>
        <w:t>Ley Orgánica 10/1995, de 23 de noviembre. Código penal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Autos </w:t>
      </w:r>
      <w:hyperlink w:anchor="AUTO_1997_154" w:history="1">
        <w:r w:rsidRPr="007D461E">
          <w:rPr>
            <w:rStyle w:val="TextoNormalCaracter"/>
          </w:rPr>
          <w:t>154/1997</w:t>
        </w:r>
      </w:hyperlink>
      <w:r>
        <w:t xml:space="preserve">; </w:t>
      </w:r>
      <w:hyperlink w:anchor="AUTO_1997_236" w:history="1">
        <w:r w:rsidRPr="007D461E">
          <w:rPr>
            <w:rStyle w:val="TextoNormalCaracter"/>
          </w:rPr>
          <w:t>236/1997</w:t>
        </w:r>
      </w:hyperlink>
      <w:r>
        <w:t>.</w:t>
      </w:r>
    </w:p>
    <w:p w:rsidR="007D461E" w:rsidRDefault="007D461E" w:rsidP="007D461E">
      <w:pPr>
        <w:pStyle w:val="SangriaFrancesaArticulo"/>
      </w:pPr>
      <w:r w:rsidRPr="007D461E">
        <w:rPr>
          <w:rStyle w:val="TextoNormalNegritaCaracter"/>
        </w:rPr>
        <w:t>Artículo 2.2.</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Artículo 74.1.</w:t>
      </w:r>
      <w:r w:rsidRPr="007D461E">
        <w:rPr>
          <w:rStyle w:val="TextoNormalCaracter"/>
        </w:rPr>
        <w:t>-</w:t>
      </w:r>
      <w:r>
        <w:t xml:space="preserve"> Sentencia </w:t>
      </w:r>
      <w:hyperlink w:anchor="SENTENCIA_1997_102" w:history="1">
        <w:r w:rsidRPr="007D461E">
          <w:rPr>
            <w:rStyle w:val="TextoNormalCaracter"/>
          </w:rPr>
          <w:t>102/1997</w:t>
        </w:r>
      </w:hyperlink>
      <w:r>
        <w:t>, ff. 1, 2.</w:t>
      </w:r>
    </w:p>
    <w:p w:rsidR="007D461E" w:rsidRDefault="007D461E" w:rsidP="007D461E">
      <w:pPr>
        <w:pStyle w:val="SangriaFrancesaArticulo"/>
      </w:pPr>
      <w:r w:rsidRPr="007D461E">
        <w:rPr>
          <w:rStyle w:val="TextoNormalNegritaCaracter"/>
        </w:rPr>
        <w:t>Artículo 80.1.</w:t>
      </w:r>
      <w:r w:rsidRPr="007D461E">
        <w:rPr>
          <w:rStyle w:val="TextoNormalCaracter"/>
        </w:rPr>
        <w:t>-</w:t>
      </w:r>
      <w:r>
        <w:t xml:space="preserve"> Sentencia </w:t>
      </w:r>
      <w:hyperlink w:anchor="SENTENCIA_1997_115" w:history="1">
        <w:r w:rsidRPr="007D461E">
          <w:rPr>
            <w:rStyle w:val="TextoNormalCaracter"/>
          </w:rPr>
          <w:t>115/1997</w:t>
        </w:r>
      </w:hyperlink>
      <w:r>
        <w:t>, f. 2.</w:t>
      </w:r>
    </w:p>
    <w:p w:rsidR="007D461E" w:rsidRDefault="007D461E" w:rsidP="007D461E">
      <w:pPr>
        <w:pStyle w:val="SangriaFrancesaArticulo"/>
      </w:pPr>
      <w:r w:rsidRPr="007D461E">
        <w:rPr>
          <w:rStyle w:val="TextoNormalNegritaCaracter"/>
        </w:rPr>
        <w:t>Artículo 142.</w:t>
      </w:r>
      <w:r w:rsidRPr="007D461E">
        <w:rPr>
          <w:rStyle w:val="TextoNormalCaracter"/>
        </w:rPr>
        <w:t>-</w:t>
      </w:r>
      <w:r>
        <w:t xml:space="preserve"> Auto </w:t>
      </w:r>
      <w:hyperlink w:anchor="AUTO_1997_285" w:history="1">
        <w:r w:rsidRPr="007D461E">
          <w:rPr>
            <w:rStyle w:val="TextoNormalCaracter"/>
          </w:rPr>
          <w:t>285/1997</w:t>
        </w:r>
      </w:hyperlink>
      <w:r>
        <w:t>.</w:t>
      </w:r>
    </w:p>
    <w:p w:rsidR="007D461E" w:rsidRDefault="007D461E" w:rsidP="007D461E">
      <w:pPr>
        <w:pStyle w:val="SangriaFrancesaArticulo"/>
      </w:pPr>
      <w:r w:rsidRPr="007D461E">
        <w:rPr>
          <w:rStyle w:val="TextoNormalNegritaCaracter"/>
        </w:rPr>
        <w:t>Artículo 227.3.</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Artículo 370.</w:t>
      </w:r>
      <w:r w:rsidRPr="007D461E">
        <w:rPr>
          <w:rStyle w:val="TextoNormalCaracter"/>
        </w:rPr>
        <w:t>-</w:t>
      </w:r>
      <w:r>
        <w:t xml:space="preserve"> Sentencia </w:t>
      </w:r>
      <w:hyperlink w:anchor="SENTENCIA_1997_102" w:history="1">
        <w:r w:rsidRPr="007D461E">
          <w:rPr>
            <w:rStyle w:val="TextoNormalCaracter"/>
          </w:rPr>
          <w:t>102/1997</w:t>
        </w:r>
      </w:hyperlink>
      <w:r>
        <w:t>, f. 4.</w:t>
      </w:r>
    </w:p>
    <w:p w:rsidR="007D461E" w:rsidRDefault="007D461E" w:rsidP="007D461E">
      <w:pPr>
        <w:pStyle w:val="SangriaFrancesaArticulo"/>
      </w:pPr>
      <w:r w:rsidRPr="007D461E">
        <w:rPr>
          <w:rStyle w:val="TextoNormalNegritaCaracter"/>
        </w:rPr>
        <w:t>Disposición adicional primera.</w:t>
      </w:r>
      <w:r w:rsidRPr="007D461E">
        <w:rPr>
          <w:rStyle w:val="TextoNormalCaracter"/>
        </w:rPr>
        <w:t>-</w:t>
      </w:r>
      <w:r>
        <w:t xml:space="preserve"> Auto </w:t>
      </w:r>
      <w:hyperlink w:anchor="AUTO_1997_285" w:history="1">
        <w:r w:rsidRPr="007D461E">
          <w:rPr>
            <w:rStyle w:val="TextoNormalCaracter"/>
          </w:rPr>
          <w:t>285/1997</w:t>
        </w:r>
      </w:hyperlink>
      <w:r>
        <w:t>.</w:t>
      </w:r>
    </w:p>
    <w:p w:rsidR="007D461E" w:rsidRDefault="007D461E" w:rsidP="007D461E">
      <w:pPr>
        <w:pStyle w:val="SangriaFrancesaArticulo"/>
      </w:pPr>
      <w:r w:rsidRPr="007D461E">
        <w:rPr>
          <w:rStyle w:val="TextoNormalNegritaCaracter"/>
        </w:rPr>
        <w:t>Disposición transitoria segunda.</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Disposición transitoria cuarta.</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Disposición transitoria novena, apartado a).</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Disposición derogatoria única, apartado 1 b).</w:t>
      </w:r>
      <w:r w:rsidRPr="007D461E">
        <w:rPr>
          <w:rStyle w:val="TextoNormalCaracter"/>
        </w:rPr>
        <w:t>-</w:t>
      </w:r>
      <w:r>
        <w:t xml:space="preserve"> Sentencia </w:t>
      </w:r>
      <w:hyperlink w:anchor="SENTENCIA_1997_115" w:history="1">
        <w:r w:rsidRPr="007D461E">
          <w:rPr>
            <w:rStyle w:val="TextoNormalCaracter"/>
          </w:rPr>
          <w:t>115/1997</w:t>
        </w:r>
      </w:hyperlink>
      <w:r>
        <w:t>, f. 1.</w:t>
      </w:r>
    </w:p>
    <w:p w:rsidR="007D461E" w:rsidRDefault="007D461E" w:rsidP="007D461E">
      <w:pPr>
        <w:pStyle w:val="SangriaFrancesaArticulo"/>
      </w:pPr>
      <w:r w:rsidRPr="007D461E">
        <w:rPr>
          <w:rStyle w:val="TextoNormalNegritaCaracter"/>
        </w:rPr>
        <w:t>Disposición derogatoria única, apartado b).</w:t>
      </w:r>
      <w:r w:rsidRPr="007D461E">
        <w:rPr>
          <w:rStyle w:val="TextoNormalCaracter"/>
        </w:rPr>
        <w:t>-</w:t>
      </w:r>
      <w:r>
        <w:t xml:space="preserve"> Auto </w:t>
      </w:r>
      <w:hyperlink w:anchor="AUTO_1997_209" w:history="1">
        <w:r w:rsidRPr="007D461E">
          <w:rPr>
            <w:rStyle w:val="TextoNormalCaracter"/>
          </w:rPr>
          <w:t>209/1997</w:t>
        </w:r>
      </w:hyperlink>
      <w:r>
        <w:t>.</w:t>
      </w:r>
    </w:p>
    <w:p w:rsidR="007D461E" w:rsidRDefault="007D461E" w:rsidP="007D461E">
      <w:pPr>
        <w:pStyle w:val="SangriaFrancesaArticulo"/>
      </w:pPr>
    </w:p>
    <w:p w:rsidR="007D461E" w:rsidRDefault="007D461E" w:rsidP="007D461E">
      <w:pPr>
        <w:pStyle w:val="TextoNormalNegritaCursivandice"/>
      </w:pPr>
      <w:r>
        <w:t>Ley Orgánica 12/1995, de 12 de diciembre. Represión del contrabando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93" w:history="1">
        <w:r w:rsidRPr="007D461E">
          <w:rPr>
            <w:rStyle w:val="TextoNormalCaracter"/>
          </w:rPr>
          <w:t>293/1997</w:t>
        </w:r>
      </w:hyperlink>
      <w:r>
        <w:t>.</w:t>
      </w:r>
    </w:p>
    <w:p w:rsidR="007D461E" w:rsidRDefault="007D461E" w:rsidP="007D461E">
      <w:pPr>
        <w:pStyle w:val="SangriaFrancesaArticulo"/>
      </w:pPr>
      <w:r w:rsidRPr="007D461E">
        <w:rPr>
          <w:rStyle w:val="TextoNormalNegritaCaracter"/>
        </w:rPr>
        <w:lastRenderedPageBreak/>
        <w:t>Exposición de motivos.</w:t>
      </w:r>
      <w:r w:rsidRPr="007D461E">
        <w:rPr>
          <w:rStyle w:val="TextoNormalCaracter"/>
        </w:rPr>
        <w:t>-</w:t>
      </w:r>
      <w:r>
        <w:t xml:space="preserve"> Auto </w:t>
      </w:r>
      <w:hyperlink w:anchor="AUTO_1997_293" w:history="1">
        <w:r w:rsidRPr="007D461E">
          <w:rPr>
            <w:rStyle w:val="TextoNormalCaracter"/>
          </w:rPr>
          <w:t>293/1997</w:t>
        </w:r>
      </w:hyperlink>
      <w:r>
        <w:t>.</w:t>
      </w:r>
    </w:p>
    <w:p w:rsidR="007D461E" w:rsidRDefault="007D461E" w:rsidP="007D461E">
      <w:pPr>
        <w:pStyle w:val="SangriaFrancesaArticulo"/>
      </w:pPr>
      <w:r w:rsidRPr="007D461E">
        <w:rPr>
          <w:rStyle w:val="TextoNormalNegritaCaracter"/>
        </w:rPr>
        <w:t>Artículo 2.1 d).</w:t>
      </w:r>
      <w:r w:rsidRPr="007D461E">
        <w:rPr>
          <w:rStyle w:val="TextoNormalCaracter"/>
        </w:rPr>
        <w:t>-</w:t>
      </w:r>
      <w:r>
        <w:t xml:space="preserve"> Auto </w:t>
      </w:r>
      <w:hyperlink w:anchor="AUTO_1997_293" w:history="1">
        <w:r w:rsidRPr="007D461E">
          <w:rPr>
            <w:rStyle w:val="TextoNormalCaracter"/>
          </w:rPr>
          <w:t>293/1997</w:t>
        </w:r>
      </w:hyperlink>
      <w:r>
        <w:t>.</w:t>
      </w:r>
    </w:p>
    <w:p w:rsidR="007D461E" w:rsidRDefault="007D461E" w:rsidP="007D461E">
      <w:pPr>
        <w:pStyle w:val="SangriaFrancesaArticulo"/>
      </w:pPr>
      <w:r w:rsidRPr="007D461E">
        <w:rPr>
          <w:rStyle w:val="TextoNormalNegritaCaracter"/>
        </w:rPr>
        <w:t>Artículo 2.3 b).</w:t>
      </w:r>
      <w:r w:rsidRPr="007D461E">
        <w:rPr>
          <w:rStyle w:val="TextoNormalCaracter"/>
        </w:rPr>
        <w:t>-</w:t>
      </w:r>
      <w:r>
        <w:t xml:space="preserve"> Auto </w:t>
      </w:r>
      <w:hyperlink w:anchor="AUTO_1997_293" w:history="1">
        <w:r w:rsidRPr="007D461E">
          <w:rPr>
            <w:rStyle w:val="TextoNormalCaracter"/>
          </w:rPr>
          <w:t>293/1997</w:t>
        </w:r>
      </w:hyperlink>
      <w:r>
        <w:t>.</w:t>
      </w:r>
    </w:p>
    <w:p w:rsidR="007D461E" w:rsidRDefault="007D461E" w:rsidP="007D461E">
      <w:pPr>
        <w:pStyle w:val="SangriaFrancesaArticulo"/>
      </w:pPr>
    </w:p>
    <w:p w:rsidR="007D461E" w:rsidRDefault="007D461E" w:rsidP="007D461E">
      <w:pPr>
        <w:pStyle w:val="TextoNormalNegritaCursivandice"/>
      </w:pPr>
      <w:r>
        <w:t>Ley Orgánica 1/1996, de 15 de enero. Protección jurídica del menor, modificación parcial del Código civil y de la Ley de enjuiciamiento civil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14" w:history="1">
        <w:r w:rsidRPr="007D461E">
          <w:rPr>
            <w:rStyle w:val="TextoNormalCaracter"/>
          </w:rPr>
          <w:t>114/1997</w:t>
        </w:r>
      </w:hyperlink>
      <w:r>
        <w:t>, ff. 6, 10.</w:t>
      </w:r>
    </w:p>
    <w:p w:rsidR="007D461E" w:rsidRDefault="007D461E" w:rsidP="007D461E">
      <w:pPr>
        <w:pStyle w:val="TextoNormal"/>
      </w:pPr>
    </w:p>
    <w:p w:rsidR="007D461E" w:rsidRDefault="007D461E" w:rsidP="007D461E">
      <w:pPr>
        <w:pStyle w:val="SangriaFrancesaArticulo"/>
      </w:pPr>
      <w:bookmarkStart w:id="237" w:name="INDICE22846"/>
    </w:p>
    <w:bookmarkEnd w:id="237"/>
    <w:p w:rsidR="007D461E" w:rsidRDefault="007D461E" w:rsidP="007D461E">
      <w:pPr>
        <w:pStyle w:val="TextoIndiceNivel2"/>
        <w:suppressAutoHyphens/>
      </w:pPr>
      <w:r>
        <w:t>E) Leyes de las Cortes Generales</w:t>
      </w:r>
    </w:p>
    <w:p w:rsidR="007D461E" w:rsidRDefault="007D461E" w:rsidP="007D461E">
      <w:pPr>
        <w:pStyle w:val="TextoIndiceNivel2"/>
      </w:pPr>
    </w:p>
    <w:p w:rsidR="007D461E" w:rsidRDefault="007D461E" w:rsidP="007D461E">
      <w:pPr>
        <w:pStyle w:val="TextoNormalNegritaCursivandice"/>
      </w:pPr>
      <w:r>
        <w:t>Ley 8/1980, de 10 de marzo. Estatuto de los trabajadores</w:t>
      </w:r>
    </w:p>
    <w:p w:rsidR="007D461E" w:rsidRDefault="007D461E" w:rsidP="007D461E">
      <w:pPr>
        <w:pStyle w:val="SangriaFrancesaArticulo"/>
      </w:pPr>
      <w:r w:rsidRPr="007D461E">
        <w:rPr>
          <w:rStyle w:val="TextoNormalNegritaCaracter"/>
        </w:rPr>
        <w:t>Disposición transitoria segunda.</w:t>
      </w:r>
      <w:r w:rsidRPr="007D461E">
        <w:rPr>
          <w:rStyle w:val="TextoNormalCaracter"/>
        </w:rPr>
        <w:t>-</w:t>
      </w:r>
      <w:r>
        <w:t xml:space="preserve"> Sentencia </w:t>
      </w:r>
      <w:hyperlink w:anchor="SENTENCIA_1997_93" w:history="1">
        <w:r w:rsidRPr="007D461E">
          <w:rPr>
            <w:rStyle w:val="TextoNormalCaracter"/>
          </w:rPr>
          <w:t>93/1997</w:t>
        </w:r>
      </w:hyperlink>
      <w:r>
        <w:t>, f. 4.</w:t>
      </w:r>
    </w:p>
    <w:p w:rsidR="007D461E" w:rsidRDefault="007D461E" w:rsidP="007D461E">
      <w:pPr>
        <w:pStyle w:val="SangriaFrancesaArticulo"/>
      </w:pPr>
    </w:p>
    <w:p w:rsidR="007D461E" w:rsidRDefault="007D461E" w:rsidP="007D461E">
      <w:pPr>
        <w:pStyle w:val="TextoNormalNegritaCursivandice"/>
      </w:pPr>
      <w:r>
        <w:t>Ley 16/1980, de 22 de abril. Modifica los artículos 503 a 505 de la Ley de Enjuiciamiento Criminal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Ley 35/1980, de 26 de junio. Mutilados de guerra. Pensiones a excombatientes de la zona republicana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19" w:history="1">
        <w:r w:rsidRPr="007D461E">
          <w:rPr>
            <w:rStyle w:val="TextoNormalCaracter"/>
          </w:rPr>
          <w:t>119/1997</w:t>
        </w:r>
      </w:hyperlink>
      <w:r>
        <w:t>, f. 1.</w:t>
      </w:r>
    </w:p>
    <w:p w:rsidR="007D461E" w:rsidRDefault="007D461E" w:rsidP="007D461E">
      <w:pPr>
        <w:pStyle w:val="SangriaFrancesaArticulo"/>
      </w:pPr>
    </w:p>
    <w:p w:rsidR="007D461E" w:rsidRDefault="007D461E" w:rsidP="007D461E">
      <w:pPr>
        <w:pStyle w:val="TextoNormalNegritaCursivandice"/>
      </w:pPr>
      <w:r>
        <w:t>Ley 30/1984, de 2 de agosto. Medidas para la reforma de la función pública</w:t>
      </w:r>
    </w:p>
    <w:p w:rsidR="007D461E" w:rsidRDefault="007D461E" w:rsidP="007D461E">
      <w:pPr>
        <w:pStyle w:val="SangriaFrancesaArticulo"/>
      </w:pPr>
      <w:r w:rsidRPr="007D461E">
        <w:rPr>
          <w:rStyle w:val="TextoNormalNegritaCaracter"/>
        </w:rPr>
        <w:t>Exposición de motivos.</w:t>
      </w:r>
      <w:r w:rsidRPr="007D461E">
        <w:rPr>
          <w:rStyle w:val="TextoNormalCaracter"/>
        </w:rPr>
        <w:t>-</w:t>
      </w:r>
      <w:r>
        <w:t xml:space="preserve"> Sentencia </w:t>
      </w:r>
      <w:hyperlink w:anchor="SENTENCIA_1997_103" w:history="1">
        <w:r w:rsidRPr="007D461E">
          <w:rPr>
            <w:rStyle w:val="TextoNormalCaracter"/>
          </w:rPr>
          <w:t>103/1997</w:t>
        </w:r>
      </w:hyperlink>
      <w:r>
        <w:t>, f. 4.</w:t>
      </w:r>
    </w:p>
    <w:p w:rsidR="007D461E" w:rsidRDefault="007D461E" w:rsidP="007D461E">
      <w:pPr>
        <w:pStyle w:val="SangriaFrancesaArticulo"/>
      </w:pPr>
      <w:r w:rsidRPr="007D461E">
        <w:rPr>
          <w:rStyle w:val="TextoNormalNegritaCaracter"/>
        </w:rPr>
        <w:t>Artículo 1.3.</w:t>
      </w:r>
      <w:r w:rsidRPr="007D461E">
        <w:rPr>
          <w:rStyle w:val="TextoNormalCaracter"/>
        </w:rPr>
        <w:t>-</w:t>
      </w:r>
      <w:r>
        <w:t xml:space="preserve"> Sentencia </w:t>
      </w:r>
      <w:hyperlink w:anchor="SENTENCIA_1997_103" w:history="1">
        <w:r w:rsidRPr="007D461E">
          <w:rPr>
            <w:rStyle w:val="TextoNormalCaracter"/>
          </w:rPr>
          <w:t>103/1997</w:t>
        </w:r>
      </w:hyperlink>
      <w:r>
        <w:t>, ff. 2, 4.</w:t>
      </w:r>
    </w:p>
    <w:p w:rsidR="007D461E" w:rsidRDefault="007D461E" w:rsidP="007D461E">
      <w:pPr>
        <w:pStyle w:val="SangriaFrancesaArticulo"/>
      </w:pPr>
      <w:r w:rsidRPr="007D461E">
        <w:rPr>
          <w:rStyle w:val="TextoNormalNegritaCaracter"/>
        </w:rPr>
        <w:t>Artículo 16.</w:t>
      </w:r>
      <w:r w:rsidRPr="007D461E">
        <w:rPr>
          <w:rStyle w:val="TextoNormalCaracter"/>
        </w:rPr>
        <w:t>-</w:t>
      </w:r>
      <w:r>
        <w:t xml:space="preserve"> Sentencia </w:t>
      </w:r>
      <w:hyperlink w:anchor="SENTENCIA_1997_96" w:history="1">
        <w:r w:rsidRPr="007D461E">
          <w:rPr>
            <w:rStyle w:val="TextoNormalCaracter"/>
          </w:rPr>
          <w:t>96/1997</w:t>
        </w:r>
      </w:hyperlink>
      <w:r>
        <w:t>, f. 6.</w:t>
      </w:r>
    </w:p>
    <w:p w:rsidR="007D461E" w:rsidRDefault="007D461E" w:rsidP="007D461E">
      <w:pPr>
        <w:pStyle w:val="SangriaFrancesaArticulo"/>
      </w:pPr>
      <w:r w:rsidRPr="007D461E">
        <w:rPr>
          <w:rStyle w:val="TextoNormalNegritaCaracter"/>
        </w:rPr>
        <w:t>Artículo 20.1 c).</w:t>
      </w:r>
      <w:r w:rsidRPr="007D461E">
        <w:rPr>
          <w:rStyle w:val="TextoNormalCaracter"/>
        </w:rPr>
        <w:t>-</w:t>
      </w:r>
      <w:r>
        <w:t xml:space="preserve"> Sentencia </w:t>
      </w:r>
      <w:hyperlink w:anchor="SENTENCIA_1997_96" w:history="1">
        <w:r w:rsidRPr="007D461E">
          <w:rPr>
            <w:rStyle w:val="TextoNormalCaracter"/>
          </w:rPr>
          <w:t>96/1997</w:t>
        </w:r>
      </w:hyperlink>
      <w:r>
        <w:t>, f. 6.</w:t>
      </w:r>
    </w:p>
    <w:p w:rsidR="007D461E" w:rsidRDefault="007D461E" w:rsidP="007D461E">
      <w:pPr>
        <w:pStyle w:val="SangriaFrancesaArticulo"/>
      </w:pPr>
      <w:r w:rsidRPr="007D461E">
        <w:rPr>
          <w:rStyle w:val="TextoNormalNegritaCaracter"/>
        </w:rPr>
        <w:t>Artículo 23.</w:t>
      </w:r>
      <w:r w:rsidRPr="007D461E">
        <w:rPr>
          <w:rStyle w:val="TextoNormalCaracter"/>
        </w:rPr>
        <w:t>-</w:t>
      </w:r>
      <w:r>
        <w:t xml:space="preserve"> Sentencia </w:t>
      </w:r>
      <w:hyperlink w:anchor="SENTENCIA_1997_111" w:history="1">
        <w:r w:rsidRPr="007D461E">
          <w:rPr>
            <w:rStyle w:val="TextoNormalCaracter"/>
          </w:rPr>
          <w:t>111/1997</w:t>
        </w:r>
      </w:hyperlink>
      <w:r>
        <w:t>, f. 3.</w:t>
      </w:r>
    </w:p>
    <w:p w:rsidR="007D461E" w:rsidRDefault="007D461E" w:rsidP="007D461E">
      <w:pPr>
        <w:pStyle w:val="SangriaFrancesaArticulo"/>
      </w:pPr>
      <w:r w:rsidRPr="007D461E">
        <w:rPr>
          <w:rStyle w:val="TextoNormalNegritaCaracter"/>
        </w:rPr>
        <w:t>Artículo 23.2.</w:t>
      </w:r>
      <w:r w:rsidRPr="007D461E">
        <w:rPr>
          <w:rStyle w:val="TextoNormalCaracter"/>
        </w:rPr>
        <w:t>-</w:t>
      </w:r>
      <w:r>
        <w:t xml:space="preserve"> Sentencia </w:t>
      </w:r>
      <w:hyperlink w:anchor="SENTENCIA_1997_103" w:history="1">
        <w:r w:rsidRPr="007D461E">
          <w:rPr>
            <w:rStyle w:val="TextoNormalCaracter"/>
          </w:rPr>
          <w:t>103/1997</w:t>
        </w:r>
      </w:hyperlink>
      <w:r>
        <w:t>, ff. 2, 4.</w:t>
      </w:r>
    </w:p>
    <w:p w:rsidR="007D461E" w:rsidRDefault="007D461E" w:rsidP="007D461E">
      <w:pPr>
        <w:pStyle w:val="SangriaFrancesaArticulo"/>
      </w:pPr>
      <w:r w:rsidRPr="007D461E">
        <w:rPr>
          <w:rStyle w:val="TextoNormalNegritaCaracter"/>
        </w:rPr>
        <w:t>Artículo 23.3 a).</w:t>
      </w:r>
      <w:r w:rsidRPr="007D461E">
        <w:rPr>
          <w:rStyle w:val="TextoNormalCaracter"/>
        </w:rPr>
        <w:t>-</w:t>
      </w:r>
      <w:r>
        <w:t xml:space="preserve"> Sentencia </w:t>
      </w:r>
      <w:hyperlink w:anchor="SENTENCIA_1997_96" w:history="1">
        <w:r w:rsidRPr="007D461E">
          <w:rPr>
            <w:rStyle w:val="TextoNormalCaracter"/>
          </w:rPr>
          <w:t>96/1997</w:t>
        </w:r>
      </w:hyperlink>
      <w:r>
        <w:t>, f. 6.</w:t>
      </w:r>
    </w:p>
    <w:p w:rsidR="007D461E" w:rsidRDefault="007D461E" w:rsidP="007D461E">
      <w:pPr>
        <w:pStyle w:val="SangriaFrancesaArticulo"/>
      </w:pPr>
      <w:r w:rsidRPr="007D461E">
        <w:rPr>
          <w:rStyle w:val="TextoNormalNegritaCaracter"/>
        </w:rPr>
        <w:t>Artículo 23.3 b).</w:t>
      </w:r>
      <w:r w:rsidRPr="007D461E">
        <w:rPr>
          <w:rStyle w:val="TextoNormalCaracter"/>
        </w:rPr>
        <w:t>-</w:t>
      </w:r>
      <w:r>
        <w:t xml:space="preserve"> Sentencia </w:t>
      </w:r>
      <w:hyperlink w:anchor="SENTENCIA_1997_103" w:history="1">
        <w:r w:rsidRPr="007D461E">
          <w:rPr>
            <w:rStyle w:val="TextoNormalCaracter"/>
          </w:rPr>
          <w:t>103/1997</w:t>
        </w:r>
      </w:hyperlink>
      <w:r>
        <w:t>, f. 4.</w:t>
      </w:r>
    </w:p>
    <w:p w:rsidR="007D461E" w:rsidRDefault="007D461E" w:rsidP="007D461E">
      <w:pPr>
        <w:pStyle w:val="SangriaFrancesaArticulo"/>
      </w:pPr>
      <w:r w:rsidRPr="007D461E">
        <w:rPr>
          <w:rStyle w:val="TextoNormalNegritaCaracter"/>
        </w:rPr>
        <w:t>Artículo 24.</w:t>
      </w:r>
      <w:r w:rsidRPr="007D461E">
        <w:rPr>
          <w:rStyle w:val="TextoNormalCaracter"/>
        </w:rPr>
        <w:t>-</w:t>
      </w:r>
      <w:r>
        <w:t xml:space="preserve"> Sentencia </w:t>
      </w:r>
      <w:hyperlink w:anchor="SENTENCIA_1997_103" w:history="1">
        <w:r w:rsidRPr="007D461E">
          <w:rPr>
            <w:rStyle w:val="TextoNormalCaracter"/>
          </w:rPr>
          <w:t>103/1997</w:t>
        </w:r>
      </w:hyperlink>
      <w:r>
        <w:t>, f. 2.</w:t>
      </w:r>
    </w:p>
    <w:p w:rsidR="007D461E" w:rsidRDefault="007D461E" w:rsidP="007D461E">
      <w:pPr>
        <w:pStyle w:val="SangriaFrancesaArticulo"/>
      </w:pPr>
      <w:r w:rsidRPr="007D461E">
        <w:rPr>
          <w:rStyle w:val="TextoNormalNegritaCaracter"/>
        </w:rPr>
        <w:t>Artículo 24.1.</w:t>
      </w:r>
      <w:r w:rsidRPr="007D461E">
        <w:rPr>
          <w:rStyle w:val="TextoNormalCaracter"/>
        </w:rPr>
        <w:t>-</w:t>
      </w:r>
      <w:r>
        <w:t xml:space="preserve"> Sentencia </w:t>
      </w:r>
      <w:hyperlink w:anchor="SENTENCIA_1997_103" w:history="1">
        <w:r w:rsidRPr="007D461E">
          <w:rPr>
            <w:rStyle w:val="TextoNormalCaracter"/>
          </w:rPr>
          <w:t>103/1997</w:t>
        </w:r>
      </w:hyperlink>
      <w:r>
        <w:t>, ff. 2, 3.</w:t>
      </w:r>
    </w:p>
    <w:p w:rsidR="007D461E" w:rsidRDefault="007D461E" w:rsidP="007D461E">
      <w:pPr>
        <w:pStyle w:val="SangriaFrancesaArticulo"/>
      </w:pPr>
      <w:r w:rsidRPr="007D461E">
        <w:rPr>
          <w:rStyle w:val="TextoNormalNegritaCaracter"/>
        </w:rPr>
        <w:t>Artículo 24.2.</w:t>
      </w:r>
      <w:r w:rsidRPr="007D461E">
        <w:rPr>
          <w:rStyle w:val="TextoNormalCaracter"/>
        </w:rPr>
        <w:t>-</w:t>
      </w:r>
      <w:r>
        <w:t xml:space="preserve"> Sentencia </w:t>
      </w:r>
      <w:hyperlink w:anchor="SENTENCIA_1997_103" w:history="1">
        <w:r w:rsidRPr="007D461E">
          <w:rPr>
            <w:rStyle w:val="TextoNormalCaracter"/>
          </w:rPr>
          <w:t>103/1997</w:t>
        </w:r>
      </w:hyperlink>
      <w:r>
        <w:t>, f. 3.</w:t>
      </w:r>
    </w:p>
    <w:p w:rsidR="007D461E" w:rsidRDefault="007D461E" w:rsidP="007D461E">
      <w:pPr>
        <w:pStyle w:val="SangriaIzquierdaArticulo"/>
      </w:pPr>
      <w:r>
        <w:t xml:space="preserve">Auto </w:t>
      </w:r>
      <w:hyperlink w:anchor="AUTO_1997_233" w:history="1">
        <w:r w:rsidRPr="007D461E">
          <w:rPr>
            <w:rStyle w:val="TextoNormalCaracter"/>
          </w:rPr>
          <w:t>233/1997</w:t>
        </w:r>
      </w:hyperlink>
      <w:r>
        <w:t>.</w:t>
      </w:r>
    </w:p>
    <w:p w:rsidR="007D461E" w:rsidRDefault="007D461E" w:rsidP="007D461E">
      <w:pPr>
        <w:pStyle w:val="SangriaFrancesaArticulo"/>
      </w:pPr>
      <w:r w:rsidRPr="007D461E">
        <w:rPr>
          <w:rStyle w:val="TextoNormalNegritaCaracter"/>
        </w:rPr>
        <w:t>Artículo 25.</w:t>
      </w:r>
      <w:r w:rsidRPr="007D461E">
        <w:rPr>
          <w:rStyle w:val="TextoNormalCaracter"/>
        </w:rPr>
        <w:t>-</w:t>
      </w:r>
      <w:r>
        <w:t xml:space="preserve"> Sentencias </w:t>
      </w:r>
      <w:hyperlink w:anchor="SENTENCIA_1997_96" w:history="1">
        <w:r w:rsidRPr="007D461E">
          <w:rPr>
            <w:rStyle w:val="TextoNormalCaracter"/>
          </w:rPr>
          <w:t>96/1997</w:t>
        </w:r>
      </w:hyperlink>
      <w:r>
        <w:t xml:space="preserve">, f. 1; </w:t>
      </w:r>
      <w:hyperlink w:anchor="SENTENCIA_1997_103" w:history="1">
        <w:r w:rsidRPr="007D461E">
          <w:rPr>
            <w:rStyle w:val="TextoNormalCaracter"/>
          </w:rPr>
          <w:t>103/1997</w:t>
        </w:r>
      </w:hyperlink>
      <w:r>
        <w:t>, f. 4.</w:t>
      </w:r>
    </w:p>
    <w:p w:rsidR="007D461E" w:rsidRDefault="007D461E" w:rsidP="007D461E">
      <w:pPr>
        <w:pStyle w:val="SangriaFrancesaArticulo"/>
      </w:pPr>
    </w:p>
    <w:p w:rsidR="007D461E" w:rsidRDefault="007D461E" w:rsidP="007D461E">
      <w:pPr>
        <w:pStyle w:val="TextoNormalNegritaCursivandice"/>
      </w:pPr>
      <w:r>
        <w:t>Ley 4/1985, de 21 de marzo. Extradición pasiva</w:t>
      </w:r>
    </w:p>
    <w:p w:rsidR="007D461E" w:rsidRDefault="007D461E" w:rsidP="007D461E">
      <w:pPr>
        <w:pStyle w:val="SangriaFrancesaArticulo"/>
      </w:pPr>
      <w:r w:rsidRPr="007D461E">
        <w:rPr>
          <w:rStyle w:val="TextoNormalNegritaCaracter"/>
        </w:rPr>
        <w:t>Artículo 8.</w:t>
      </w:r>
      <w:r w:rsidRPr="007D461E">
        <w:rPr>
          <w:rStyle w:val="TextoNormalCaracter"/>
        </w:rPr>
        <w:t>-</w:t>
      </w:r>
      <w:r>
        <w:t xml:space="preserve"> Auto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8.3.</w:t>
      </w:r>
      <w:r w:rsidRPr="007D461E">
        <w:rPr>
          <w:rStyle w:val="TextoNormalCaracter"/>
        </w:rPr>
        <w:t>-</w:t>
      </w:r>
      <w:r>
        <w:t xml:space="preserve"> Auto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10.3.</w:t>
      </w:r>
      <w:r w:rsidRPr="007D461E">
        <w:rPr>
          <w:rStyle w:val="TextoNormalCaracter"/>
        </w:rPr>
        <w:t>-</w:t>
      </w:r>
      <w:r>
        <w:t xml:space="preserve"> Auto </w:t>
      </w:r>
      <w:hyperlink w:anchor="AUTO_1997_277" w:history="1">
        <w:r w:rsidRPr="007D461E">
          <w:rPr>
            <w:rStyle w:val="TextoNormalCaracter"/>
          </w:rPr>
          <w:t>277/1997</w:t>
        </w:r>
      </w:hyperlink>
      <w:r>
        <w:t>.</w:t>
      </w:r>
    </w:p>
    <w:p w:rsidR="007D461E" w:rsidRDefault="007D461E" w:rsidP="007D461E">
      <w:pPr>
        <w:pStyle w:val="SangriaFrancesaArticulo"/>
      </w:pPr>
    </w:p>
    <w:p w:rsidR="007D461E" w:rsidRDefault="007D461E" w:rsidP="007D461E">
      <w:pPr>
        <w:pStyle w:val="TextoNormalNegritaCursivandice"/>
      </w:pPr>
      <w:r>
        <w:t>Ley 7/1985, de 2 de abril. Reguladora de bases del régimen local</w:t>
      </w:r>
    </w:p>
    <w:p w:rsidR="007D461E" w:rsidRDefault="007D461E" w:rsidP="007D461E">
      <w:pPr>
        <w:pStyle w:val="SangriaFrancesaArticulo"/>
      </w:pPr>
      <w:r w:rsidRPr="007D461E">
        <w:rPr>
          <w:rStyle w:val="TextoNormalNegritaCaracter"/>
        </w:rPr>
        <w:t>Artículo 80.</w:t>
      </w:r>
      <w:r w:rsidRPr="007D461E">
        <w:rPr>
          <w:rStyle w:val="TextoNormalCaracter"/>
        </w:rPr>
        <w:t>-</w:t>
      </w:r>
      <w:r>
        <w:t xml:space="preserve"> Sentencia </w:t>
      </w:r>
      <w:hyperlink w:anchor="SENTENCIA_1997_94" w:history="1">
        <w:r w:rsidRPr="007D461E">
          <w:rPr>
            <w:rStyle w:val="TextoNormalCaracter"/>
          </w:rPr>
          <w:t>94/1997</w:t>
        </w:r>
      </w:hyperlink>
      <w:r>
        <w:t>, f. 3.</w:t>
      </w:r>
    </w:p>
    <w:p w:rsidR="007D461E" w:rsidRDefault="007D461E" w:rsidP="007D461E">
      <w:pPr>
        <w:pStyle w:val="SangriaFrancesaArticulo"/>
      </w:pPr>
      <w:r w:rsidRPr="007D461E">
        <w:rPr>
          <w:rStyle w:val="TextoNormalNegritaCaracter"/>
        </w:rPr>
        <w:t>Artículo 89.</w:t>
      </w:r>
      <w:r w:rsidRPr="007D461E">
        <w:rPr>
          <w:rStyle w:val="TextoNormalCaracter"/>
        </w:rPr>
        <w:t>-</w:t>
      </w:r>
      <w:r>
        <w:t xml:space="preserve"> Sentencia </w:t>
      </w:r>
      <w:hyperlink w:anchor="SENTENCIA_1997_94" w:history="1">
        <w:r w:rsidRPr="007D461E">
          <w:rPr>
            <w:rStyle w:val="TextoNormalCaracter"/>
          </w:rPr>
          <w:t>94/1997</w:t>
        </w:r>
      </w:hyperlink>
      <w:r>
        <w:t>, f. 3.</w:t>
      </w:r>
    </w:p>
    <w:p w:rsidR="007D461E" w:rsidRDefault="007D461E" w:rsidP="007D461E">
      <w:pPr>
        <w:pStyle w:val="SangriaFrancesaArticulo"/>
      </w:pPr>
    </w:p>
    <w:p w:rsidR="007D461E" w:rsidRDefault="007D461E" w:rsidP="007D461E">
      <w:pPr>
        <w:pStyle w:val="TextoNormalNegritaCursivandice"/>
      </w:pPr>
      <w:r>
        <w:lastRenderedPageBreak/>
        <w:t>Ley 9/1987, de 12 de junio. Órganos de representación, determinación de las condiciones de trabajo y participación del personal al servicio de las   Administraciones públicas</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21" w:history="1">
        <w:r w:rsidRPr="007D461E">
          <w:rPr>
            <w:rStyle w:val="TextoNormalCaracter"/>
          </w:rPr>
          <w:t>121/1997</w:t>
        </w:r>
      </w:hyperlink>
      <w:r>
        <w:t>, f. 10.</w:t>
      </w:r>
    </w:p>
    <w:p w:rsidR="007D461E" w:rsidRDefault="007D461E" w:rsidP="007D461E">
      <w:pPr>
        <w:pStyle w:val="SangriaFrancesaArticulo"/>
      </w:pPr>
    </w:p>
    <w:p w:rsidR="007D461E" w:rsidRDefault="007D461E" w:rsidP="007D461E">
      <w:pPr>
        <w:pStyle w:val="TextoNormalNegritaCursivandice"/>
      </w:pPr>
      <w:r>
        <w:t>Ley 21/1987, de 11 de noviembre. Modifica determinados artículos del Código civil y de la Ley de enjuiciamiento civil en materia de adopción</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p>
    <w:p w:rsidR="007D461E" w:rsidRDefault="007D461E" w:rsidP="007D461E">
      <w:pPr>
        <w:pStyle w:val="TextoNormalNegritaCursivandice"/>
      </w:pPr>
      <w:r>
        <w:t>Ley 31/1987, de 18 de diciembre. Ordenación de las telecomunicaciones</w:t>
      </w:r>
    </w:p>
    <w:p w:rsidR="007D461E" w:rsidRDefault="007D461E" w:rsidP="007D461E">
      <w:pPr>
        <w:pStyle w:val="SangriaFrancesaArticulo"/>
      </w:pPr>
      <w:r w:rsidRPr="007D461E">
        <w:rPr>
          <w:rStyle w:val="TextoNormalNegritaCaracter"/>
        </w:rPr>
        <w:t>Artículo 33.2 h).</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33.3 c).</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34.2.</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34.3.</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p>
    <w:p w:rsidR="007D461E" w:rsidRDefault="007D461E" w:rsidP="007D461E">
      <w:pPr>
        <w:pStyle w:val="TextoNormalNegritaCursivandice"/>
      </w:pPr>
      <w:r>
        <w:t>Ley 33/1987, de 23 de diciembre. Presupuestos generales del Estado para 1988</w:t>
      </w:r>
    </w:p>
    <w:p w:rsidR="007D461E" w:rsidRDefault="007D461E" w:rsidP="007D461E">
      <w:pPr>
        <w:pStyle w:val="SangriaFrancesaArticulo"/>
      </w:pPr>
      <w:r w:rsidRPr="007D461E">
        <w:rPr>
          <w:rStyle w:val="TextoNormalNegritaCaracter"/>
        </w:rPr>
        <w:t>Artículo 28.1.</w:t>
      </w:r>
      <w:r w:rsidRPr="007D461E">
        <w:rPr>
          <w:rStyle w:val="TextoNormalCaracter"/>
        </w:rPr>
        <w:t>-</w:t>
      </w:r>
      <w:r>
        <w:t xml:space="preserve"> Sentencia </w:t>
      </w:r>
      <w:hyperlink w:anchor="SENTENCIA_1997_103" w:history="1">
        <w:r w:rsidRPr="007D461E">
          <w:rPr>
            <w:rStyle w:val="TextoNormalCaracter"/>
          </w:rPr>
          <w:t>103/1997</w:t>
        </w:r>
      </w:hyperlink>
      <w:r>
        <w:t>, f. 1.</w:t>
      </w:r>
    </w:p>
    <w:p w:rsidR="007D461E" w:rsidRDefault="007D461E" w:rsidP="007D461E">
      <w:pPr>
        <w:pStyle w:val="SangriaFrancesaArticulo"/>
      </w:pPr>
      <w:r w:rsidRPr="007D461E">
        <w:rPr>
          <w:rStyle w:val="TextoNormalNegritaCaracter"/>
        </w:rPr>
        <w:t>Artículo 31.1 a).</w:t>
      </w:r>
      <w:r w:rsidRPr="007D461E">
        <w:rPr>
          <w:rStyle w:val="TextoNormalCaracter"/>
        </w:rPr>
        <w:t>-</w:t>
      </w:r>
      <w:r>
        <w:t xml:space="preserve"> Sentencia </w:t>
      </w:r>
      <w:hyperlink w:anchor="SENTENCIA_1997_103" w:history="1">
        <w:r w:rsidRPr="007D461E">
          <w:rPr>
            <w:rStyle w:val="TextoNormalCaracter"/>
          </w:rPr>
          <w:t>103/1997</w:t>
        </w:r>
      </w:hyperlink>
      <w:r>
        <w:t>, ff. 2, 3.</w:t>
      </w:r>
    </w:p>
    <w:p w:rsidR="007D461E" w:rsidRDefault="007D461E" w:rsidP="007D461E">
      <w:pPr>
        <w:pStyle w:val="SangriaFrancesaArticulo"/>
      </w:pPr>
    </w:p>
    <w:p w:rsidR="007D461E" w:rsidRDefault="007D461E" w:rsidP="007D461E">
      <w:pPr>
        <w:pStyle w:val="TextoNormalNegritaCursivandice"/>
      </w:pPr>
      <w:r>
        <w:t>Ley 24/1988, de 28 de julio. Mercado de valores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ff. 1, 2, 5, 6, 9, 12, 13, 15, 16.</w:t>
      </w:r>
    </w:p>
    <w:p w:rsidR="007D461E" w:rsidRDefault="007D461E" w:rsidP="007D461E">
      <w:pPr>
        <w:pStyle w:val="SangriaFrancesaArticulo"/>
      </w:pPr>
      <w:r w:rsidRPr="007D461E">
        <w:rPr>
          <w:rStyle w:val="TextoNormalNegritaCaracter"/>
        </w:rPr>
        <w:t>Título II.</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Título III.</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Título IV, capítulo I.</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Título IV, capítulo II.</w:t>
      </w:r>
      <w:r w:rsidRPr="007D461E">
        <w:rPr>
          <w:rStyle w:val="TextoNormalCaracter"/>
        </w:rPr>
        <w:t>-</w:t>
      </w:r>
      <w:r>
        <w:t xml:space="preserve"> Sentencia </w:t>
      </w:r>
      <w:hyperlink w:anchor="SENTENCIA_1997_133" w:history="1">
        <w:r w:rsidRPr="007D461E">
          <w:rPr>
            <w:rStyle w:val="TextoNormalCaracter"/>
          </w:rPr>
          <w:t>133/1997</w:t>
        </w:r>
      </w:hyperlink>
      <w:r>
        <w:t>, ff. 9, 13.</w:t>
      </w:r>
    </w:p>
    <w:p w:rsidR="007D461E" w:rsidRDefault="007D461E" w:rsidP="007D461E">
      <w:pPr>
        <w:pStyle w:val="SangriaFrancesaArticulo"/>
      </w:pPr>
      <w:r w:rsidRPr="007D461E">
        <w:rPr>
          <w:rStyle w:val="TextoNormalNegritaCaracter"/>
        </w:rPr>
        <w:t>Título IV, capítulo IV.</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Título V.</w:t>
      </w:r>
      <w:r w:rsidRPr="007D461E">
        <w:rPr>
          <w:rStyle w:val="TextoNormalCaracter"/>
        </w:rPr>
        <w:t>-</w:t>
      </w:r>
      <w:r>
        <w:t xml:space="preserve"> Sentencia </w:t>
      </w:r>
      <w:hyperlink w:anchor="SENTENCIA_1997_133" w:history="1">
        <w:r w:rsidRPr="007D461E">
          <w:rPr>
            <w:rStyle w:val="TextoNormalCaracter"/>
          </w:rPr>
          <w:t>133/1997</w:t>
        </w:r>
      </w:hyperlink>
      <w:r>
        <w:t>, ff. 10, 16.</w:t>
      </w:r>
    </w:p>
    <w:p w:rsidR="007D461E" w:rsidRDefault="007D461E" w:rsidP="007D461E">
      <w:pPr>
        <w:pStyle w:val="SangriaFrancesaArticulo"/>
      </w:pPr>
      <w:r w:rsidRPr="007D461E">
        <w:rPr>
          <w:rStyle w:val="TextoNormalNegritaCaracter"/>
        </w:rPr>
        <w:t>Título VII.</w:t>
      </w:r>
      <w:r w:rsidRPr="007D461E">
        <w:rPr>
          <w:rStyle w:val="TextoNormalCaracter"/>
        </w:rPr>
        <w:t>-</w:t>
      </w:r>
      <w:r>
        <w:t xml:space="preserve"> Sentencia </w:t>
      </w:r>
      <w:hyperlink w:anchor="SENTENCIA_1997_133" w:history="1">
        <w:r w:rsidRPr="007D461E">
          <w:rPr>
            <w:rStyle w:val="TextoNormalCaracter"/>
          </w:rPr>
          <w:t>133/1997</w:t>
        </w:r>
      </w:hyperlink>
      <w:r>
        <w:t>, f. 11.</w:t>
      </w:r>
    </w:p>
    <w:p w:rsidR="007D461E" w:rsidRDefault="007D461E" w:rsidP="007D461E">
      <w:pPr>
        <w:pStyle w:val="SangriaFrancesaArticulo"/>
      </w:pPr>
      <w:r w:rsidRPr="007D461E">
        <w:rPr>
          <w:rStyle w:val="TextoNormalNegritaCaracter"/>
        </w:rPr>
        <w:t>Título VIII.</w:t>
      </w:r>
      <w:r w:rsidRPr="007D461E">
        <w:rPr>
          <w:rStyle w:val="TextoNormalCaracter"/>
        </w:rPr>
        <w:t>-</w:t>
      </w:r>
      <w:r>
        <w:t xml:space="preserve"> Sentencia </w:t>
      </w:r>
      <w:hyperlink w:anchor="SENTENCIA_1997_133" w:history="1">
        <w:r w:rsidRPr="007D461E">
          <w:rPr>
            <w:rStyle w:val="TextoNormalCaracter"/>
          </w:rPr>
          <w:t>133/1997</w:t>
        </w:r>
      </w:hyperlink>
      <w:r>
        <w:t>, ff. 6, 12, 18.</w:t>
      </w:r>
    </w:p>
    <w:p w:rsidR="007D461E" w:rsidRDefault="007D461E" w:rsidP="007D461E">
      <w:pPr>
        <w:pStyle w:val="SangriaFrancesaArticulo"/>
      </w:pPr>
      <w:r w:rsidRPr="007D461E">
        <w:rPr>
          <w:rStyle w:val="TextoNormalNegritaCaracter"/>
        </w:rPr>
        <w:t>Exposición de motivos.</w:t>
      </w:r>
      <w:r w:rsidRPr="007D461E">
        <w:rPr>
          <w:rStyle w:val="TextoNormalCaracter"/>
        </w:rPr>
        <w:t>-</w:t>
      </w:r>
      <w:r>
        <w:t xml:space="preserve"> Sentencia </w:t>
      </w:r>
      <w:hyperlink w:anchor="SENTENCIA_1997_133" w:history="1">
        <w:r w:rsidRPr="007D461E">
          <w:rPr>
            <w:rStyle w:val="TextoNormalCaracter"/>
          </w:rPr>
          <w:t>133/1997</w:t>
        </w:r>
      </w:hyperlink>
      <w:r>
        <w:t>, ff. 6, 9, 10, 16.</w:t>
      </w:r>
    </w:p>
    <w:p w:rsidR="007D461E" w:rsidRDefault="007D461E" w:rsidP="007D461E">
      <w:pPr>
        <w:pStyle w:val="SangriaFrancesaArticulo"/>
      </w:pPr>
      <w:r w:rsidRPr="007D461E">
        <w:rPr>
          <w:rStyle w:val="TextoNormalNegritaCaracter"/>
        </w:rPr>
        <w:t>Exposición de motivos, apartado 14.</w:t>
      </w:r>
      <w:r w:rsidRPr="007D461E">
        <w:rPr>
          <w:rStyle w:val="TextoNormalCaracter"/>
        </w:rPr>
        <w:t>-</w:t>
      </w:r>
      <w:r>
        <w:t xml:space="preserve"> Sentencia </w:t>
      </w:r>
      <w:hyperlink w:anchor="SENTENCIA_1997_133" w:history="1">
        <w:r w:rsidRPr="007D461E">
          <w:rPr>
            <w:rStyle w:val="TextoNormalCaracter"/>
          </w:rPr>
          <w:t>133/1997</w:t>
        </w:r>
      </w:hyperlink>
      <w:r>
        <w:t>, f. 6.</w:t>
      </w:r>
    </w:p>
    <w:p w:rsidR="007D461E" w:rsidRDefault="007D461E" w:rsidP="007D461E">
      <w:pPr>
        <w:pStyle w:val="SangriaFrancesaArticulo"/>
      </w:pPr>
      <w:r w:rsidRPr="007D461E">
        <w:rPr>
          <w:rStyle w:val="TextoNormalNegritaCaracter"/>
        </w:rPr>
        <w:t>Exposición de motivos, apartado 15.</w:t>
      </w:r>
      <w:r w:rsidRPr="007D461E">
        <w:rPr>
          <w:rStyle w:val="TextoNormalCaracter"/>
        </w:rPr>
        <w:t>-</w:t>
      </w:r>
      <w:r>
        <w:t xml:space="preserve"> Sentencia </w:t>
      </w:r>
      <w:hyperlink w:anchor="SENTENCIA_1997_133" w:history="1">
        <w:r w:rsidRPr="007D461E">
          <w:rPr>
            <w:rStyle w:val="TextoNormalCaracter"/>
          </w:rPr>
          <w:t>133/1997</w:t>
        </w:r>
      </w:hyperlink>
      <w:r>
        <w:t>, f. 6.</w:t>
      </w:r>
    </w:p>
    <w:p w:rsidR="007D461E" w:rsidRDefault="007D461E" w:rsidP="007D461E">
      <w:pPr>
        <w:pStyle w:val="SangriaFrancesaArticulo"/>
      </w:pPr>
      <w:r w:rsidRPr="007D461E">
        <w:rPr>
          <w:rStyle w:val="TextoNormalNegritaCaracter"/>
        </w:rPr>
        <w:t>Exposición de motivos, apartado 3.</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Exposición de motivos, apartado 5.</w:t>
      </w:r>
      <w:r w:rsidRPr="007D461E">
        <w:rPr>
          <w:rStyle w:val="TextoNormalCaracter"/>
        </w:rPr>
        <w:t>-</w:t>
      </w:r>
      <w:r>
        <w:t xml:space="preserve"> Sentencia </w:t>
      </w:r>
      <w:hyperlink w:anchor="SENTENCIA_1997_133" w:history="1">
        <w:r w:rsidRPr="007D461E">
          <w:rPr>
            <w:rStyle w:val="TextoNormalCaracter"/>
          </w:rPr>
          <w:t>133/1997</w:t>
        </w:r>
      </w:hyperlink>
      <w:r>
        <w:t>, f. 6.</w:t>
      </w:r>
    </w:p>
    <w:p w:rsidR="007D461E" w:rsidRDefault="007D461E" w:rsidP="007D461E">
      <w:pPr>
        <w:pStyle w:val="SangriaFrancesaArticulo"/>
      </w:pPr>
      <w:r w:rsidRPr="007D461E">
        <w:rPr>
          <w:rStyle w:val="TextoNormalNegritaCaracter"/>
        </w:rPr>
        <w:t>Exposición de motivos, apartado 9.</w:t>
      </w:r>
      <w:r w:rsidRPr="007D461E">
        <w:rPr>
          <w:rStyle w:val="TextoNormalCaracter"/>
        </w:rPr>
        <w:t>-</w:t>
      </w:r>
      <w:r>
        <w:t xml:space="preserve"> Sentencia </w:t>
      </w:r>
      <w:hyperlink w:anchor="SENTENCIA_1997_133" w:history="1">
        <w:r w:rsidRPr="007D461E">
          <w:rPr>
            <w:rStyle w:val="TextoNormalCaracter"/>
          </w:rPr>
          <w:t>133/1997</w:t>
        </w:r>
      </w:hyperlink>
      <w:r>
        <w:t>, f. 6.</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33" w:history="1">
        <w:r w:rsidRPr="007D461E">
          <w:rPr>
            <w:rStyle w:val="TextoNormalCaracter"/>
          </w:rPr>
          <w:t>133/1997</w:t>
        </w:r>
      </w:hyperlink>
      <w:r>
        <w:t>, f. 3.</w:t>
      </w:r>
    </w:p>
    <w:p w:rsidR="007D461E" w:rsidRDefault="007D461E" w:rsidP="007D461E">
      <w:pPr>
        <w:pStyle w:val="SangriaFrancesaArticulo"/>
      </w:pPr>
      <w:r w:rsidRPr="007D461E">
        <w:rPr>
          <w:rStyle w:val="TextoNormalNegritaCaracter"/>
        </w:rPr>
        <w:t>Artículo 13.</w:t>
      </w:r>
      <w:r w:rsidRPr="007D461E">
        <w:rPr>
          <w:rStyle w:val="TextoNormalCaracter"/>
        </w:rPr>
        <w:t>-</w:t>
      </w:r>
      <w:r>
        <w:t xml:space="preserve"> Sentencia </w:t>
      </w:r>
      <w:hyperlink w:anchor="SENTENCIA_1997_133" w:history="1">
        <w:r w:rsidRPr="007D461E">
          <w:rPr>
            <w:rStyle w:val="TextoNormalCaracter"/>
          </w:rPr>
          <w:t>133/1997</w:t>
        </w:r>
      </w:hyperlink>
      <w:r>
        <w:t>, ff. 7, 8, 17.</w:t>
      </w:r>
    </w:p>
    <w:p w:rsidR="007D461E" w:rsidRDefault="007D461E" w:rsidP="007D461E">
      <w:pPr>
        <w:pStyle w:val="SangriaFrancesaArticulo"/>
      </w:pPr>
      <w:r w:rsidRPr="007D461E">
        <w:rPr>
          <w:rStyle w:val="TextoNormalNegritaCaracter"/>
        </w:rPr>
        <w:t>Artículo 13.1.</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Artículo 13.2.</w:t>
      </w:r>
      <w:r w:rsidRPr="007D461E">
        <w:rPr>
          <w:rStyle w:val="TextoNormalCaracter"/>
        </w:rPr>
        <w:t>-</w:t>
      </w:r>
      <w:r>
        <w:t xml:space="preserve"> Sentencia </w:t>
      </w:r>
      <w:hyperlink w:anchor="SENTENCIA_1997_133" w:history="1">
        <w:r w:rsidRPr="007D461E">
          <w:rPr>
            <w:rStyle w:val="TextoNormalCaracter"/>
          </w:rPr>
          <w:t>133/1997</w:t>
        </w:r>
      </w:hyperlink>
      <w:r>
        <w:t>, ff. 7, 17.</w:t>
      </w:r>
    </w:p>
    <w:p w:rsidR="007D461E" w:rsidRDefault="007D461E" w:rsidP="007D461E">
      <w:pPr>
        <w:pStyle w:val="SangriaFrancesaArticulo"/>
      </w:pPr>
      <w:r w:rsidRPr="007D461E">
        <w:rPr>
          <w:rStyle w:val="TextoNormalNegritaCaracter"/>
        </w:rPr>
        <w:t>Artículo 14.</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Artículo 15.</w:t>
      </w:r>
      <w:r w:rsidRPr="007D461E">
        <w:rPr>
          <w:rStyle w:val="TextoNormalCaracter"/>
        </w:rPr>
        <w:t>-</w:t>
      </w:r>
      <w:r>
        <w:t xml:space="preserve"> Sentencia </w:t>
      </w:r>
      <w:hyperlink w:anchor="SENTENCIA_1997_133" w:history="1">
        <w:r w:rsidRPr="007D461E">
          <w:rPr>
            <w:rStyle w:val="TextoNormalCaracter"/>
          </w:rPr>
          <w:t>133/1997</w:t>
        </w:r>
      </w:hyperlink>
      <w:r>
        <w:t>, ff. 7, 17.</w:t>
      </w:r>
    </w:p>
    <w:p w:rsidR="007D461E" w:rsidRDefault="007D461E" w:rsidP="007D461E">
      <w:pPr>
        <w:pStyle w:val="SangriaFrancesaArticulo"/>
      </w:pPr>
      <w:r w:rsidRPr="007D461E">
        <w:rPr>
          <w:rStyle w:val="TextoNormalNegritaCaracter"/>
        </w:rPr>
        <w:t>Artículo 17.</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Artículo 19.</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Artículo 20.</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Artículo 22.</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Artículo 23.</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r w:rsidRPr="007D461E">
        <w:rPr>
          <w:rStyle w:val="TextoNormalNegritaCaracter"/>
        </w:rPr>
        <w:t>Artículo 25.</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Artículos 25 a 30.</w:t>
      </w:r>
      <w:r w:rsidRPr="007D461E">
        <w:rPr>
          <w:rStyle w:val="TextoNormalCaracter"/>
        </w:rPr>
        <w:t>-</w:t>
      </w:r>
      <w:r>
        <w:t xml:space="preserve"> Sentencia </w:t>
      </w:r>
      <w:hyperlink w:anchor="SENTENCIA_1997_133" w:history="1">
        <w:r w:rsidRPr="007D461E">
          <w:rPr>
            <w:rStyle w:val="TextoNormalCaracter"/>
          </w:rPr>
          <w:t>133/1997</w:t>
        </w:r>
      </w:hyperlink>
      <w:r>
        <w:t>, f. 3.</w:t>
      </w:r>
    </w:p>
    <w:p w:rsidR="007D461E" w:rsidRDefault="007D461E" w:rsidP="007D461E">
      <w:pPr>
        <w:pStyle w:val="SangriaFrancesaArticulo"/>
      </w:pPr>
      <w:r w:rsidRPr="007D461E">
        <w:rPr>
          <w:rStyle w:val="TextoNormalNegritaCaracter"/>
        </w:rPr>
        <w:lastRenderedPageBreak/>
        <w:t>Artículo 26.</w:t>
      </w:r>
      <w:r w:rsidRPr="007D461E">
        <w:rPr>
          <w:rStyle w:val="TextoNormalCaracter"/>
        </w:rPr>
        <w:t>-</w:t>
      </w:r>
      <w:r>
        <w:t xml:space="preserve"> Sentencia </w:t>
      </w:r>
      <w:hyperlink w:anchor="SENTENCIA_1997_133" w:history="1">
        <w:r w:rsidRPr="007D461E">
          <w:rPr>
            <w:rStyle w:val="TextoNormalCaracter"/>
          </w:rPr>
          <w:t>133/1997</w:t>
        </w:r>
      </w:hyperlink>
      <w:r>
        <w:t>, ff. 8 a 10, 12.</w:t>
      </w:r>
    </w:p>
    <w:p w:rsidR="007D461E" w:rsidRDefault="007D461E" w:rsidP="007D461E">
      <w:pPr>
        <w:pStyle w:val="SangriaFrancesaArticulo"/>
      </w:pPr>
      <w:r w:rsidRPr="007D461E">
        <w:rPr>
          <w:rStyle w:val="TextoNormalNegritaCaracter"/>
        </w:rPr>
        <w:t>Artículo 26 a).</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26 b).</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26 c).</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26 d).</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27.</w:t>
      </w:r>
      <w:r w:rsidRPr="007D461E">
        <w:rPr>
          <w:rStyle w:val="TextoNormalCaracter"/>
        </w:rPr>
        <w:t>-</w:t>
      </w:r>
      <w:r>
        <w:t xml:space="preserve"> Sentencia </w:t>
      </w:r>
      <w:hyperlink w:anchor="SENTENCIA_1997_133" w:history="1">
        <w:r w:rsidRPr="007D461E">
          <w:rPr>
            <w:rStyle w:val="TextoNormalCaracter"/>
          </w:rPr>
          <w:t>133/1997</w:t>
        </w:r>
      </w:hyperlink>
      <w:r>
        <w:t>, ff. 8, 9.</w:t>
      </w:r>
    </w:p>
    <w:p w:rsidR="007D461E" w:rsidRDefault="007D461E" w:rsidP="007D461E">
      <w:pPr>
        <w:pStyle w:val="SangriaFrancesaArticulo"/>
      </w:pPr>
      <w:r w:rsidRPr="007D461E">
        <w:rPr>
          <w:rStyle w:val="TextoNormalNegritaCaracter"/>
        </w:rPr>
        <w:t>Artículo 28.</w:t>
      </w:r>
      <w:r w:rsidRPr="007D461E">
        <w:rPr>
          <w:rStyle w:val="TextoNormalCaracter"/>
        </w:rPr>
        <w:t>-</w:t>
      </w:r>
      <w:r>
        <w:t xml:space="preserve"> Sentencia </w:t>
      </w:r>
      <w:hyperlink w:anchor="SENTENCIA_1997_133" w:history="1">
        <w:r w:rsidRPr="007D461E">
          <w:rPr>
            <w:rStyle w:val="TextoNormalCaracter"/>
          </w:rPr>
          <w:t>133/1997</w:t>
        </w:r>
      </w:hyperlink>
      <w:r>
        <w:t>, ff. 8, 9.</w:t>
      </w:r>
    </w:p>
    <w:p w:rsidR="007D461E" w:rsidRDefault="007D461E" w:rsidP="007D461E">
      <w:pPr>
        <w:pStyle w:val="SangriaFrancesaArticulo"/>
      </w:pPr>
      <w:r w:rsidRPr="007D461E">
        <w:rPr>
          <w:rStyle w:val="TextoNormalNegritaCaracter"/>
        </w:rPr>
        <w:t>Artículo 28.4.</w:t>
      </w:r>
      <w:r w:rsidRPr="007D461E">
        <w:rPr>
          <w:rStyle w:val="TextoNormalCaracter"/>
        </w:rPr>
        <w:t>-</w:t>
      </w:r>
      <w:r>
        <w:t xml:space="preserve"> Sentencia </w:t>
      </w:r>
      <w:hyperlink w:anchor="SENTENCIA_1997_133" w:history="1">
        <w:r w:rsidRPr="007D461E">
          <w:rPr>
            <w:rStyle w:val="TextoNormalCaracter"/>
          </w:rPr>
          <w:t>133/1997</w:t>
        </w:r>
      </w:hyperlink>
      <w:r>
        <w:t>, ff. 8, 9.</w:t>
      </w:r>
    </w:p>
    <w:p w:rsidR="007D461E" w:rsidRDefault="007D461E" w:rsidP="007D461E">
      <w:pPr>
        <w:pStyle w:val="SangriaFrancesaArticulo"/>
      </w:pPr>
      <w:r w:rsidRPr="007D461E">
        <w:rPr>
          <w:rStyle w:val="TextoNormalNegritaCaracter"/>
        </w:rPr>
        <w:t>Artículo 31.</w:t>
      </w:r>
      <w:r w:rsidRPr="007D461E">
        <w:rPr>
          <w:rStyle w:val="TextoNormalCaracter"/>
        </w:rPr>
        <w:t>-</w:t>
      </w:r>
      <w:r>
        <w:t xml:space="preserve"> Sentencia </w:t>
      </w:r>
      <w:hyperlink w:anchor="SENTENCIA_1997_133" w:history="1">
        <w:r w:rsidRPr="007D461E">
          <w:rPr>
            <w:rStyle w:val="TextoNormalCaracter"/>
          </w:rPr>
          <w:t>133/1997</w:t>
        </w:r>
      </w:hyperlink>
      <w:r>
        <w:t>, ff. 3, 6, 8, 9.</w:t>
      </w:r>
    </w:p>
    <w:p w:rsidR="007D461E" w:rsidRDefault="007D461E" w:rsidP="007D461E">
      <w:pPr>
        <w:pStyle w:val="SangriaFrancesaArticulo"/>
      </w:pPr>
      <w:r w:rsidRPr="007D461E">
        <w:rPr>
          <w:rStyle w:val="TextoNormalNegritaCaracter"/>
        </w:rPr>
        <w:t>Artículo 31 c).</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Artículos 31 a 61.</w:t>
      </w:r>
      <w:r w:rsidRPr="007D461E">
        <w:rPr>
          <w:rStyle w:val="TextoNormalCaracter"/>
        </w:rPr>
        <w:t>-</w:t>
      </w:r>
      <w:r>
        <w:t xml:space="preserve"> Sentencia </w:t>
      </w:r>
      <w:hyperlink w:anchor="SENTENCIA_1997_133" w:history="1">
        <w:r w:rsidRPr="007D461E">
          <w:rPr>
            <w:rStyle w:val="TextoNormalCaracter"/>
          </w:rPr>
          <w:t>133/1997</w:t>
        </w:r>
      </w:hyperlink>
      <w:r>
        <w:t>, f. 3.</w:t>
      </w:r>
    </w:p>
    <w:p w:rsidR="007D461E" w:rsidRDefault="007D461E" w:rsidP="007D461E">
      <w:pPr>
        <w:pStyle w:val="SangriaFrancesaArticulo"/>
      </w:pPr>
      <w:r w:rsidRPr="007D461E">
        <w:rPr>
          <w:rStyle w:val="TextoNormalNegritaCaracter"/>
        </w:rPr>
        <w:t>Artículo 32.</w:t>
      </w:r>
      <w:r w:rsidRPr="007D461E">
        <w:rPr>
          <w:rStyle w:val="TextoNormalCaracter"/>
        </w:rPr>
        <w:t>-</w:t>
      </w:r>
      <w:r>
        <w:t xml:space="preserve"> Sentencia </w:t>
      </w:r>
      <w:hyperlink w:anchor="SENTENCIA_1997_133" w:history="1">
        <w:r w:rsidRPr="007D461E">
          <w:rPr>
            <w:rStyle w:val="TextoNormalCaracter"/>
          </w:rPr>
          <w:t>133/1997</w:t>
        </w:r>
      </w:hyperlink>
      <w:r>
        <w:t>, ff. 9, 10, 12, 18.</w:t>
      </w:r>
    </w:p>
    <w:p w:rsidR="007D461E" w:rsidRDefault="007D461E" w:rsidP="007D461E">
      <w:pPr>
        <w:pStyle w:val="SangriaFrancesaArticulo"/>
      </w:pPr>
      <w:r w:rsidRPr="007D461E">
        <w:rPr>
          <w:rStyle w:val="TextoNormalNegritaCaracter"/>
        </w:rPr>
        <w:t>Artículo 32.1.</w:t>
      </w:r>
      <w:r w:rsidRPr="007D461E">
        <w:rPr>
          <w:rStyle w:val="TextoNormalCaracter"/>
        </w:rPr>
        <w:t>-</w:t>
      </w:r>
      <w:r>
        <w:t xml:space="preserve"> Sentencia </w:t>
      </w:r>
      <w:hyperlink w:anchor="SENTENCIA_1997_133" w:history="1">
        <w:r w:rsidRPr="007D461E">
          <w:rPr>
            <w:rStyle w:val="TextoNormalCaracter"/>
          </w:rPr>
          <w:t>133/1997</w:t>
        </w:r>
      </w:hyperlink>
      <w:r>
        <w:t>, ff. 9, 18.</w:t>
      </w:r>
    </w:p>
    <w:p w:rsidR="007D461E" w:rsidRDefault="007D461E" w:rsidP="007D461E">
      <w:pPr>
        <w:pStyle w:val="SangriaFrancesaArticulo"/>
      </w:pPr>
      <w:r w:rsidRPr="007D461E">
        <w:rPr>
          <w:rStyle w:val="TextoNormalNegritaCaracter"/>
        </w:rPr>
        <w:t>Artículo 33.</w:t>
      </w:r>
      <w:r w:rsidRPr="007D461E">
        <w:rPr>
          <w:rStyle w:val="TextoNormalCaracter"/>
        </w:rPr>
        <w:t>-</w:t>
      </w:r>
      <w:r>
        <w:t xml:space="preserve"> Sentencia </w:t>
      </w:r>
      <w:hyperlink w:anchor="SENTENCIA_1997_133" w:history="1">
        <w:r w:rsidRPr="007D461E">
          <w:rPr>
            <w:rStyle w:val="TextoNormalCaracter"/>
          </w:rPr>
          <w:t>133/1997</w:t>
        </w:r>
      </w:hyperlink>
      <w:r>
        <w:t>, ff. 9, 10, 12.</w:t>
      </w:r>
    </w:p>
    <w:p w:rsidR="007D461E" w:rsidRDefault="007D461E" w:rsidP="007D461E">
      <w:pPr>
        <w:pStyle w:val="SangriaFrancesaArticulo"/>
      </w:pPr>
      <w:r w:rsidRPr="007D461E">
        <w:rPr>
          <w:rStyle w:val="TextoNormalNegritaCaracter"/>
        </w:rPr>
        <w:t>Artículo 34.</w:t>
      </w:r>
      <w:r w:rsidRPr="007D461E">
        <w:rPr>
          <w:rStyle w:val="TextoNormalCaracter"/>
        </w:rPr>
        <w:t>-</w:t>
      </w:r>
      <w:r>
        <w:t xml:space="preserve"> Sentencia </w:t>
      </w:r>
      <w:hyperlink w:anchor="SENTENCIA_1997_133" w:history="1">
        <w:r w:rsidRPr="007D461E">
          <w:rPr>
            <w:rStyle w:val="TextoNormalCaracter"/>
          </w:rPr>
          <w:t>133/1997</w:t>
        </w:r>
      </w:hyperlink>
      <w:r>
        <w:t>, ff. 9, 10, 12.</w:t>
      </w:r>
    </w:p>
    <w:p w:rsidR="007D461E" w:rsidRDefault="007D461E" w:rsidP="007D461E">
      <w:pPr>
        <w:pStyle w:val="SangriaFrancesaArticulo"/>
      </w:pPr>
      <w:r w:rsidRPr="007D461E">
        <w:rPr>
          <w:rStyle w:val="TextoNormalNegritaCaracter"/>
        </w:rPr>
        <w:t>Artículo 35.</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36.</w:t>
      </w:r>
      <w:r w:rsidRPr="007D461E">
        <w:rPr>
          <w:rStyle w:val="TextoNormalCaracter"/>
        </w:rPr>
        <w:t>-</w:t>
      </w:r>
      <w:r>
        <w:t xml:space="preserve"> Sentencia </w:t>
      </w:r>
      <w:hyperlink w:anchor="SENTENCIA_1997_133" w:history="1">
        <w:r w:rsidRPr="007D461E">
          <w:rPr>
            <w:rStyle w:val="TextoNormalCaracter"/>
          </w:rPr>
          <w:t>133/1997</w:t>
        </w:r>
      </w:hyperlink>
      <w:r>
        <w:t>, ff. 9, 10.</w:t>
      </w:r>
    </w:p>
    <w:p w:rsidR="007D461E" w:rsidRDefault="007D461E" w:rsidP="007D461E">
      <w:pPr>
        <w:pStyle w:val="SangriaFrancesaArticulo"/>
      </w:pPr>
      <w:r w:rsidRPr="007D461E">
        <w:rPr>
          <w:rStyle w:val="TextoNormalNegritaCaracter"/>
        </w:rPr>
        <w:t>Artículo 37.</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38.</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40.2.</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42.</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45.</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46.</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47.</w:t>
      </w:r>
      <w:r w:rsidRPr="007D461E">
        <w:rPr>
          <w:rStyle w:val="TextoNormalCaracter"/>
        </w:rPr>
        <w:t>-</w:t>
      </w:r>
      <w:r>
        <w:t xml:space="preserve"> Sentencia </w:t>
      </w:r>
      <w:hyperlink w:anchor="SENTENCIA_1997_133" w:history="1">
        <w:r w:rsidRPr="007D461E">
          <w:rPr>
            <w:rStyle w:val="TextoNormalCaracter"/>
          </w:rPr>
          <w:t>133/1997</w:t>
        </w:r>
      </w:hyperlink>
      <w:r>
        <w:t>, ff. 9, 10.</w:t>
      </w:r>
    </w:p>
    <w:p w:rsidR="007D461E" w:rsidRDefault="007D461E" w:rsidP="007D461E">
      <w:pPr>
        <w:pStyle w:val="SangriaFrancesaArticulo"/>
      </w:pPr>
      <w:r w:rsidRPr="007D461E">
        <w:rPr>
          <w:rStyle w:val="TextoNormalNegritaCaracter"/>
        </w:rPr>
        <w:t>Artículo 48.</w:t>
      </w:r>
      <w:r w:rsidRPr="007D461E">
        <w:rPr>
          <w:rStyle w:val="TextoNormalCaracter"/>
        </w:rPr>
        <w:t>-</w:t>
      </w:r>
      <w:r>
        <w:t xml:space="preserve"> Sentencia </w:t>
      </w:r>
      <w:hyperlink w:anchor="SENTENCIA_1997_133" w:history="1">
        <w:r w:rsidRPr="007D461E">
          <w:rPr>
            <w:rStyle w:val="TextoNormalCaracter"/>
          </w:rPr>
          <w:t>133/1997</w:t>
        </w:r>
      </w:hyperlink>
      <w:r>
        <w:t>, ff. 9, 10, 16, 18.</w:t>
      </w:r>
    </w:p>
    <w:p w:rsidR="007D461E" w:rsidRDefault="007D461E" w:rsidP="007D461E">
      <w:pPr>
        <w:pStyle w:val="SangriaFrancesaArticulo"/>
      </w:pPr>
      <w:r w:rsidRPr="007D461E">
        <w:rPr>
          <w:rStyle w:val="TextoNormalNegritaCaracter"/>
        </w:rPr>
        <w:t>Artículo 49.</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50.</w:t>
      </w:r>
      <w:r w:rsidRPr="007D461E">
        <w:rPr>
          <w:rStyle w:val="TextoNormalCaracter"/>
        </w:rPr>
        <w:t>-</w:t>
      </w:r>
      <w:r>
        <w:t xml:space="preserve"> Sentencia </w:t>
      </w:r>
      <w:hyperlink w:anchor="SENTENCIA_1997_133" w:history="1">
        <w:r w:rsidRPr="007D461E">
          <w:rPr>
            <w:rStyle w:val="TextoNormalCaracter"/>
          </w:rPr>
          <w:t>133/1997</w:t>
        </w:r>
      </w:hyperlink>
      <w:r>
        <w:t>, ff. 9, 16.</w:t>
      </w:r>
    </w:p>
    <w:p w:rsidR="007D461E" w:rsidRDefault="007D461E" w:rsidP="007D461E">
      <w:pPr>
        <w:pStyle w:val="SangriaFrancesaArticulo"/>
      </w:pPr>
      <w:r w:rsidRPr="007D461E">
        <w:rPr>
          <w:rStyle w:val="TextoNormalNegritaCaracter"/>
        </w:rPr>
        <w:t>Artículo 51.</w:t>
      </w:r>
      <w:r w:rsidRPr="007D461E">
        <w:rPr>
          <w:rStyle w:val="TextoNormalCaracter"/>
        </w:rPr>
        <w:t>-</w:t>
      </w:r>
      <w:r>
        <w:t xml:space="preserve"> Sentencia </w:t>
      </w:r>
      <w:hyperlink w:anchor="SENTENCIA_1997_133" w:history="1">
        <w:r w:rsidRPr="007D461E">
          <w:rPr>
            <w:rStyle w:val="TextoNormalCaracter"/>
          </w:rPr>
          <w:t>133/1997</w:t>
        </w:r>
      </w:hyperlink>
      <w:r>
        <w:t>, ff. 9, 10.</w:t>
      </w:r>
    </w:p>
    <w:p w:rsidR="007D461E" w:rsidRDefault="007D461E" w:rsidP="007D461E">
      <w:pPr>
        <w:pStyle w:val="SangriaFrancesaArticulo"/>
      </w:pPr>
      <w:r w:rsidRPr="007D461E">
        <w:rPr>
          <w:rStyle w:val="TextoNormalNegritaCaracter"/>
        </w:rPr>
        <w:t>Artículo 52.</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53.1.</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54.</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r w:rsidRPr="007D461E">
        <w:rPr>
          <w:rStyle w:val="TextoNormalNegritaCaracter"/>
        </w:rPr>
        <w:t>Artículo 59.</w:t>
      </w:r>
      <w:r w:rsidRPr="007D461E">
        <w:rPr>
          <w:rStyle w:val="TextoNormalCaracter"/>
        </w:rPr>
        <w:t>-</w:t>
      </w:r>
      <w:r>
        <w:t xml:space="preserve"> Sentencia </w:t>
      </w:r>
      <w:hyperlink w:anchor="SENTENCIA_1997_133" w:history="1">
        <w:r w:rsidRPr="007D461E">
          <w:rPr>
            <w:rStyle w:val="TextoNormalCaracter"/>
          </w:rPr>
          <w:t>133/1997</w:t>
        </w:r>
      </w:hyperlink>
      <w:r>
        <w:t>, ff. 3, 6, 9.</w:t>
      </w:r>
    </w:p>
    <w:p w:rsidR="007D461E" w:rsidRDefault="007D461E" w:rsidP="007D461E">
      <w:pPr>
        <w:pStyle w:val="SangriaFrancesaArticulo"/>
      </w:pPr>
      <w:r w:rsidRPr="007D461E">
        <w:rPr>
          <w:rStyle w:val="TextoNormalNegritaCaracter"/>
        </w:rPr>
        <w:t>Artículo 62.</w:t>
      </w:r>
      <w:r w:rsidRPr="007D461E">
        <w:rPr>
          <w:rStyle w:val="TextoNormalCaracter"/>
        </w:rPr>
        <w:t>-</w:t>
      </w:r>
      <w:r>
        <w:t xml:space="preserve"> Sentencia </w:t>
      </w:r>
      <w:hyperlink w:anchor="SENTENCIA_1997_133" w:history="1">
        <w:r w:rsidRPr="007D461E">
          <w:rPr>
            <w:rStyle w:val="TextoNormalCaracter"/>
          </w:rPr>
          <w:t>133/1997</w:t>
        </w:r>
      </w:hyperlink>
      <w:r>
        <w:t>, ff. 10, 17.</w:t>
      </w:r>
    </w:p>
    <w:p w:rsidR="007D461E" w:rsidRDefault="007D461E" w:rsidP="007D461E">
      <w:pPr>
        <w:pStyle w:val="SangriaFrancesaArticulo"/>
      </w:pPr>
      <w:r w:rsidRPr="007D461E">
        <w:rPr>
          <w:rStyle w:val="TextoNormalNegritaCaracter"/>
        </w:rPr>
        <w:t>Artículo 62.1.</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t>Artículo 62.3.</w:t>
      </w:r>
      <w:r w:rsidRPr="007D461E">
        <w:rPr>
          <w:rStyle w:val="TextoNormalCaracter"/>
        </w:rPr>
        <w:t>-</w:t>
      </w:r>
      <w:r>
        <w:t xml:space="preserve"> Sentencia </w:t>
      </w:r>
      <w:hyperlink w:anchor="SENTENCIA_1997_133" w:history="1">
        <w:r w:rsidRPr="007D461E">
          <w:rPr>
            <w:rStyle w:val="TextoNormalCaracter"/>
          </w:rPr>
          <w:t>133/1997</w:t>
        </w:r>
      </w:hyperlink>
      <w:r>
        <w:t>, ff. 10, 17.</w:t>
      </w:r>
    </w:p>
    <w:p w:rsidR="007D461E" w:rsidRDefault="007D461E" w:rsidP="007D461E">
      <w:pPr>
        <w:pStyle w:val="SangriaFrancesaArticulo"/>
      </w:pPr>
      <w:r w:rsidRPr="007D461E">
        <w:rPr>
          <w:rStyle w:val="TextoNormalNegritaCaracter"/>
        </w:rPr>
        <w:t>Artículo 62.4.</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63.</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t>Artículo 63.1.</w:t>
      </w:r>
      <w:r w:rsidRPr="007D461E">
        <w:rPr>
          <w:rStyle w:val="TextoNormalCaracter"/>
        </w:rPr>
        <w:t>-</w:t>
      </w:r>
      <w:r>
        <w:t xml:space="preserve"> Sentencia </w:t>
      </w:r>
      <w:hyperlink w:anchor="SENTENCIA_1997_133" w:history="1">
        <w:r w:rsidRPr="007D461E">
          <w:rPr>
            <w:rStyle w:val="TextoNormalCaracter"/>
          </w:rPr>
          <w:t>133/1997</w:t>
        </w:r>
      </w:hyperlink>
      <w:r>
        <w:t>, ff. 8, 10.</w:t>
      </w:r>
    </w:p>
    <w:p w:rsidR="007D461E" w:rsidRDefault="007D461E" w:rsidP="007D461E">
      <w:pPr>
        <w:pStyle w:val="SangriaFrancesaArticulo"/>
      </w:pPr>
      <w:r w:rsidRPr="007D461E">
        <w:rPr>
          <w:rStyle w:val="TextoNormalNegritaCaracter"/>
        </w:rPr>
        <w:t>Artículo 64.</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t>Artículo 64.1.</w:t>
      </w:r>
      <w:r w:rsidRPr="007D461E">
        <w:rPr>
          <w:rStyle w:val="TextoNormalCaracter"/>
        </w:rPr>
        <w:t>-</w:t>
      </w:r>
      <w:r>
        <w:t xml:space="preserve"> Sentencia </w:t>
      </w:r>
      <w:hyperlink w:anchor="SENTENCIA_1997_133" w:history="1">
        <w:r w:rsidRPr="007D461E">
          <w:rPr>
            <w:rStyle w:val="TextoNormalCaracter"/>
          </w:rPr>
          <w:t>133/1997</w:t>
        </w:r>
      </w:hyperlink>
      <w:r>
        <w:t>, ff. 9, 10.</w:t>
      </w:r>
    </w:p>
    <w:p w:rsidR="007D461E" w:rsidRDefault="007D461E" w:rsidP="007D461E">
      <w:pPr>
        <w:pStyle w:val="SangriaFrancesaArticulo"/>
      </w:pPr>
      <w:r w:rsidRPr="007D461E">
        <w:rPr>
          <w:rStyle w:val="TextoNormalNegritaCaracter"/>
        </w:rPr>
        <w:t>Artículo 66 e).</w:t>
      </w:r>
      <w:r w:rsidRPr="007D461E">
        <w:rPr>
          <w:rStyle w:val="TextoNormalCaracter"/>
        </w:rPr>
        <w:t>-</w:t>
      </w:r>
      <w:r>
        <w:t xml:space="preserve"> Sentencia </w:t>
      </w:r>
      <w:hyperlink w:anchor="SENTENCIA_1997_133" w:history="1">
        <w:r w:rsidRPr="007D461E">
          <w:rPr>
            <w:rStyle w:val="TextoNormalCaracter"/>
          </w:rPr>
          <w:t>133/1997</w:t>
        </w:r>
      </w:hyperlink>
      <w:r>
        <w:t>, ff. 10, 17.</w:t>
      </w:r>
    </w:p>
    <w:p w:rsidR="007D461E" w:rsidRDefault="007D461E" w:rsidP="007D461E">
      <w:pPr>
        <w:pStyle w:val="SangriaFrancesaArticulo"/>
      </w:pPr>
      <w:r w:rsidRPr="007D461E">
        <w:rPr>
          <w:rStyle w:val="TextoNormalNegritaCaracter"/>
        </w:rPr>
        <w:t>Artículo 66 g).</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66 i).</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66 j).</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67.</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t>Artículo 68.3.</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69.</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t>Artículo 69.1.</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lastRenderedPageBreak/>
        <w:t>Artículo 69.2.</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SangriaFrancesaArticulo"/>
      </w:pPr>
      <w:r w:rsidRPr="007D461E">
        <w:rPr>
          <w:rStyle w:val="TextoNormalNegritaCaracter"/>
        </w:rPr>
        <w:t>Artículo 75.</w:t>
      </w:r>
      <w:r w:rsidRPr="007D461E">
        <w:rPr>
          <w:rStyle w:val="TextoNormalCaracter"/>
        </w:rPr>
        <w:t>-</w:t>
      </w:r>
      <w:r>
        <w:t xml:space="preserve"> Sentencia </w:t>
      </w:r>
      <w:hyperlink w:anchor="SENTENCIA_1997_133" w:history="1">
        <w:r w:rsidRPr="007D461E">
          <w:rPr>
            <w:rStyle w:val="TextoNormalCaracter"/>
          </w:rPr>
          <w:t>133/1997</w:t>
        </w:r>
      </w:hyperlink>
      <w:r>
        <w:t>, f. 16.</w:t>
      </w:r>
    </w:p>
    <w:p w:rsidR="007D461E" w:rsidRDefault="007D461E" w:rsidP="007D461E">
      <w:pPr>
        <w:pStyle w:val="SangriaFrancesaArticulo"/>
      </w:pPr>
      <w:r w:rsidRPr="007D461E">
        <w:rPr>
          <w:rStyle w:val="TextoNormalNegritaCaracter"/>
        </w:rPr>
        <w:t>Artículo 76.</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78.</w:t>
      </w:r>
      <w:r w:rsidRPr="007D461E">
        <w:rPr>
          <w:rStyle w:val="TextoNormalCaracter"/>
        </w:rPr>
        <w:t>-</w:t>
      </w:r>
      <w:r>
        <w:t xml:space="preserve"> Sentencia </w:t>
      </w:r>
      <w:hyperlink w:anchor="SENTENCIA_1997_133" w:history="1">
        <w:r w:rsidRPr="007D461E">
          <w:rPr>
            <w:rStyle w:val="TextoNormalCaracter"/>
          </w:rPr>
          <w:t>133/1997</w:t>
        </w:r>
      </w:hyperlink>
      <w:r>
        <w:t>, f. 11.</w:t>
      </w:r>
    </w:p>
    <w:p w:rsidR="007D461E" w:rsidRDefault="007D461E" w:rsidP="007D461E">
      <w:pPr>
        <w:pStyle w:val="SangriaFrancesaArticulo"/>
      </w:pPr>
      <w:r w:rsidRPr="007D461E">
        <w:rPr>
          <w:rStyle w:val="TextoNormalNegritaCaracter"/>
        </w:rPr>
        <w:t>Artículos 80 a 83.</w:t>
      </w:r>
      <w:r w:rsidRPr="007D461E">
        <w:rPr>
          <w:rStyle w:val="TextoNormalCaracter"/>
        </w:rPr>
        <w:t>-</w:t>
      </w:r>
      <w:r>
        <w:t xml:space="preserve"> Sentencia </w:t>
      </w:r>
      <w:hyperlink w:anchor="SENTENCIA_1997_133" w:history="1">
        <w:r w:rsidRPr="007D461E">
          <w:rPr>
            <w:rStyle w:val="TextoNormalCaracter"/>
          </w:rPr>
          <w:t>133/1997</w:t>
        </w:r>
      </w:hyperlink>
      <w:r>
        <w:t>, f. 11.</w:t>
      </w:r>
    </w:p>
    <w:p w:rsidR="007D461E" w:rsidRDefault="007D461E" w:rsidP="007D461E">
      <w:pPr>
        <w:pStyle w:val="SangriaFrancesaArticulo"/>
      </w:pPr>
      <w:r w:rsidRPr="007D461E">
        <w:rPr>
          <w:rStyle w:val="TextoNormalNegritaCaracter"/>
        </w:rPr>
        <w:t>Artículo 84.</w:t>
      </w:r>
      <w:r w:rsidRPr="007D461E">
        <w:rPr>
          <w:rStyle w:val="TextoNormalCaracter"/>
        </w:rPr>
        <w:t>-</w:t>
      </w:r>
      <w:r>
        <w:t xml:space="preserve"> Sentencia </w:t>
      </w:r>
      <w:hyperlink w:anchor="SENTENCIA_1997_133" w:history="1">
        <w:r w:rsidRPr="007D461E">
          <w:rPr>
            <w:rStyle w:val="TextoNormalCaracter"/>
          </w:rPr>
          <w:t>133/1997</w:t>
        </w:r>
      </w:hyperlink>
      <w:r>
        <w:t>, ff. 6, 7, 12, 18.</w:t>
      </w:r>
    </w:p>
    <w:p w:rsidR="007D461E" w:rsidRDefault="007D461E" w:rsidP="007D461E">
      <w:pPr>
        <w:pStyle w:val="SangriaFrancesaArticulo"/>
      </w:pPr>
      <w:r w:rsidRPr="007D461E">
        <w:rPr>
          <w:rStyle w:val="TextoNormalNegritaCaracter"/>
        </w:rPr>
        <w:t>Artículo 84.1 a).</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84.1 b).</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84.1 c).</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84.2.</w:t>
      </w:r>
      <w:r w:rsidRPr="007D461E">
        <w:rPr>
          <w:rStyle w:val="TextoNormalCaracter"/>
        </w:rPr>
        <w:t>-</w:t>
      </w:r>
      <w:r>
        <w:t xml:space="preserve"> Sentencia </w:t>
      </w:r>
      <w:hyperlink w:anchor="SENTENCIA_1997_133" w:history="1">
        <w:r w:rsidRPr="007D461E">
          <w:rPr>
            <w:rStyle w:val="TextoNormalCaracter"/>
          </w:rPr>
          <w:t>133/1997</w:t>
        </w:r>
      </w:hyperlink>
      <w:r>
        <w:t>, ff. 7, 9, 12, 18.</w:t>
      </w:r>
    </w:p>
    <w:p w:rsidR="007D461E" w:rsidRDefault="007D461E" w:rsidP="007D461E">
      <w:pPr>
        <w:pStyle w:val="SangriaFrancesaArticulo"/>
      </w:pPr>
      <w:r w:rsidRPr="007D461E">
        <w:rPr>
          <w:rStyle w:val="TextoNormalNegritaCaracter"/>
        </w:rPr>
        <w:t>Artículo 86.</w:t>
      </w:r>
      <w:r w:rsidRPr="007D461E">
        <w:rPr>
          <w:rStyle w:val="TextoNormalCaracter"/>
        </w:rPr>
        <w:t>-</w:t>
      </w:r>
      <w:r>
        <w:t xml:space="preserve"> Sentencia </w:t>
      </w:r>
      <w:hyperlink w:anchor="SENTENCIA_1997_133" w:history="1">
        <w:r w:rsidRPr="007D461E">
          <w:rPr>
            <w:rStyle w:val="TextoNormalCaracter"/>
          </w:rPr>
          <w:t>133/1997</w:t>
        </w:r>
      </w:hyperlink>
      <w:r>
        <w:t>, f. 18.</w:t>
      </w:r>
    </w:p>
    <w:p w:rsidR="007D461E" w:rsidRDefault="007D461E" w:rsidP="007D461E">
      <w:pPr>
        <w:pStyle w:val="SangriaFrancesaArticulo"/>
      </w:pPr>
      <w:r w:rsidRPr="007D461E">
        <w:rPr>
          <w:rStyle w:val="TextoNormalNegritaCaracter"/>
        </w:rPr>
        <w:t>Artículo 87.</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92.</w:t>
      </w:r>
      <w:r w:rsidRPr="007D461E">
        <w:rPr>
          <w:rStyle w:val="TextoNormalCaracter"/>
        </w:rPr>
        <w:t>-</w:t>
      </w:r>
      <w:r>
        <w:t xml:space="preserve"> Sentencia </w:t>
      </w:r>
      <w:hyperlink w:anchor="SENTENCIA_1997_133" w:history="1">
        <w:r w:rsidRPr="007D461E">
          <w:rPr>
            <w:rStyle w:val="TextoNormalCaracter"/>
          </w:rPr>
          <w:t>133/1997</w:t>
        </w:r>
      </w:hyperlink>
      <w:r>
        <w:t>, ff. 8 a 10, 12, 17.</w:t>
      </w:r>
    </w:p>
    <w:p w:rsidR="007D461E" w:rsidRDefault="007D461E" w:rsidP="007D461E">
      <w:pPr>
        <w:pStyle w:val="SangriaFrancesaArticulo"/>
      </w:pPr>
      <w:r w:rsidRPr="007D461E">
        <w:rPr>
          <w:rStyle w:val="TextoNormalNegritaCaracter"/>
        </w:rPr>
        <w:t>Artículo 92 b).</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92 c).</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SangriaFrancesaArticulo"/>
      </w:pPr>
      <w:r w:rsidRPr="007D461E">
        <w:rPr>
          <w:rStyle w:val="TextoNormalNegritaCaracter"/>
        </w:rPr>
        <w:t>Artículo 92 d).</w:t>
      </w:r>
      <w:r w:rsidRPr="007D461E">
        <w:rPr>
          <w:rStyle w:val="TextoNormalCaracter"/>
        </w:rPr>
        <w:t>-</w:t>
      </w:r>
      <w:r>
        <w:t xml:space="preserve"> Sentencia </w:t>
      </w:r>
      <w:hyperlink w:anchor="SENTENCIA_1997_133" w:history="1">
        <w:r w:rsidRPr="007D461E">
          <w:rPr>
            <w:rStyle w:val="TextoNormalCaracter"/>
          </w:rPr>
          <w:t>133/1997</w:t>
        </w:r>
      </w:hyperlink>
      <w:r>
        <w:t>, f. 3.</w:t>
      </w:r>
    </w:p>
    <w:p w:rsidR="007D461E" w:rsidRDefault="007D461E" w:rsidP="007D461E">
      <w:pPr>
        <w:pStyle w:val="SangriaFrancesaArticulo"/>
      </w:pPr>
      <w:r w:rsidRPr="007D461E">
        <w:rPr>
          <w:rStyle w:val="TextoNormalNegritaCaracter"/>
        </w:rPr>
        <w:t>Artículo 95.3.</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97.</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97 a).</w:t>
      </w:r>
      <w:r w:rsidRPr="007D461E">
        <w:rPr>
          <w:rStyle w:val="TextoNormalCaracter"/>
        </w:rPr>
        <w:t>-</w:t>
      </w:r>
      <w:r>
        <w:t xml:space="preserve"> Sentencia </w:t>
      </w:r>
      <w:hyperlink w:anchor="SENTENCIA_1997_133" w:history="1">
        <w:r w:rsidRPr="007D461E">
          <w:rPr>
            <w:rStyle w:val="TextoNormalCaracter"/>
          </w:rPr>
          <w:t>133/1997</w:t>
        </w:r>
      </w:hyperlink>
      <w:r>
        <w:t>, f. 18.</w:t>
      </w:r>
    </w:p>
    <w:p w:rsidR="007D461E" w:rsidRDefault="007D461E" w:rsidP="007D461E">
      <w:pPr>
        <w:pStyle w:val="SangriaFrancesaArticulo"/>
      </w:pPr>
      <w:r w:rsidRPr="007D461E">
        <w:rPr>
          <w:rStyle w:val="TextoNormalNegritaCaracter"/>
        </w:rPr>
        <w:t>Artículo 98.</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Artículo 107.</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r w:rsidRPr="007D461E">
        <w:rPr>
          <w:rStyle w:val="TextoNormalNegritaCaracter"/>
        </w:rPr>
        <w:t>Disposición adicional primera.</w:t>
      </w:r>
      <w:r w:rsidRPr="007D461E">
        <w:rPr>
          <w:rStyle w:val="TextoNormalCaracter"/>
        </w:rPr>
        <w:t>-</w:t>
      </w:r>
      <w:r>
        <w:t xml:space="preserve"> Sentencia </w:t>
      </w:r>
      <w:hyperlink w:anchor="SENTENCIA_1997_133" w:history="1">
        <w:r w:rsidRPr="007D461E">
          <w:rPr>
            <w:rStyle w:val="TextoNormalCaracter"/>
          </w:rPr>
          <w:t>133/1997</w:t>
        </w:r>
      </w:hyperlink>
      <w:r>
        <w:t>, ff. 6, 10, 13.</w:t>
      </w:r>
    </w:p>
    <w:p w:rsidR="007D461E" w:rsidRDefault="007D461E" w:rsidP="007D461E">
      <w:pPr>
        <w:pStyle w:val="SangriaFrancesaArticulo"/>
      </w:pPr>
      <w:r w:rsidRPr="007D461E">
        <w:rPr>
          <w:rStyle w:val="TextoNormalNegritaCaracter"/>
        </w:rPr>
        <w:t>Disposición adicional segunda.</w:t>
      </w:r>
      <w:r w:rsidRPr="007D461E">
        <w:rPr>
          <w:rStyle w:val="TextoNormalCaracter"/>
        </w:rPr>
        <w:t>-</w:t>
      </w:r>
      <w:r>
        <w:t xml:space="preserve"> Sentencia </w:t>
      </w:r>
      <w:hyperlink w:anchor="SENTENCIA_1997_133" w:history="1">
        <w:r w:rsidRPr="007D461E">
          <w:rPr>
            <w:rStyle w:val="TextoNormalCaracter"/>
          </w:rPr>
          <w:t>133/1997</w:t>
        </w:r>
      </w:hyperlink>
      <w:r>
        <w:t>, f. 13.</w:t>
      </w:r>
    </w:p>
    <w:p w:rsidR="007D461E" w:rsidRDefault="007D461E" w:rsidP="007D461E">
      <w:pPr>
        <w:pStyle w:val="SangriaFrancesaArticulo"/>
      </w:pPr>
      <w:r w:rsidRPr="007D461E">
        <w:rPr>
          <w:rStyle w:val="TextoNormalNegritaCaracter"/>
        </w:rPr>
        <w:t>Disposición transitoria décima.</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p>
    <w:p w:rsidR="007D461E" w:rsidRDefault="007D461E" w:rsidP="007D461E">
      <w:pPr>
        <w:pStyle w:val="TextoNormalNegritaCursivandice"/>
      </w:pPr>
      <w:r>
        <w:t>Ley 26/1988, de 29 de julio. Disciplina e intervención de las entidades de crédito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 6.</w:t>
      </w:r>
    </w:p>
    <w:p w:rsidR="007D461E" w:rsidRDefault="007D461E" w:rsidP="007D461E">
      <w:pPr>
        <w:pStyle w:val="SangriaFrancesaArticulo"/>
      </w:pPr>
      <w:r w:rsidRPr="007D461E">
        <w:rPr>
          <w:rStyle w:val="TextoNormalNegritaCaracter"/>
        </w:rPr>
        <w:t>Título III.</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p>
    <w:p w:rsidR="007D461E" w:rsidRDefault="007D461E" w:rsidP="007D461E">
      <w:pPr>
        <w:pStyle w:val="TextoNormalNegritaCursivandice"/>
      </w:pPr>
      <w:r>
        <w:t>Ley 39/1988, de 28 de diciembre. Haciendas locales</w:t>
      </w:r>
    </w:p>
    <w:p w:rsidR="007D461E" w:rsidRDefault="007D461E" w:rsidP="007D461E">
      <w:pPr>
        <w:pStyle w:val="SangriaFrancesaArticulo"/>
      </w:pPr>
      <w:r w:rsidRPr="007D461E">
        <w:rPr>
          <w:rStyle w:val="TextoNormalNegritaCaracter"/>
        </w:rPr>
        <w:t>Artículo 90.1.</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p>
    <w:p w:rsidR="007D461E" w:rsidRDefault="007D461E" w:rsidP="007D461E">
      <w:pPr>
        <w:pStyle w:val="TextoNormalNegritaCursivandice"/>
      </w:pPr>
      <w:r>
        <w:t>Ley 7/1989, de 12 de abril. Bases de procedimiento laboral</w:t>
      </w:r>
    </w:p>
    <w:p w:rsidR="007D461E" w:rsidRDefault="007D461E" w:rsidP="007D461E">
      <w:pPr>
        <w:pStyle w:val="SangriaFrancesaArticulo"/>
      </w:pPr>
      <w:r w:rsidRPr="007D461E">
        <w:rPr>
          <w:rStyle w:val="TextoNormalNegritaCaracter"/>
        </w:rPr>
        <w:t>Exposición de motivos.</w:t>
      </w:r>
      <w:r w:rsidRPr="007D461E">
        <w:rPr>
          <w:rStyle w:val="TextoNormalCaracter"/>
        </w:rPr>
        <w:t>-</w:t>
      </w:r>
      <w:r>
        <w:t xml:space="preserve"> Sentencia </w:t>
      </w:r>
      <w:hyperlink w:anchor="SENTENCIA_1997_132" w:history="1">
        <w:r w:rsidRPr="007D461E">
          <w:rPr>
            <w:rStyle w:val="TextoNormalCaracter"/>
          </w:rPr>
          <w:t>132/1997</w:t>
        </w:r>
      </w:hyperlink>
      <w:r>
        <w:t>, f. 6.</w:t>
      </w:r>
    </w:p>
    <w:p w:rsidR="007D461E" w:rsidRDefault="007D461E" w:rsidP="007D461E">
      <w:pPr>
        <w:pStyle w:val="SangriaFrancesaArticulo"/>
      </w:pPr>
    </w:p>
    <w:p w:rsidR="007D461E" w:rsidRDefault="007D461E" w:rsidP="007D461E">
      <w:pPr>
        <w:pStyle w:val="TextoNormalNegritaCursivandice"/>
      </w:pPr>
      <w:r>
        <w:t>Ley 20/1989, de 28 de julio. Adaptación del impuesto sobre la renta de las personas físicas y del impuesto extraordinario sobre el patrimonio de las personas físicas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117" w:history="1">
        <w:r w:rsidRPr="007D461E">
          <w:rPr>
            <w:rStyle w:val="TextoNormalCaracter"/>
          </w:rPr>
          <w:t>117/1997</w:t>
        </w:r>
      </w:hyperlink>
      <w:r>
        <w:t xml:space="preserve">, ff. 1, 3; </w:t>
      </w:r>
      <w:hyperlink w:anchor="SENTENCIA_1997_129" w:history="1">
        <w:r w:rsidRPr="007D461E">
          <w:rPr>
            <w:rStyle w:val="TextoNormalCaracter"/>
          </w:rPr>
          <w:t>129/1997</w:t>
        </w:r>
      </w:hyperlink>
      <w:r>
        <w:t>, f. 3.</w:t>
      </w:r>
    </w:p>
    <w:p w:rsidR="007D461E" w:rsidRDefault="007D461E" w:rsidP="007D461E">
      <w:pPr>
        <w:pStyle w:val="SangriaFrancesaArticulo"/>
      </w:pPr>
      <w:r w:rsidRPr="007D461E">
        <w:rPr>
          <w:rStyle w:val="TextoNormalNegritaCaracter"/>
        </w:rPr>
        <w:t>Artículo 15.</w:t>
      </w:r>
      <w:r w:rsidRPr="007D461E">
        <w:rPr>
          <w:rStyle w:val="TextoNormalCaracter"/>
        </w:rPr>
        <w:t>-</w:t>
      </w:r>
      <w:r>
        <w:t xml:space="preserve"> Sentencia </w:t>
      </w:r>
      <w:hyperlink w:anchor="SENTENCIA_1997_129" w:history="1">
        <w:r w:rsidRPr="007D461E">
          <w:rPr>
            <w:rStyle w:val="TextoNormalCaracter"/>
          </w:rPr>
          <w:t>129/1997</w:t>
        </w:r>
      </w:hyperlink>
      <w:r>
        <w:t>, f. 3.</w:t>
      </w:r>
    </w:p>
    <w:p w:rsidR="007D461E" w:rsidRDefault="007D461E" w:rsidP="007D461E">
      <w:pPr>
        <w:pStyle w:val="SangriaFrancesaArticulo"/>
      </w:pPr>
      <w:r w:rsidRPr="007D461E">
        <w:rPr>
          <w:rStyle w:val="TextoNormalNegritaCaracter"/>
        </w:rPr>
        <w:t>Artículo 15.3.</w:t>
      </w:r>
      <w:r w:rsidRPr="007D461E">
        <w:rPr>
          <w:rStyle w:val="TextoNormalCaracter"/>
        </w:rPr>
        <w:t>-</w:t>
      </w:r>
      <w:r>
        <w:t xml:space="preserve"> Sentencias </w:t>
      </w:r>
      <w:hyperlink w:anchor="SENTENCIA_1997_117" w:history="1">
        <w:r w:rsidRPr="007D461E">
          <w:rPr>
            <w:rStyle w:val="TextoNormalCaracter"/>
          </w:rPr>
          <w:t>117/1997</w:t>
        </w:r>
      </w:hyperlink>
      <w:r>
        <w:t xml:space="preserve">, f. 3; </w:t>
      </w:r>
      <w:hyperlink w:anchor="SENTENCIA_1997_129" w:history="1">
        <w:r w:rsidRPr="007D461E">
          <w:rPr>
            <w:rStyle w:val="TextoNormalCaracter"/>
          </w:rPr>
          <w:t>129/1997</w:t>
        </w:r>
      </w:hyperlink>
      <w:r>
        <w:t>, f. 3.</w:t>
      </w:r>
    </w:p>
    <w:p w:rsidR="007D461E" w:rsidRDefault="007D461E" w:rsidP="007D461E">
      <w:pPr>
        <w:pStyle w:val="SangriaFrancesaArticulo"/>
      </w:pPr>
      <w:r w:rsidRPr="007D461E">
        <w:rPr>
          <w:rStyle w:val="TextoNormalNegritaCaracter"/>
        </w:rPr>
        <w:t>Artículo 15.4.</w:t>
      </w:r>
      <w:r w:rsidRPr="007D461E">
        <w:rPr>
          <w:rStyle w:val="TextoNormalCaracter"/>
        </w:rPr>
        <w:t>-</w:t>
      </w:r>
      <w:r>
        <w:t xml:space="preserve"> Sentencias </w:t>
      </w:r>
      <w:hyperlink w:anchor="SENTENCIA_1997_117" w:history="1">
        <w:r w:rsidRPr="007D461E">
          <w:rPr>
            <w:rStyle w:val="TextoNormalCaracter"/>
          </w:rPr>
          <w:t>117/1997</w:t>
        </w:r>
      </w:hyperlink>
      <w:r>
        <w:t xml:space="preserve">, f. 3; </w:t>
      </w:r>
      <w:hyperlink w:anchor="SENTENCIA_1997_129" w:history="1">
        <w:r w:rsidRPr="007D461E">
          <w:rPr>
            <w:rStyle w:val="TextoNormalCaracter"/>
          </w:rPr>
          <w:t>129/1997</w:t>
        </w:r>
      </w:hyperlink>
      <w:r>
        <w:t>, f. 1.</w:t>
      </w:r>
    </w:p>
    <w:p w:rsidR="007D461E" w:rsidRDefault="007D461E" w:rsidP="007D461E">
      <w:pPr>
        <w:pStyle w:val="SangriaFrancesaArticulo"/>
      </w:pPr>
      <w:r w:rsidRPr="007D461E">
        <w:rPr>
          <w:rStyle w:val="TextoNormalNegritaCaracter"/>
        </w:rPr>
        <w:t>Artículo 15.5.</w:t>
      </w:r>
      <w:r w:rsidRPr="007D461E">
        <w:rPr>
          <w:rStyle w:val="TextoNormalCaracter"/>
        </w:rPr>
        <w:t>-</w:t>
      </w:r>
      <w:r>
        <w:t xml:space="preserve"> Sentencia </w:t>
      </w:r>
      <w:hyperlink w:anchor="SENTENCIA_1997_117" w:history="1">
        <w:r w:rsidRPr="007D461E">
          <w:rPr>
            <w:rStyle w:val="TextoNormalCaracter"/>
          </w:rPr>
          <w:t>117/1997</w:t>
        </w:r>
      </w:hyperlink>
      <w:r>
        <w:t>, f. 3.</w:t>
      </w:r>
    </w:p>
    <w:p w:rsidR="007D461E" w:rsidRDefault="007D461E" w:rsidP="007D461E">
      <w:pPr>
        <w:pStyle w:val="SangriaFrancesaArticulo"/>
      </w:pPr>
      <w:r w:rsidRPr="007D461E">
        <w:rPr>
          <w:rStyle w:val="TextoNormalNegritaCaracter"/>
        </w:rPr>
        <w:t>Artículo 16.</w:t>
      </w:r>
      <w:r w:rsidRPr="007D461E">
        <w:rPr>
          <w:rStyle w:val="TextoNormalCaracter"/>
        </w:rPr>
        <w:t>-</w:t>
      </w:r>
      <w:r>
        <w:t xml:space="preserve"> Sentencia </w:t>
      </w:r>
      <w:hyperlink w:anchor="SENTENCIA_1997_129" w:history="1">
        <w:r w:rsidRPr="007D461E">
          <w:rPr>
            <w:rStyle w:val="TextoNormalCaracter"/>
          </w:rPr>
          <w:t>129/1997</w:t>
        </w:r>
      </w:hyperlink>
      <w:r>
        <w:t>, f. 3.</w:t>
      </w:r>
    </w:p>
    <w:p w:rsidR="007D461E" w:rsidRDefault="007D461E" w:rsidP="007D461E">
      <w:pPr>
        <w:pStyle w:val="SangriaFrancesaArticulo"/>
      </w:pPr>
      <w:r w:rsidRPr="007D461E">
        <w:rPr>
          <w:rStyle w:val="TextoNormalNegritaCaracter"/>
        </w:rPr>
        <w:t>Artículo 17.</w:t>
      </w:r>
      <w:r w:rsidRPr="007D461E">
        <w:rPr>
          <w:rStyle w:val="TextoNormalCaracter"/>
        </w:rPr>
        <w:t>-</w:t>
      </w:r>
      <w:r>
        <w:t xml:space="preserve"> Sentencias </w:t>
      </w:r>
      <w:hyperlink w:anchor="SENTENCIA_1997_117" w:history="1">
        <w:r w:rsidRPr="007D461E">
          <w:rPr>
            <w:rStyle w:val="TextoNormalCaracter"/>
          </w:rPr>
          <w:t>117/1997</w:t>
        </w:r>
      </w:hyperlink>
      <w:r>
        <w:t xml:space="preserve">, f. 3; </w:t>
      </w:r>
      <w:hyperlink w:anchor="SENTENCIA_1997_129" w:history="1">
        <w:r w:rsidRPr="007D461E">
          <w:rPr>
            <w:rStyle w:val="TextoNormalCaracter"/>
          </w:rPr>
          <w:t>129/1997</w:t>
        </w:r>
      </w:hyperlink>
      <w:r>
        <w:t>, f. 3.</w:t>
      </w:r>
    </w:p>
    <w:p w:rsidR="007D461E" w:rsidRDefault="007D461E" w:rsidP="007D461E">
      <w:pPr>
        <w:pStyle w:val="SangriaFrancesaArticulo"/>
      </w:pPr>
    </w:p>
    <w:p w:rsidR="007D461E" w:rsidRDefault="007D461E" w:rsidP="007D461E">
      <w:pPr>
        <w:pStyle w:val="TextoNormalNegritaCursivandice"/>
      </w:pPr>
      <w:r>
        <w:t>Ley 5/1990, de 29 de junio. Medidas en materia presupuestaria, financiera y tributaria</w:t>
      </w:r>
    </w:p>
    <w:p w:rsidR="007D461E" w:rsidRDefault="007D461E" w:rsidP="007D461E">
      <w:pPr>
        <w:pStyle w:val="SangriaFrancesaArticulo"/>
      </w:pPr>
      <w:r w:rsidRPr="007D461E">
        <w:rPr>
          <w:rStyle w:val="TextoNormalNegritaCaracter"/>
        </w:rPr>
        <w:lastRenderedPageBreak/>
        <w:t>Artículo 38.Dos.2.</w:t>
      </w:r>
      <w:r w:rsidRPr="007D461E">
        <w:rPr>
          <w:rStyle w:val="TextoNormalCaracter"/>
        </w:rPr>
        <w:t>-</w:t>
      </w:r>
      <w:r>
        <w:t xml:space="preserve"> Sentencia </w:t>
      </w:r>
      <w:hyperlink w:anchor="SENTENCIA_1997_91" w:history="1">
        <w:r w:rsidRPr="007D461E">
          <w:rPr>
            <w:rStyle w:val="TextoNormalCaracter"/>
          </w:rPr>
          <w:t>91/1997</w:t>
        </w:r>
      </w:hyperlink>
      <w:r>
        <w:t>, f. 1.</w:t>
      </w:r>
    </w:p>
    <w:p w:rsidR="007D461E" w:rsidRDefault="007D461E" w:rsidP="007D461E">
      <w:pPr>
        <w:pStyle w:val="SangriaFrancesaArticulo"/>
      </w:pPr>
    </w:p>
    <w:p w:rsidR="007D461E" w:rsidRDefault="007D461E" w:rsidP="007D461E">
      <w:pPr>
        <w:pStyle w:val="TextoNormalNegritaCursivandice"/>
      </w:pPr>
      <w:r>
        <w:t>Ley 18/1991, de 6 de junio. Impuesto sobre la renta de las personas físicas</w:t>
      </w:r>
    </w:p>
    <w:p w:rsidR="007D461E" w:rsidRDefault="007D461E" w:rsidP="007D461E">
      <w:pPr>
        <w:pStyle w:val="SangriaFrancesaArticulo"/>
      </w:pPr>
      <w:r w:rsidRPr="007D461E">
        <w:rPr>
          <w:rStyle w:val="TextoNormalNegritaCaracter"/>
        </w:rPr>
        <w:t>Disposición adicional decimocuarta.</w:t>
      </w:r>
      <w:r w:rsidRPr="007D461E">
        <w:rPr>
          <w:rStyle w:val="TextoNormalCaracter"/>
        </w:rPr>
        <w:t>-</w:t>
      </w:r>
      <w:r>
        <w:t xml:space="preserve"> Sentencia </w:t>
      </w:r>
      <w:hyperlink w:anchor="SENTENCIA_1997_129" w:history="1">
        <w:r w:rsidRPr="007D461E">
          <w:rPr>
            <w:rStyle w:val="TextoNormalCaracter"/>
          </w:rPr>
          <w:t>129/1997</w:t>
        </w:r>
      </w:hyperlink>
      <w:r>
        <w:t>, f. 2.</w:t>
      </w:r>
    </w:p>
    <w:p w:rsidR="007D461E" w:rsidRDefault="007D461E" w:rsidP="007D461E">
      <w:pPr>
        <w:pStyle w:val="SangriaFrancesaArticulo"/>
      </w:pPr>
    </w:p>
    <w:p w:rsidR="007D461E" w:rsidRDefault="007D461E" w:rsidP="007D461E">
      <w:pPr>
        <w:pStyle w:val="TextoNormalNegritaCursivandice"/>
      </w:pPr>
      <w:r>
        <w:t>Ley 10/1992, de 30 de abril. Medidas urgentes de reforma procesal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110" w:history="1">
        <w:r w:rsidRPr="007D461E">
          <w:rPr>
            <w:rStyle w:val="TextoNormalCaracter"/>
          </w:rPr>
          <w:t>110/1997</w:t>
        </w:r>
      </w:hyperlink>
      <w:r>
        <w:t xml:space="preserve">, f. 1; </w:t>
      </w:r>
      <w:hyperlink w:anchor="SENTENCIA_1997_125" w:history="1">
        <w:r w:rsidRPr="007D461E">
          <w:rPr>
            <w:rStyle w:val="TextoNormalCaracter"/>
          </w:rPr>
          <w:t>125/1997</w:t>
        </w:r>
      </w:hyperlink>
      <w:r>
        <w:t xml:space="preserve">, f. 4, VP II; </w:t>
      </w:r>
      <w:hyperlink w:anchor="SENTENCIA_1997_132" w:history="1">
        <w:r w:rsidRPr="007D461E">
          <w:rPr>
            <w:rStyle w:val="TextoNormalCaracter"/>
          </w:rPr>
          <w:t>132/1997</w:t>
        </w:r>
      </w:hyperlink>
      <w:r>
        <w:t>, f. 5.</w:t>
      </w:r>
    </w:p>
    <w:p w:rsidR="007D461E" w:rsidRDefault="007D461E" w:rsidP="007D461E">
      <w:pPr>
        <w:pStyle w:val="SangriaFrancesaArticulo"/>
      </w:pPr>
    </w:p>
    <w:p w:rsidR="007D461E" w:rsidRDefault="007D461E" w:rsidP="007D461E">
      <w:pPr>
        <w:pStyle w:val="TextoNormalNegritaCursivandice"/>
      </w:pPr>
      <w:r>
        <w:t>Ley 30/1992, de 26 de noviembre. Régimen jurídico de las Administraciones públicas y del procedimiento administrativo común</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142.6.</w:t>
      </w:r>
      <w:r w:rsidRPr="007D461E">
        <w:rPr>
          <w:rStyle w:val="TextoNormalCaracter"/>
        </w:rPr>
        <w:t>-</w:t>
      </w:r>
      <w:r>
        <w:t xml:space="preserve"> Auto </w:t>
      </w:r>
      <w:hyperlink w:anchor="AUTO_1997_292" w:history="1">
        <w:r w:rsidRPr="007D461E">
          <w:rPr>
            <w:rStyle w:val="TextoNormalCaracter"/>
          </w:rPr>
          <w:t>292/1997</w:t>
        </w:r>
      </w:hyperlink>
      <w:r>
        <w:t>.</w:t>
      </w:r>
    </w:p>
    <w:p w:rsidR="007D461E" w:rsidRDefault="007D461E" w:rsidP="007D461E">
      <w:pPr>
        <w:pStyle w:val="SangriaFrancesaArticulo"/>
      </w:pPr>
    </w:p>
    <w:p w:rsidR="007D461E" w:rsidRDefault="007D461E" w:rsidP="007D461E">
      <w:pPr>
        <w:pStyle w:val="TextoNormalNegritaCursivandice"/>
      </w:pPr>
      <w:r>
        <w:t>Ley 32/1992, de 3 de diciembre. Modificación de la Ley 31/1987, de 18 de diciembre, de Ordenación de las Telecomunicaciones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p>
    <w:p w:rsidR="007D461E" w:rsidRDefault="007D461E" w:rsidP="007D461E">
      <w:pPr>
        <w:pStyle w:val="TextoNormalNegritaCursivandice"/>
      </w:pPr>
      <w:r>
        <w:t>Ley 3/1993, de 22 de marzo. Cámaras oficiales de comercio, industria y navegación</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12.1 a).</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13.</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Artículo 14.</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Disposición transitoria tercera.</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r w:rsidRPr="007D461E">
        <w:rPr>
          <w:rStyle w:val="TextoNormalNegritaCaracter"/>
        </w:rPr>
        <w:t>Disposición transitoria cuarta.</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p>
    <w:p w:rsidR="007D461E" w:rsidRDefault="007D461E" w:rsidP="007D461E">
      <w:pPr>
        <w:pStyle w:val="TextoNormalNegritaCursivandice"/>
      </w:pPr>
      <w:r>
        <w:t>Ley 13/1994, de 1 de junio. Autonomía del Banco de España</w:t>
      </w:r>
    </w:p>
    <w:p w:rsidR="007D461E" w:rsidRDefault="007D461E" w:rsidP="007D461E">
      <w:pPr>
        <w:pStyle w:val="SangriaFrancesaArticulo"/>
      </w:pPr>
      <w:r w:rsidRPr="007D461E">
        <w:rPr>
          <w:rStyle w:val="TextoNormalNegritaCaracter"/>
        </w:rPr>
        <w:t>Artículo 7.3 b).</w:t>
      </w:r>
      <w:r w:rsidRPr="007D461E">
        <w:rPr>
          <w:rStyle w:val="TextoNormalCaracter"/>
        </w:rPr>
        <w:t>-</w:t>
      </w:r>
      <w:r>
        <w:t xml:space="preserve"> Sentencia </w:t>
      </w:r>
      <w:hyperlink w:anchor="SENTENCIA_1997_133" w:history="1">
        <w:r w:rsidRPr="007D461E">
          <w:rPr>
            <w:rStyle w:val="TextoNormalCaracter"/>
          </w:rPr>
          <w:t>133/1997</w:t>
        </w:r>
      </w:hyperlink>
      <w:r>
        <w:t>, f. 12.</w:t>
      </w:r>
    </w:p>
    <w:p w:rsidR="007D461E" w:rsidRDefault="007D461E" w:rsidP="007D461E">
      <w:pPr>
        <w:pStyle w:val="SangriaFrancesaArticulo"/>
      </w:pPr>
    </w:p>
    <w:p w:rsidR="007D461E" w:rsidRDefault="007D461E" w:rsidP="007D461E">
      <w:pPr>
        <w:pStyle w:val="TextoNormalNegritaCursivandice"/>
      </w:pPr>
      <w:r>
        <w:t>Ley 18/1994, de 30 de junio. Modificación de la normativa de elecciones a los órganos de representación del personal al servicio de las Administraciones públicas de la Ley 9/1987, de 12 de junio, modificada por la Ley 7/1990, de 19 de julio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1" w:history="1">
        <w:r w:rsidRPr="007D461E">
          <w:rPr>
            <w:rStyle w:val="TextoNormalCaracter"/>
          </w:rPr>
          <w:t>121/1997</w:t>
        </w:r>
      </w:hyperlink>
      <w:r>
        <w:t>, f. 10.</w:t>
      </w:r>
    </w:p>
    <w:p w:rsidR="007D461E" w:rsidRDefault="007D461E" w:rsidP="007D461E">
      <w:pPr>
        <w:pStyle w:val="SangriaFrancesaArticulo"/>
      </w:pPr>
    </w:p>
    <w:p w:rsidR="007D461E" w:rsidRDefault="007D461E" w:rsidP="007D461E">
      <w:pPr>
        <w:pStyle w:val="TextoNormalNegritaCursivandice"/>
      </w:pPr>
      <w:r>
        <w:t>Ley 30/1995, de 8 de noviembre. Ordenación y supervisión de los seguros privados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21" w:history="1">
        <w:r w:rsidRPr="007D461E">
          <w:rPr>
            <w:rStyle w:val="TextoNormalCaracter"/>
          </w:rPr>
          <w:t>221/1997</w:t>
        </w:r>
      </w:hyperlink>
      <w:r>
        <w:t>.</w:t>
      </w:r>
    </w:p>
    <w:p w:rsidR="007D461E" w:rsidRDefault="007D461E" w:rsidP="007D461E">
      <w:pPr>
        <w:pStyle w:val="SangriaFrancesaArticulo"/>
      </w:pPr>
    </w:p>
    <w:p w:rsidR="007D461E" w:rsidRDefault="007D461E" w:rsidP="007D461E">
      <w:pPr>
        <w:pStyle w:val="TextoNormalNegritaCursivandice"/>
      </w:pPr>
      <w:r>
        <w:t>Ley 1/1996, de 10 de enero. Asistencia jurídica gratuita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Exposición de motivos, 5.</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10.</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11.1.</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20.</w:t>
      </w:r>
      <w:r w:rsidRPr="007D461E">
        <w:rPr>
          <w:rStyle w:val="TextoNormalCaracter"/>
        </w:rPr>
        <w:t>-</w:t>
      </w:r>
      <w:r>
        <w:t xml:space="preserve"> Autos </w:t>
      </w:r>
      <w:hyperlink w:anchor="AUTO_1997_138" w:history="1">
        <w:r w:rsidRPr="007D461E">
          <w:rPr>
            <w:rStyle w:val="TextoNormalCaracter"/>
          </w:rPr>
          <w:t>138/1997</w:t>
        </w:r>
      </w:hyperlink>
      <w:r>
        <w:t xml:space="preserve">; </w:t>
      </w:r>
      <w:hyperlink w:anchor="AUTO_1997_204" w:history="1">
        <w:r w:rsidRPr="007D461E">
          <w:rPr>
            <w:rStyle w:val="TextoNormalCaracter"/>
          </w:rPr>
          <w:t>204/1997</w:t>
        </w:r>
      </w:hyperlink>
      <w:r>
        <w:t>.</w:t>
      </w:r>
    </w:p>
    <w:p w:rsidR="007D461E" w:rsidRDefault="007D461E" w:rsidP="007D461E">
      <w:pPr>
        <w:pStyle w:val="SangriaFrancesaArticulo"/>
      </w:pPr>
    </w:p>
    <w:p w:rsidR="007D461E" w:rsidRDefault="007D461E" w:rsidP="007D461E">
      <w:pPr>
        <w:pStyle w:val="TextoNormalNegritaCursivandice"/>
      </w:pPr>
      <w:r>
        <w:t>Ley 12/1996, de 30 de diciembre. Presupuestos generales del Estado para 1997</w:t>
      </w:r>
    </w:p>
    <w:p w:rsidR="007D461E" w:rsidRDefault="007D461E" w:rsidP="007D461E">
      <w:pPr>
        <w:pStyle w:val="SangriaFrancesaArticulo"/>
      </w:pPr>
      <w:r w:rsidRPr="007D461E">
        <w:rPr>
          <w:rStyle w:val="TextoNormalNegritaCaracter"/>
        </w:rPr>
        <w:t>Artículo 17.4.</w:t>
      </w:r>
      <w:r w:rsidRPr="007D461E">
        <w:rPr>
          <w:rStyle w:val="TextoNormalCaracter"/>
        </w:rPr>
        <w:t>-</w:t>
      </w:r>
      <w:r>
        <w:t xml:space="preserve"> Auto </w:t>
      </w:r>
      <w:hyperlink w:anchor="AUTO_1997_233" w:history="1">
        <w:r w:rsidRPr="007D461E">
          <w:rPr>
            <w:rStyle w:val="TextoNormalCaracter"/>
          </w:rPr>
          <w:t>233/1997</w:t>
        </w:r>
      </w:hyperlink>
      <w:r>
        <w:t>.</w:t>
      </w:r>
    </w:p>
    <w:p w:rsidR="007D461E" w:rsidRDefault="007D461E" w:rsidP="007D461E">
      <w:pPr>
        <w:pStyle w:val="SangriaFrancesaArticulo"/>
      </w:pPr>
    </w:p>
    <w:p w:rsidR="007D461E" w:rsidRDefault="007D461E" w:rsidP="007D461E">
      <w:pPr>
        <w:pStyle w:val="TextoNormalNegritaCursivandice"/>
      </w:pPr>
      <w:r>
        <w:t>Ley 6/1997, de 14 de abril. Organización y funcionamiento de la Administración General del Estado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TextoNormal"/>
      </w:pPr>
    </w:p>
    <w:p w:rsidR="007D461E" w:rsidRDefault="007D461E" w:rsidP="007D461E">
      <w:pPr>
        <w:pStyle w:val="SangriaFrancesaArticulo"/>
      </w:pPr>
      <w:bookmarkStart w:id="238" w:name="INDICE22847"/>
    </w:p>
    <w:bookmarkEnd w:id="238"/>
    <w:p w:rsidR="007D461E" w:rsidRDefault="007D461E" w:rsidP="007D461E">
      <w:pPr>
        <w:pStyle w:val="TextoIndiceNivel2"/>
        <w:suppressAutoHyphens/>
      </w:pPr>
      <w:r>
        <w:t>F) Reales Decretos Legislativos</w:t>
      </w:r>
    </w:p>
    <w:p w:rsidR="007D461E" w:rsidRDefault="007D461E" w:rsidP="007D461E">
      <w:pPr>
        <w:pStyle w:val="TextoIndiceNivel2"/>
      </w:pPr>
    </w:p>
    <w:p w:rsidR="007D461E" w:rsidRDefault="007D461E" w:rsidP="007D461E">
      <w:pPr>
        <w:pStyle w:val="TextoNormalNegritaCursivandice"/>
      </w:pPr>
      <w:r>
        <w:t>Real Decreto Legislativo 1568/1980, de 13 de junio. Texto refundido de la Ley de procedimiento laboral</w:t>
      </w:r>
    </w:p>
    <w:p w:rsidR="007D461E" w:rsidRDefault="007D461E" w:rsidP="007D461E">
      <w:pPr>
        <w:pStyle w:val="SangriaFrancesaArticulo"/>
      </w:pPr>
      <w:r w:rsidRPr="007D461E">
        <w:rPr>
          <w:rStyle w:val="TextoNormalNegritaCaracter"/>
        </w:rPr>
        <w:t>Artículo 227.</w:t>
      </w:r>
      <w:r w:rsidRPr="007D461E">
        <w:rPr>
          <w:rStyle w:val="TextoNormalCaracter"/>
        </w:rPr>
        <w:t>-</w:t>
      </w:r>
      <w:r>
        <w:t xml:space="preserve"> Auto </w:t>
      </w:r>
      <w:hyperlink w:anchor="AUTO_1997_155" w:history="1">
        <w:r w:rsidRPr="007D461E">
          <w:rPr>
            <w:rStyle w:val="TextoNormalCaracter"/>
          </w:rPr>
          <w:t>155/1997</w:t>
        </w:r>
      </w:hyperlink>
      <w:r>
        <w:t>.</w:t>
      </w:r>
    </w:p>
    <w:p w:rsidR="007D461E" w:rsidRDefault="007D461E" w:rsidP="007D461E">
      <w:pPr>
        <w:pStyle w:val="SangriaFrancesaArticulo"/>
      </w:pPr>
    </w:p>
    <w:p w:rsidR="007D461E" w:rsidRDefault="007D461E" w:rsidP="007D461E">
      <w:pPr>
        <w:pStyle w:val="TextoNormalNegritaCursivandice"/>
      </w:pPr>
      <w:r>
        <w:t>Real Decreto Legislativo 1091/1988, de 23 de septiembre. Texto refundido de  la Ley general presupuestaria</w:t>
      </w:r>
    </w:p>
    <w:p w:rsidR="007D461E" w:rsidRDefault="007D461E" w:rsidP="007D461E">
      <w:pPr>
        <w:pStyle w:val="SangriaFrancesaArticulo"/>
      </w:pPr>
      <w:r w:rsidRPr="007D461E">
        <w:rPr>
          <w:rStyle w:val="TextoNormalNegritaCaracter"/>
        </w:rPr>
        <w:t>Artículo 6.5.</w:t>
      </w:r>
      <w:r w:rsidRPr="007D461E">
        <w:rPr>
          <w:rStyle w:val="TextoNormalCaracter"/>
        </w:rPr>
        <w:t>-</w:t>
      </w:r>
      <w:r>
        <w:t xml:space="preserve"> Sentencia </w:t>
      </w:r>
      <w:hyperlink w:anchor="SENTENCIA_1997_133" w:history="1">
        <w:r w:rsidRPr="007D461E">
          <w:rPr>
            <w:rStyle w:val="TextoNormalCaracter"/>
          </w:rPr>
          <w:t>133/1997</w:t>
        </w:r>
      </w:hyperlink>
      <w:r>
        <w:t>, f. 7.</w:t>
      </w:r>
    </w:p>
    <w:p w:rsidR="007D461E" w:rsidRDefault="007D461E" w:rsidP="007D461E">
      <w:pPr>
        <w:pStyle w:val="SangriaFrancesaArticulo"/>
      </w:pPr>
    </w:p>
    <w:p w:rsidR="007D461E" w:rsidRDefault="007D461E" w:rsidP="007D461E">
      <w:pPr>
        <w:pStyle w:val="TextoNormalNegritaCursivandice"/>
      </w:pPr>
      <w:r>
        <w:t>Real Decreto Legislativo 521/1990, de 27 de abril. Texto articulado de la  Ley de procedimiento laboral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112" w:history="1">
        <w:r w:rsidRPr="007D461E">
          <w:rPr>
            <w:rStyle w:val="TextoNormalCaracter"/>
          </w:rPr>
          <w:t>112/1997</w:t>
        </w:r>
      </w:hyperlink>
      <w:r>
        <w:t xml:space="preserve">, f. 3; </w:t>
      </w:r>
      <w:hyperlink w:anchor="SENTENCIA_1997_114" w:history="1">
        <w:r w:rsidRPr="007D461E">
          <w:rPr>
            <w:rStyle w:val="TextoNormalCaracter"/>
          </w:rPr>
          <w:t>114/1997</w:t>
        </w:r>
      </w:hyperlink>
      <w:r>
        <w:t>, f. 9.</w:t>
      </w:r>
    </w:p>
    <w:p w:rsidR="007D461E" w:rsidRDefault="007D461E" w:rsidP="007D461E">
      <w:pPr>
        <w:pStyle w:val="SangriaIzquierdaArticulo"/>
      </w:pPr>
      <w:r>
        <w:t xml:space="preserve">Auto </w:t>
      </w:r>
      <w:hyperlink w:anchor="AUTO_1997_134" w:history="1">
        <w:r w:rsidRPr="007D461E">
          <w:rPr>
            <w:rStyle w:val="TextoNormalCaracter"/>
          </w:rPr>
          <w:t>134/1997</w:t>
        </w:r>
      </w:hyperlink>
      <w:r>
        <w:t>.</w:t>
      </w:r>
    </w:p>
    <w:p w:rsidR="007D461E" w:rsidRDefault="007D461E" w:rsidP="007D461E">
      <w:pPr>
        <w:pStyle w:val="SangriaFrancesaArticulo"/>
      </w:pPr>
      <w:r w:rsidRPr="007D461E">
        <w:rPr>
          <w:rStyle w:val="TextoNormalNegritaCaracter"/>
        </w:rPr>
        <w:t>Artículo 56.3.</w:t>
      </w:r>
      <w:r w:rsidRPr="007D461E">
        <w:rPr>
          <w:rStyle w:val="TextoNormalCaracter"/>
        </w:rPr>
        <w:t>-</w:t>
      </w:r>
      <w:r>
        <w:t xml:space="preserve"> Sentencia </w:t>
      </w:r>
      <w:hyperlink w:anchor="SENTENCIA_1997_127" w:history="1">
        <w:r w:rsidRPr="007D461E">
          <w:rPr>
            <w:rStyle w:val="TextoNormalCaracter"/>
          </w:rPr>
          <w:t>127/1997</w:t>
        </w:r>
      </w:hyperlink>
      <w:r>
        <w:t>, f. 2.</w:t>
      </w:r>
    </w:p>
    <w:p w:rsidR="007D461E" w:rsidRDefault="007D461E" w:rsidP="007D461E">
      <w:pPr>
        <w:pStyle w:val="SangriaFrancesaArticulo"/>
      </w:pPr>
      <w:r w:rsidRPr="007D461E">
        <w:rPr>
          <w:rStyle w:val="TextoNormalNegritaCaracter"/>
        </w:rPr>
        <w:t>Artículo 57.3.</w:t>
      </w:r>
      <w:r w:rsidRPr="007D461E">
        <w:rPr>
          <w:rStyle w:val="TextoNormalCaracter"/>
        </w:rPr>
        <w:t>-</w:t>
      </w:r>
      <w:r>
        <w:t xml:space="preserve"> Sentencia </w:t>
      </w:r>
      <w:hyperlink w:anchor="SENTENCIA_1997_127" w:history="1">
        <w:r w:rsidRPr="007D461E">
          <w:rPr>
            <w:rStyle w:val="TextoNormalCaracter"/>
          </w:rPr>
          <w:t>127/1997</w:t>
        </w:r>
      </w:hyperlink>
      <w:r>
        <w:t>, f. 2.</w:t>
      </w:r>
    </w:p>
    <w:p w:rsidR="007D461E" w:rsidRDefault="007D461E" w:rsidP="007D461E">
      <w:pPr>
        <w:pStyle w:val="SangriaFrancesaArticulo"/>
      </w:pPr>
      <w:r w:rsidRPr="007D461E">
        <w:rPr>
          <w:rStyle w:val="TextoNormalNegritaCaracter"/>
        </w:rPr>
        <w:t>Artículo 69.</w:t>
      </w:r>
      <w:r w:rsidRPr="007D461E">
        <w:rPr>
          <w:rStyle w:val="TextoNormalCaracter"/>
        </w:rPr>
        <w:t>-</w:t>
      </w:r>
      <w:r>
        <w:t xml:space="preserve"> Sentencias </w:t>
      </w:r>
      <w:hyperlink w:anchor="SENTENCIA_1997_104" w:history="1">
        <w:r w:rsidRPr="007D461E">
          <w:rPr>
            <w:rStyle w:val="TextoNormalCaracter"/>
          </w:rPr>
          <w:t>104/1997</w:t>
        </w:r>
      </w:hyperlink>
      <w:r>
        <w:t xml:space="preserve">, ff. 1, 3; </w:t>
      </w:r>
      <w:hyperlink w:anchor="SENTENCIA_1997_112" w:history="1">
        <w:r w:rsidRPr="007D461E">
          <w:rPr>
            <w:rStyle w:val="TextoNormalCaracter"/>
          </w:rPr>
          <w:t>112/1997</w:t>
        </w:r>
      </w:hyperlink>
      <w:r>
        <w:t>, f. 4.</w:t>
      </w:r>
    </w:p>
    <w:p w:rsidR="007D461E" w:rsidRDefault="007D461E" w:rsidP="007D461E">
      <w:pPr>
        <w:pStyle w:val="SangriaFrancesaArticulo"/>
      </w:pPr>
      <w:r w:rsidRPr="007D461E">
        <w:rPr>
          <w:rStyle w:val="TextoNormalNegritaCaracter"/>
        </w:rPr>
        <w:t>Artículo 72.</w:t>
      </w:r>
      <w:r w:rsidRPr="007D461E">
        <w:rPr>
          <w:rStyle w:val="TextoNormalCaracter"/>
        </w:rPr>
        <w:t>-</w:t>
      </w:r>
      <w:r>
        <w:t xml:space="preserve"> Sentencia </w:t>
      </w:r>
      <w:hyperlink w:anchor="SENTENCIA_1997_112" w:history="1">
        <w:r w:rsidRPr="007D461E">
          <w:rPr>
            <w:rStyle w:val="TextoNormalCaracter"/>
          </w:rPr>
          <w:t>112/1997</w:t>
        </w:r>
      </w:hyperlink>
      <w:r>
        <w:t>, f. 3.</w:t>
      </w:r>
    </w:p>
    <w:p w:rsidR="007D461E" w:rsidRDefault="007D461E" w:rsidP="007D461E">
      <w:pPr>
        <w:pStyle w:val="SangriaFrancesaArticulo"/>
      </w:pPr>
      <w:r w:rsidRPr="007D461E">
        <w:rPr>
          <w:rStyle w:val="TextoNormalNegritaCaracter"/>
        </w:rPr>
        <w:t>Artículo 73.</w:t>
      </w:r>
      <w:r w:rsidRPr="007D461E">
        <w:rPr>
          <w:rStyle w:val="TextoNormalCaracter"/>
        </w:rPr>
        <w:t>-</w:t>
      </w:r>
      <w:r>
        <w:t xml:space="preserve"> Sentencia </w:t>
      </w:r>
      <w:hyperlink w:anchor="SENTENCIA_1997_104" w:history="1">
        <w:r w:rsidRPr="007D461E">
          <w:rPr>
            <w:rStyle w:val="TextoNormalCaracter"/>
          </w:rPr>
          <w:t>104/1997</w:t>
        </w:r>
      </w:hyperlink>
      <w:r>
        <w:t>, f. 3.</w:t>
      </w:r>
    </w:p>
    <w:p w:rsidR="007D461E" w:rsidRDefault="007D461E" w:rsidP="007D461E">
      <w:pPr>
        <w:pStyle w:val="SangriaFrancesaArticulo"/>
      </w:pPr>
      <w:r w:rsidRPr="007D461E">
        <w:rPr>
          <w:rStyle w:val="TextoNormalNegritaCaracter"/>
        </w:rPr>
        <w:t>Artículo 103.</w:t>
      </w:r>
      <w:r w:rsidRPr="007D461E">
        <w:rPr>
          <w:rStyle w:val="TextoNormalCaracter"/>
        </w:rPr>
        <w:t>-</w:t>
      </w:r>
      <w:r>
        <w:t xml:space="preserve"> Sentencia </w:t>
      </w:r>
      <w:hyperlink w:anchor="SENTENCIA_1997_104" w:history="1">
        <w:r w:rsidRPr="007D461E">
          <w:rPr>
            <w:rStyle w:val="TextoNormalCaracter"/>
          </w:rPr>
          <w:t>104/1997</w:t>
        </w:r>
      </w:hyperlink>
      <w:r>
        <w:t>, f. 3.</w:t>
      </w:r>
    </w:p>
    <w:p w:rsidR="007D461E" w:rsidRDefault="007D461E" w:rsidP="007D461E">
      <w:pPr>
        <w:pStyle w:val="SangriaFrancesaArticulo"/>
      </w:pPr>
      <w:r w:rsidRPr="007D461E">
        <w:rPr>
          <w:rStyle w:val="TextoNormalNegritaCaracter"/>
        </w:rPr>
        <w:t>Artículo 145.</w:t>
      </w:r>
      <w:r w:rsidRPr="007D461E">
        <w:rPr>
          <w:rStyle w:val="TextoNormalCaracter"/>
        </w:rPr>
        <w:t>-</w:t>
      </w:r>
      <w:r>
        <w:t xml:space="preserve"> Sentencia </w:t>
      </w:r>
      <w:hyperlink w:anchor="SENTENCIA_1997_104" w:history="1">
        <w:r w:rsidRPr="007D461E">
          <w:rPr>
            <w:rStyle w:val="TextoNormalCaracter"/>
          </w:rPr>
          <w:t>104/1997</w:t>
        </w:r>
      </w:hyperlink>
      <w:r>
        <w:t>, f. 3.</w:t>
      </w:r>
    </w:p>
    <w:p w:rsidR="007D461E" w:rsidRDefault="007D461E" w:rsidP="007D461E">
      <w:pPr>
        <w:pStyle w:val="SangriaFrancesaArticulo"/>
      </w:pPr>
      <w:r w:rsidRPr="007D461E">
        <w:rPr>
          <w:rStyle w:val="TextoNormalNegritaCaracter"/>
        </w:rPr>
        <w:t>Artículo 146.</w:t>
      </w:r>
      <w:r w:rsidRPr="007D461E">
        <w:rPr>
          <w:rStyle w:val="TextoNormalCaracter"/>
        </w:rPr>
        <w:t>-</w:t>
      </w:r>
      <w:r>
        <w:t xml:space="preserve"> Sentencia </w:t>
      </w:r>
      <w:hyperlink w:anchor="SENTENCIA_1997_104" w:history="1">
        <w:r w:rsidRPr="007D461E">
          <w:rPr>
            <w:rStyle w:val="TextoNormalCaracter"/>
          </w:rPr>
          <w:t>104/1997</w:t>
        </w:r>
      </w:hyperlink>
      <w:r>
        <w:t>, f. 3.</w:t>
      </w:r>
    </w:p>
    <w:p w:rsidR="007D461E" w:rsidRDefault="007D461E" w:rsidP="007D461E">
      <w:pPr>
        <w:pStyle w:val="SangriaFrancesaArticulo"/>
      </w:pPr>
      <w:r w:rsidRPr="007D461E">
        <w:rPr>
          <w:rStyle w:val="TextoNormalNegritaCaracter"/>
        </w:rPr>
        <w:t>Artículo 156.</w:t>
      </w:r>
      <w:r w:rsidRPr="007D461E">
        <w:rPr>
          <w:rStyle w:val="TextoNormalCaracter"/>
        </w:rPr>
        <w:t>-</w:t>
      </w:r>
      <w:r>
        <w:t xml:space="preserve"> Sentencia </w:t>
      </w:r>
      <w:hyperlink w:anchor="SENTENCIA_1997_93" w:history="1">
        <w:r w:rsidRPr="007D461E">
          <w:rPr>
            <w:rStyle w:val="TextoNormalCaracter"/>
          </w:rPr>
          <w:t>93/1997</w:t>
        </w:r>
      </w:hyperlink>
      <w:r>
        <w:t>, f. 3.</w:t>
      </w:r>
    </w:p>
    <w:p w:rsidR="007D461E" w:rsidRDefault="007D461E" w:rsidP="007D461E">
      <w:pPr>
        <w:pStyle w:val="SangriaFrancesaArticulo"/>
      </w:pPr>
      <w:r w:rsidRPr="007D461E">
        <w:rPr>
          <w:rStyle w:val="TextoNormalNegritaCaracter"/>
        </w:rPr>
        <w:t>Artículo 174.</w:t>
      </w:r>
      <w:r w:rsidRPr="007D461E">
        <w:rPr>
          <w:rStyle w:val="TextoNormalCaracter"/>
        </w:rPr>
        <w:t>-</w:t>
      </w:r>
      <w:r>
        <w:t xml:space="preserve"> Sentencia </w:t>
      </w:r>
      <w:hyperlink w:anchor="SENTENCIA_1997_90" w:history="1">
        <w:r w:rsidRPr="007D461E">
          <w:rPr>
            <w:rStyle w:val="TextoNormalCaracter"/>
          </w:rPr>
          <w:t>90/1997</w:t>
        </w:r>
      </w:hyperlink>
      <w:r>
        <w:t>, f. 2.</w:t>
      </w:r>
    </w:p>
    <w:p w:rsidR="007D461E" w:rsidRDefault="007D461E" w:rsidP="007D461E">
      <w:pPr>
        <w:pStyle w:val="SangriaFrancesaArticulo"/>
      </w:pPr>
      <w:r w:rsidRPr="007D461E">
        <w:rPr>
          <w:rStyle w:val="TextoNormalNegritaCaracter"/>
        </w:rPr>
        <w:t>Artículo 175.</w:t>
      </w:r>
      <w:r w:rsidRPr="007D461E">
        <w:rPr>
          <w:rStyle w:val="TextoNormalCaracter"/>
        </w:rPr>
        <w:t>-</w:t>
      </w:r>
      <w:r>
        <w:t xml:space="preserve"> Sentencia </w:t>
      </w:r>
      <w:hyperlink w:anchor="SENTENCIA_1997_105" w:history="1">
        <w:r w:rsidRPr="007D461E">
          <w:rPr>
            <w:rStyle w:val="TextoNormalCaracter"/>
          </w:rPr>
          <w:t>105/1997</w:t>
        </w:r>
      </w:hyperlink>
      <w:r>
        <w:t>, f. 1.</w:t>
      </w:r>
    </w:p>
    <w:p w:rsidR="007D461E" w:rsidRDefault="007D461E" w:rsidP="007D461E">
      <w:pPr>
        <w:pStyle w:val="SangriaFrancesaArticulo"/>
      </w:pPr>
      <w:r w:rsidRPr="007D461E">
        <w:rPr>
          <w:rStyle w:val="TextoNormalNegritaCaracter"/>
        </w:rPr>
        <w:t>Artículo 180.1.</w:t>
      </w:r>
      <w:r w:rsidRPr="007D461E">
        <w:rPr>
          <w:rStyle w:val="TextoNormalCaracter"/>
        </w:rPr>
        <w:t>-</w:t>
      </w:r>
      <w:r>
        <w:t xml:space="preserve"> Sentencia </w:t>
      </w:r>
      <w:hyperlink w:anchor="SENTENCIA_1997_105" w:history="1">
        <w:r w:rsidRPr="007D461E">
          <w:rPr>
            <w:rStyle w:val="TextoNormalCaracter"/>
          </w:rPr>
          <w:t>105/1997</w:t>
        </w:r>
      </w:hyperlink>
      <w:r>
        <w:t>, f. 1.</w:t>
      </w:r>
    </w:p>
    <w:p w:rsidR="007D461E" w:rsidRDefault="007D461E" w:rsidP="007D461E">
      <w:pPr>
        <w:pStyle w:val="SangriaFrancesaArticulo"/>
      </w:pPr>
      <w:r w:rsidRPr="007D461E">
        <w:rPr>
          <w:rStyle w:val="TextoNormalNegritaCaracter"/>
        </w:rPr>
        <w:t>Artículo 182.</w:t>
      </w:r>
      <w:r w:rsidRPr="007D461E">
        <w:rPr>
          <w:rStyle w:val="TextoNormalCaracter"/>
        </w:rPr>
        <w:t>-</w:t>
      </w:r>
      <w:r>
        <w:t xml:space="preserve"> Sentencia </w:t>
      </w:r>
      <w:hyperlink w:anchor="SENTENCIA_1997_113" w:history="1">
        <w:r w:rsidRPr="007D461E">
          <w:rPr>
            <w:rStyle w:val="TextoNormalCaracter"/>
          </w:rPr>
          <w:t>113/1997</w:t>
        </w:r>
      </w:hyperlink>
      <w:r>
        <w:t>, f. 3.</w:t>
      </w:r>
    </w:p>
    <w:p w:rsidR="007D461E" w:rsidRDefault="007D461E" w:rsidP="007D461E">
      <w:pPr>
        <w:pStyle w:val="SangriaFrancesaArticulo"/>
      </w:pPr>
      <w:r w:rsidRPr="007D461E">
        <w:rPr>
          <w:rStyle w:val="TextoNormalNegritaCaracter"/>
        </w:rPr>
        <w:t>Artículo 185.</w:t>
      </w:r>
      <w:r w:rsidRPr="007D461E">
        <w:rPr>
          <w:rStyle w:val="TextoNormalCaracter"/>
        </w:rPr>
        <w:t>-</w:t>
      </w:r>
      <w:r>
        <w:t xml:space="preserve"> Sentencia </w:t>
      </w:r>
      <w:hyperlink w:anchor="SENTENCIA_1997_127" w:history="1">
        <w:r w:rsidRPr="007D461E">
          <w:rPr>
            <w:rStyle w:val="TextoNormalCaracter"/>
          </w:rPr>
          <w:t>127/1997</w:t>
        </w:r>
      </w:hyperlink>
      <w:r>
        <w:t>, ff. 1, 2.</w:t>
      </w:r>
    </w:p>
    <w:p w:rsidR="007D461E" w:rsidRDefault="007D461E" w:rsidP="007D461E">
      <w:pPr>
        <w:pStyle w:val="SangriaFrancesaArticulo"/>
      </w:pPr>
      <w:r w:rsidRPr="007D461E">
        <w:rPr>
          <w:rStyle w:val="TextoNormalNegritaCaracter"/>
        </w:rPr>
        <w:t>Artículo 192.2.</w:t>
      </w:r>
      <w:r w:rsidRPr="007D461E">
        <w:rPr>
          <w:rStyle w:val="TextoNormalCaracter"/>
        </w:rPr>
        <w:t>-</w:t>
      </w:r>
      <w:r>
        <w:t xml:space="preserve"> Sentencia </w:t>
      </w:r>
      <w:hyperlink w:anchor="SENTENCIA_1997_127" w:history="1">
        <w:r w:rsidRPr="007D461E">
          <w:rPr>
            <w:rStyle w:val="TextoNormalCaracter"/>
          </w:rPr>
          <w:t>127/1997</w:t>
        </w:r>
      </w:hyperlink>
      <w:r>
        <w:t>, f. 1.</w:t>
      </w:r>
    </w:p>
    <w:p w:rsidR="007D461E" w:rsidRDefault="007D461E" w:rsidP="007D461E">
      <w:pPr>
        <w:pStyle w:val="SangriaFrancesaArticulo"/>
      </w:pPr>
      <w:r w:rsidRPr="007D461E">
        <w:rPr>
          <w:rStyle w:val="TextoNormalNegritaCaracter"/>
        </w:rPr>
        <w:t>Artículo 192.3.</w:t>
      </w:r>
      <w:r w:rsidRPr="007D461E">
        <w:rPr>
          <w:rStyle w:val="TextoNormalCaracter"/>
        </w:rPr>
        <w:t>-</w:t>
      </w:r>
      <w:r>
        <w:t xml:space="preserve"> Sentencia </w:t>
      </w:r>
      <w:hyperlink w:anchor="SENTENCIA_1997_127" w:history="1">
        <w:r w:rsidRPr="007D461E">
          <w:rPr>
            <w:rStyle w:val="TextoNormalCaracter"/>
          </w:rPr>
          <w:t>127/1997</w:t>
        </w:r>
      </w:hyperlink>
      <w:r>
        <w:t>, f. 1.</w:t>
      </w:r>
    </w:p>
    <w:p w:rsidR="007D461E" w:rsidRDefault="007D461E" w:rsidP="007D461E">
      <w:pPr>
        <w:pStyle w:val="SangriaFrancesaArticulo"/>
      </w:pPr>
      <w:r w:rsidRPr="007D461E">
        <w:rPr>
          <w:rStyle w:val="TextoNormalNegritaCaracter"/>
        </w:rPr>
        <w:t>Artículo 193.2.</w:t>
      </w:r>
      <w:r w:rsidRPr="007D461E">
        <w:rPr>
          <w:rStyle w:val="TextoNormalCaracter"/>
        </w:rPr>
        <w:t>-</w:t>
      </w:r>
      <w:r>
        <w:t xml:space="preserve"> Sentencia </w:t>
      </w:r>
      <w:hyperlink w:anchor="SENTENCIA_1997_93" w:history="1">
        <w:r w:rsidRPr="007D461E">
          <w:rPr>
            <w:rStyle w:val="TextoNormalCaracter"/>
          </w:rPr>
          <w:t>93/1997</w:t>
        </w:r>
      </w:hyperlink>
      <w:r>
        <w:t>, f. 4.</w:t>
      </w:r>
    </w:p>
    <w:p w:rsidR="007D461E" w:rsidRDefault="007D461E" w:rsidP="007D461E">
      <w:pPr>
        <w:pStyle w:val="SangriaFrancesaArticulo"/>
      </w:pPr>
      <w:r w:rsidRPr="007D461E">
        <w:rPr>
          <w:rStyle w:val="TextoNormalNegritaCaracter"/>
        </w:rPr>
        <w:t>Artículo 206.2.</w:t>
      </w:r>
      <w:r w:rsidRPr="007D461E">
        <w:rPr>
          <w:rStyle w:val="TextoNormalCaracter"/>
        </w:rPr>
        <w:t>-</w:t>
      </w:r>
      <w:r>
        <w:t xml:space="preserve"> Sentencia </w:t>
      </w:r>
      <w:hyperlink w:anchor="SENTENCIA_1997_127" w:history="1">
        <w:r w:rsidRPr="007D461E">
          <w:rPr>
            <w:rStyle w:val="TextoNormalCaracter"/>
          </w:rPr>
          <w:t>127/1997</w:t>
        </w:r>
      </w:hyperlink>
      <w:r>
        <w:t>, f. 1.</w:t>
      </w:r>
    </w:p>
    <w:p w:rsidR="007D461E" w:rsidRDefault="007D461E" w:rsidP="007D461E">
      <w:pPr>
        <w:pStyle w:val="SangriaFrancesaArticulo"/>
      </w:pPr>
      <w:r w:rsidRPr="007D461E">
        <w:rPr>
          <w:rStyle w:val="TextoNormalNegritaCaracter"/>
        </w:rPr>
        <w:t>Artículo 206.3.</w:t>
      </w:r>
      <w:r w:rsidRPr="007D461E">
        <w:rPr>
          <w:rStyle w:val="TextoNormalCaracter"/>
        </w:rPr>
        <w:t>-</w:t>
      </w:r>
      <w:r>
        <w:t xml:space="preserve"> Sentencia </w:t>
      </w:r>
      <w:hyperlink w:anchor="SENTENCIA_1997_127" w:history="1">
        <w:r w:rsidRPr="007D461E">
          <w:rPr>
            <w:rStyle w:val="TextoNormalCaracter"/>
          </w:rPr>
          <w:t>127/1997</w:t>
        </w:r>
      </w:hyperlink>
      <w:r>
        <w:t>, f. 1.</w:t>
      </w:r>
    </w:p>
    <w:p w:rsidR="007D461E" w:rsidRDefault="007D461E" w:rsidP="007D461E">
      <w:pPr>
        <w:pStyle w:val="SangriaFrancesaArticulo"/>
      </w:pPr>
      <w:r w:rsidRPr="007D461E">
        <w:rPr>
          <w:rStyle w:val="TextoNormalNegritaCaracter"/>
        </w:rPr>
        <w:t>Artículo 215.</w:t>
      </w:r>
      <w:r w:rsidRPr="007D461E">
        <w:rPr>
          <w:rStyle w:val="TextoNormalCaracter"/>
        </w:rPr>
        <w:t>-</w:t>
      </w:r>
      <w:r>
        <w:t xml:space="preserve"> Sentencia </w:t>
      </w:r>
      <w:hyperlink w:anchor="SENTENCIA_1997_93" w:history="1">
        <w:r w:rsidRPr="007D461E">
          <w:rPr>
            <w:rStyle w:val="TextoNormalCaracter"/>
          </w:rPr>
          <w:t>93/1997</w:t>
        </w:r>
      </w:hyperlink>
      <w:r>
        <w:t>, f. 2.</w:t>
      </w:r>
    </w:p>
    <w:p w:rsidR="007D461E" w:rsidRDefault="007D461E" w:rsidP="007D461E">
      <w:pPr>
        <w:pStyle w:val="SangriaFrancesaArticulo"/>
      </w:pPr>
      <w:r w:rsidRPr="007D461E">
        <w:rPr>
          <w:rStyle w:val="TextoNormalNegritaCaracter"/>
        </w:rPr>
        <w:t>Artículo 216.</w:t>
      </w:r>
      <w:r w:rsidRPr="007D461E">
        <w:rPr>
          <w:rStyle w:val="TextoNormalCaracter"/>
        </w:rPr>
        <w:t>-</w:t>
      </w:r>
      <w:r>
        <w:t xml:space="preserve"> Sentencia </w:t>
      </w:r>
      <w:hyperlink w:anchor="SENTENCIA_1997_132" w:history="1">
        <w:r w:rsidRPr="007D461E">
          <w:rPr>
            <w:rStyle w:val="TextoNormalCaracter"/>
          </w:rPr>
          <w:t>132/1997</w:t>
        </w:r>
      </w:hyperlink>
      <w:r>
        <w:t>, f. 2, VP.</w:t>
      </w:r>
    </w:p>
    <w:p w:rsidR="007D461E" w:rsidRDefault="007D461E" w:rsidP="007D461E">
      <w:pPr>
        <w:pStyle w:val="SangriaFrancesaArticulo"/>
      </w:pPr>
      <w:r w:rsidRPr="007D461E">
        <w:rPr>
          <w:rStyle w:val="TextoNormalNegritaCaracter"/>
        </w:rPr>
        <w:t>Artículo 225.1.</w:t>
      </w:r>
      <w:r w:rsidRPr="007D461E">
        <w:rPr>
          <w:rStyle w:val="TextoNormalCaracter"/>
        </w:rPr>
        <w:t>-</w:t>
      </w:r>
      <w:r>
        <w:t xml:space="preserve"> Sentencia </w:t>
      </w:r>
      <w:hyperlink w:anchor="SENTENCIA_1997_132" w:history="1">
        <w:r w:rsidRPr="007D461E">
          <w:rPr>
            <w:rStyle w:val="TextoNormalCaracter"/>
          </w:rPr>
          <w:t>132/1997</w:t>
        </w:r>
      </w:hyperlink>
      <w:r>
        <w:t>, f. 5.</w:t>
      </w:r>
    </w:p>
    <w:p w:rsidR="007D461E" w:rsidRDefault="007D461E" w:rsidP="007D461E">
      <w:pPr>
        <w:pStyle w:val="SangriaFrancesaArticulo"/>
      </w:pPr>
      <w:r w:rsidRPr="007D461E">
        <w:rPr>
          <w:rStyle w:val="TextoNormalNegritaCaracter"/>
        </w:rPr>
        <w:t>Artículo 227.</w:t>
      </w:r>
      <w:r w:rsidRPr="007D461E">
        <w:rPr>
          <w:rStyle w:val="TextoNormalCaracter"/>
        </w:rPr>
        <w:t>-</w:t>
      </w:r>
      <w:r>
        <w:t xml:space="preserve"> Sentencia </w:t>
      </w:r>
      <w:hyperlink w:anchor="SENTENCIA_1997_113" w:history="1">
        <w:r w:rsidRPr="007D461E">
          <w:rPr>
            <w:rStyle w:val="TextoNormalCaracter"/>
          </w:rPr>
          <w:t>113/1997</w:t>
        </w:r>
      </w:hyperlink>
      <w:r>
        <w:t>, f. 3.</w:t>
      </w:r>
    </w:p>
    <w:p w:rsidR="007D461E" w:rsidRDefault="007D461E" w:rsidP="007D461E">
      <w:pPr>
        <w:pStyle w:val="SangriaFrancesaArticulo"/>
      </w:pPr>
      <w:r w:rsidRPr="007D461E">
        <w:rPr>
          <w:rStyle w:val="TextoNormalNegritaCaracter"/>
        </w:rPr>
        <w:t>Artículo 228.</w:t>
      </w:r>
      <w:r w:rsidRPr="007D461E">
        <w:rPr>
          <w:rStyle w:val="TextoNormalCaracter"/>
        </w:rPr>
        <w:t>-</w:t>
      </w:r>
      <w:r>
        <w:t xml:space="preserve"> Sentencia </w:t>
      </w:r>
      <w:hyperlink w:anchor="SENTENCIA_1997_113" w:history="1">
        <w:r w:rsidRPr="007D461E">
          <w:rPr>
            <w:rStyle w:val="TextoNormalCaracter"/>
          </w:rPr>
          <w:t>113/1997</w:t>
        </w:r>
      </w:hyperlink>
      <w:r>
        <w:t>, f. 1.</w:t>
      </w:r>
    </w:p>
    <w:p w:rsidR="007D461E" w:rsidRDefault="007D461E" w:rsidP="007D461E">
      <w:pPr>
        <w:pStyle w:val="SangriaFrancesaArticulo"/>
      </w:pPr>
      <w:r w:rsidRPr="007D461E">
        <w:rPr>
          <w:rStyle w:val="TextoNormalNegritaCaracter"/>
        </w:rPr>
        <w:t>Artículo 287.</w:t>
      </w:r>
      <w:r w:rsidRPr="007D461E">
        <w:rPr>
          <w:rStyle w:val="TextoNormalCaracter"/>
        </w:rPr>
        <w:t>-</w:t>
      </w:r>
      <w:r>
        <w:t xml:space="preserve"> Sentencia </w:t>
      </w:r>
      <w:hyperlink w:anchor="SENTENCIA_1997_105" w:history="1">
        <w:r w:rsidRPr="007D461E">
          <w:rPr>
            <w:rStyle w:val="TextoNormalCaracter"/>
          </w:rPr>
          <w:t>105/1997</w:t>
        </w:r>
      </w:hyperlink>
      <w:r>
        <w:t>, f. 2.</w:t>
      </w:r>
    </w:p>
    <w:p w:rsidR="007D461E" w:rsidRDefault="007D461E" w:rsidP="007D461E">
      <w:pPr>
        <w:pStyle w:val="SangriaFrancesaArticulo"/>
      </w:pPr>
      <w:r w:rsidRPr="007D461E">
        <w:rPr>
          <w:rStyle w:val="TextoNormalNegritaCaracter"/>
        </w:rPr>
        <w:t>Artículo 301.</w:t>
      </w:r>
      <w:r w:rsidRPr="007D461E">
        <w:rPr>
          <w:rStyle w:val="TextoNormalCaracter"/>
        </w:rPr>
        <w:t>-</w:t>
      </w:r>
      <w:r>
        <w:t xml:space="preserve"> Sentencia </w:t>
      </w:r>
      <w:hyperlink w:anchor="SENTENCIA_1997_105" w:history="1">
        <w:r w:rsidRPr="007D461E">
          <w:rPr>
            <w:rStyle w:val="TextoNormalCaracter"/>
          </w:rPr>
          <w:t>105/1997</w:t>
        </w:r>
      </w:hyperlink>
      <w:r>
        <w:t>, ff. 1, 2, 4.</w:t>
      </w:r>
    </w:p>
    <w:p w:rsidR="007D461E" w:rsidRDefault="007D461E" w:rsidP="007D461E">
      <w:pPr>
        <w:pStyle w:val="SangriaFrancesaArticulo"/>
      </w:pPr>
    </w:p>
    <w:p w:rsidR="007D461E" w:rsidRDefault="007D461E" w:rsidP="007D461E">
      <w:pPr>
        <w:pStyle w:val="TextoNormalNegritaCursivandice"/>
      </w:pPr>
      <w:r>
        <w:t>Real Decreto Legislativo 1/1993, de 24 de septiembre. Texto refundido de la Ley del impuesto sobre transmisiones patrimoniales y actos jurídicos documentados</w:t>
      </w:r>
    </w:p>
    <w:p w:rsidR="007D461E" w:rsidRDefault="007D461E" w:rsidP="007D461E">
      <w:pPr>
        <w:pStyle w:val="SangriaFrancesaArticulo"/>
      </w:pPr>
      <w:r w:rsidRPr="007D461E">
        <w:rPr>
          <w:rStyle w:val="TextoNormalNegritaCaracter"/>
        </w:rPr>
        <w:t>Artículo 43.</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p>
    <w:p w:rsidR="007D461E" w:rsidRDefault="007D461E" w:rsidP="007D461E">
      <w:pPr>
        <w:pStyle w:val="TextoNormalNegritaCursivandice"/>
      </w:pPr>
      <w:r>
        <w:t>Real Decreto Legislativo 2/1995, de 7 de abril. Texto refundido de la Ley de  procedimiento laboral</w:t>
      </w:r>
    </w:p>
    <w:p w:rsidR="007D461E" w:rsidRDefault="007D461E" w:rsidP="007D461E">
      <w:pPr>
        <w:pStyle w:val="SangriaFrancesaArticulo"/>
      </w:pPr>
      <w:r w:rsidRPr="007D461E">
        <w:rPr>
          <w:rStyle w:val="TextoNormalNegritaCaracter"/>
        </w:rPr>
        <w:t>Artículo 83.2.</w:t>
      </w:r>
      <w:r w:rsidRPr="007D461E">
        <w:rPr>
          <w:rStyle w:val="TextoNormalCaracter"/>
        </w:rPr>
        <w:t>-</w:t>
      </w:r>
      <w:r>
        <w:t xml:space="preserve"> Auto </w:t>
      </w:r>
      <w:hyperlink w:anchor="AUTO_1997_196" w:history="1">
        <w:r w:rsidRPr="007D461E">
          <w:rPr>
            <w:rStyle w:val="TextoNormalCaracter"/>
          </w:rPr>
          <w:t>196/1997</w:t>
        </w:r>
      </w:hyperlink>
      <w:r>
        <w:t>.</w:t>
      </w:r>
    </w:p>
    <w:p w:rsidR="007D461E" w:rsidRDefault="007D461E" w:rsidP="007D461E">
      <w:pPr>
        <w:pStyle w:val="SangriaFrancesaArticulo"/>
      </w:pPr>
      <w:r w:rsidRPr="007D461E">
        <w:rPr>
          <w:rStyle w:val="TextoNormalNegritaCaracter"/>
        </w:rPr>
        <w:t>Artículo 96.</w:t>
      </w:r>
      <w:r w:rsidRPr="007D461E">
        <w:rPr>
          <w:rStyle w:val="TextoNormalCaracter"/>
        </w:rPr>
        <w:t>-</w:t>
      </w:r>
      <w:r>
        <w:t xml:space="preserve"> Sentencia </w:t>
      </w:r>
      <w:hyperlink w:anchor="SENTENCIA_1997_90" w:history="1">
        <w:r w:rsidRPr="007D461E">
          <w:rPr>
            <w:rStyle w:val="TextoNormalCaracter"/>
          </w:rPr>
          <w:t>90/1997</w:t>
        </w:r>
      </w:hyperlink>
      <w:r>
        <w:t>, f. 5.</w:t>
      </w:r>
    </w:p>
    <w:p w:rsidR="007D461E" w:rsidRDefault="007D461E" w:rsidP="007D461E">
      <w:pPr>
        <w:pStyle w:val="SangriaFrancesaArticulo"/>
      </w:pPr>
      <w:r w:rsidRPr="007D461E">
        <w:rPr>
          <w:rStyle w:val="TextoNormalNegritaCaracter"/>
        </w:rPr>
        <w:t>Artículo 175.</w:t>
      </w:r>
      <w:r w:rsidRPr="007D461E">
        <w:rPr>
          <w:rStyle w:val="TextoNormalCaracter"/>
        </w:rPr>
        <w:t>-</w:t>
      </w:r>
      <w:r>
        <w:t xml:space="preserve"> Sentencia </w:t>
      </w:r>
      <w:hyperlink w:anchor="SENTENCIA_1997_90" w:history="1">
        <w:r w:rsidRPr="007D461E">
          <w:rPr>
            <w:rStyle w:val="TextoNormalCaracter"/>
          </w:rPr>
          <w:t>90/1997</w:t>
        </w:r>
      </w:hyperlink>
      <w:r>
        <w:t>, f. 2.</w:t>
      </w:r>
    </w:p>
    <w:p w:rsidR="007D461E" w:rsidRDefault="007D461E" w:rsidP="007D461E">
      <w:pPr>
        <w:pStyle w:val="SangriaFrancesaArticulo"/>
      </w:pPr>
      <w:r w:rsidRPr="007D461E">
        <w:rPr>
          <w:rStyle w:val="TextoNormalNegritaCaracter"/>
        </w:rPr>
        <w:t>Artículo 176.</w:t>
      </w:r>
      <w:r w:rsidRPr="007D461E">
        <w:rPr>
          <w:rStyle w:val="TextoNormalCaracter"/>
        </w:rPr>
        <w:t>-</w:t>
      </w:r>
      <w:r>
        <w:t xml:space="preserve"> Sentencia </w:t>
      </w:r>
      <w:hyperlink w:anchor="SENTENCIA_1997_90" w:history="1">
        <w:r w:rsidRPr="007D461E">
          <w:rPr>
            <w:rStyle w:val="TextoNormalCaracter"/>
          </w:rPr>
          <w:t>90/1997</w:t>
        </w:r>
      </w:hyperlink>
      <w:r>
        <w:t>, f. 2.</w:t>
      </w:r>
    </w:p>
    <w:p w:rsidR="007D461E" w:rsidRDefault="007D461E" w:rsidP="007D461E">
      <w:pPr>
        <w:pStyle w:val="SangriaFrancesaArticulo"/>
      </w:pPr>
      <w:r w:rsidRPr="007D461E">
        <w:rPr>
          <w:rStyle w:val="TextoNormalNegritaCaracter"/>
        </w:rPr>
        <w:t>Artículo 177.</w:t>
      </w:r>
      <w:r w:rsidRPr="007D461E">
        <w:rPr>
          <w:rStyle w:val="TextoNormalCaracter"/>
        </w:rPr>
        <w:t>-</w:t>
      </w:r>
      <w:r>
        <w:t xml:space="preserve"> Sentencia </w:t>
      </w:r>
      <w:hyperlink w:anchor="SENTENCIA_1997_90" w:history="1">
        <w:r w:rsidRPr="007D461E">
          <w:rPr>
            <w:rStyle w:val="TextoNormalCaracter"/>
          </w:rPr>
          <w:t>90/1997</w:t>
        </w:r>
      </w:hyperlink>
      <w:r>
        <w:t>, f. 2.</w:t>
      </w:r>
    </w:p>
    <w:p w:rsidR="007D461E" w:rsidRDefault="007D461E" w:rsidP="007D461E">
      <w:pPr>
        <w:pStyle w:val="SangriaFrancesaArticulo"/>
      </w:pPr>
      <w:r w:rsidRPr="007D461E">
        <w:rPr>
          <w:rStyle w:val="TextoNormalNegritaCaracter"/>
        </w:rPr>
        <w:t>Artículo 179.2.</w:t>
      </w:r>
      <w:r w:rsidRPr="007D461E">
        <w:rPr>
          <w:rStyle w:val="TextoNormalCaracter"/>
        </w:rPr>
        <w:t>-</w:t>
      </w:r>
      <w:r>
        <w:t xml:space="preserve"> Sentencia </w:t>
      </w:r>
      <w:hyperlink w:anchor="SENTENCIA_1997_90" w:history="1">
        <w:r w:rsidRPr="007D461E">
          <w:rPr>
            <w:rStyle w:val="TextoNormalCaracter"/>
          </w:rPr>
          <w:t>90/1997</w:t>
        </w:r>
      </w:hyperlink>
      <w:r>
        <w:t>, f. 5.</w:t>
      </w:r>
    </w:p>
    <w:p w:rsidR="007D461E" w:rsidRDefault="007D461E" w:rsidP="007D461E">
      <w:pPr>
        <w:pStyle w:val="SangriaFrancesaArticulo"/>
      </w:pPr>
      <w:r w:rsidRPr="007D461E">
        <w:rPr>
          <w:rStyle w:val="TextoNormalNegritaCaracter"/>
        </w:rPr>
        <w:t>Artículo 180.</w:t>
      </w:r>
      <w:r w:rsidRPr="007D461E">
        <w:rPr>
          <w:rStyle w:val="TextoNormalCaracter"/>
        </w:rPr>
        <w:t>-</w:t>
      </w:r>
      <w:r>
        <w:t xml:space="preserve"> Sentencia </w:t>
      </w:r>
      <w:hyperlink w:anchor="SENTENCIA_1997_90" w:history="1">
        <w:r w:rsidRPr="007D461E">
          <w:rPr>
            <w:rStyle w:val="TextoNormalCaracter"/>
          </w:rPr>
          <w:t>90/1997</w:t>
        </w:r>
      </w:hyperlink>
      <w:r>
        <w:t>, f. 2.</w:t>
      </w:r>
    </w:p>
    <w:p w:rsidR="007D461E" w:rsidRDefault="007D461E" w:rsidP="007D461E">
      <w:pPr>
        <w:pStyle w:val="SangriaFrancesaArticulo"/>
      </w:pPr>
      <w:r w:rsidRPr="007D461E">
        <w:rPr>
          <w:rStyle w:val="TextoNormalNegritaCaracter"/>
        </w:rPr>
        <w:t>Artículo 194.2.</w:t>
      </w:r>
      <w:r w:rsidRPr="007D461E">
        <w:rPr>
          <w:rStyle w:val="TextoNormalCaracter"/>
        </w:rPr>
        <w:t>-</w:t>
      </w:r>
      <w:r>
        <w:t xml:space="preserve"> Sentencia </w:t>
      </w:r>
      <w:hyperlink w:anchor="SENTENCIA_1997_93" w:history="1">
        <w:r w:rsidRPr="007D461E">
          <w:rPr>
            <w:rStyle w:val="TextoNormalCaracter"/>
          </w:rPr>
          <w:t>93/1997</w:t>
        </w:r>
      </w:hyperlink>
      <w:r>
        <w:t>, ff. 3, 4.</w:t>
      </w:r>
    </w:p>
    <w:p w:rsidR="007D461E" w:rsidRDefault="007D461E" w:rsidP="007D461E">
      <w:pPr>
        <w:pStyle w:val="SangriaFrancesaArticulo"/>
      </w:pPr>
      <w:r w:rsidRPr="007D461E">
        <w:rPr>
          <w:rStyle w:val="TextoNormalNegritaCaracter"/>
        </w:rPr>
        <w:t>Artículo 205.</w:t>
      </w:r>
      <w:r w:rsidRPr="007D461E">
        <w:rPr>
          <w:rStyle w:val="TextoNormalCaracter"/>
        </w:rPr>
        <w:t>-</w:t>
      </w:r>
      <w:r>
        <w:t xml:space="preserve"> Sentencia </w:t>
      </w:r>
      <w:hyperlink w:anchor="SENTENCIA_1997_132" w:history="1">
        <w:r w:rsidRPr="007D461E">
          <w:rPr>
            <w:rStyle w:val="TextoNormalCaracter"/>
          </w:rPr>
          <w:t>132/1997</w:t>
        </w:r>
      </w:hyperlink>
      <w:r>
        <w:t>, f.4, VP.</w:t>
      </w:r>
    </w:p>
    <w:p w:rsidR="007D461E" w:rsidRDefault="007D461E" w:rsidP="007D461E">
      <w:pPr>
        <w:pStyle w:val="SangriaFrancesaArticulo"/>
      </w:pPr>
      <w:r w:rsidRPr="007D461E">
        <w:rPr>
          <w:rStyle w:val="TextoNormalNegritaCaracter"/>
        </w:rPr>
        <w:t>Artículo 222.</w:t>
      </w:r>
      <w:r w:rsidRPr="007D461E">
        <w:rPr>
          <w:rStyle w:val="TextoNormalCaracter"/>
        </w:rPr>
        <w:t>-</w:t>
      </w:r>
      <w:r>
        <w:t xml:space="preserve"> Sentencia </w:t>
      </w:r>
      <w:hyperlink w:anchor="SENTENCIA_1997_132" w:history="1">
        <w:r w:rsidRPr="007D461E">
          <w:rPr>
            <w:rStyle w:val="TextoNormalCaracter"/>
          </w:rPr>
          <w:t>132/1997</w:t>
        </w:r>
      </w:hyperlink>
      <w:r>
        <w:t>, f. 4, VP.</w:t>
      </w:r>
    </w:p>
    <w:p w:rsidR="007D461E" w:rsidRDefault="007D461E" w:rsidP="007D461E">
      <w:pPr>
        <w:pStyle w:val="SangriaFrancesaArticulo"/>
      </w:pPr>
      <w:r w:rsidRPr="007D461E">
        <w:rPr>
          <w:rStyle w:val="TextoNormalNegritaCaracter"/>
        </w:rPr>
        <w:t>Artículo 223.1.</w:t>
      </w:r>
      <w:r w:rsidRPr="007D461E">
        <w:rPr>
          <w:rStyle w:val="TextoNormalCaracter"/>
        </w:rPr>
        <w:t>-</w:t>
      </w:r>
      <w:r>
        <w:t xml:space="preserve"> Sentencia </w:t>
      </w:r>
      <w:hyperlink w:anchor="SENTENCIA_1997_132" w:history="1">
        <w:r w:rsidRPr="007D461E">
          <w:rPr>
            <w:rStyle w:val="TextoNormalCaracter"/>
          </w:rPr>
          <w:t>132/1997</w:t>
        </w:r>
      </w:hyperlink>
      <w:r>
        <w:t>, ff. 1, 3.</w:t>
      </w:r>
    </w:p>
    <w:p w:rsidR="007D461E" w:rsidRDefault="007D461E" w:rsidP="007D461E">
      <w:pPr>
        <w:pStyle w:val="SangriaFrancesaArticulo"/>
      </w:pPr>
      <w:r w:rsidRPr="007D461E">
        <w:rPr>
          <w:rStyle w:val="TextoNormalNegritaCaracter"/>
        </w:rPr>
        <w:t>Artículo 225.1.</w:t>
      </w:r>
      <w:r w:rsidRPr="007D461E">
        <w:rPr>
          <w:rStyle w:val="TextoNormalCaracter"/>
        </w:rPr>
        <w:t>-</w:t>
      </w:r>
      <w:r>
        <w:t xml:space="preserve"> Sentencia </w:t>
      </w:r>
      <w:hyperlink w:anchor="SENTENCIA_1997_132" w:history="1">
        <w:r w:rsidRPr="007D461E">
          <w:rPr>
            <w:rStyle w:val="TextoNormalCaracter"/>
          </w:rPr>
          <w:t>132/1997</w:t>
        </w:r>
      </w:hyperlink>
      <w:r>
        <w:t>, f. 6.</w:t>
      </w:r>
    </w:p>
    <w:p w:rsidR="007D461E" w:rsidRDefault="007D461E" w:rsidP="007D461E">
      <w:pPr>
        <w:pStyle w:val="SangriaFrancesaArticulo"/>
      </w:pPr>
      <w:r w:rsidRPr="007D461E">
        <w:rPr>
          <w:rStyle w:val="TextoNormalNegritaCaracter"/>
        </w:rPr>
        <w:t>Artículo 229.</w:t>
      </w:r>
      <w:r w:rsidRPr="007D461E">
        <w:rPr>
          <w:rStyle w:val="TextoNormalCaracter"/>
        </w:rPr>
        <w:t>-</w:t>
      </w:r>
      <w:r>
        <w:t xml:space="preserve"> Sentencia </w:t>
      </w:r>
      <w:hyperlink w:anchor="SENTENCIA_1997_113" w:history="1">
        <w:r w:rsidRPr="007D461E">
          <w:rPr>
            <w:rStyle w:val="TextoNormalCaracter"/>
          </w:rPr>
          <w:t>113/1997</w:t>
        </w:r>
      </w:hyperlink>
      <w:r>
        <w:t>, f. 1.</w:t>
      </w:r>
    </w:p>
    <w:p w:rsidR="007D461E" w:rsidRDefault="007D461E" w:rsidP="007D461E">
      <w:pPr>
        <w:pStyle w:val="TextoNormal"/>
      </w:pPr>
    </w:p>
    <w:p w:rsidR="007D461E" w:rsidRDefault="007D461E" w:rsidP="007D461E">
      <w:pPr>
        <w:pStyle w:val="SangriaFrancesaArticulo"/>
      </w:pPr>
      <w:bookmarkStart w:id="239" w:name="INDICE22848"/>
    </w:p>
    <w:bookmarkEnd w:id="239"/>
    <w:p w:rsidR="007D461E" w:rsidRDefault="007D461E" w:rsidP="007D461E">
      <w:pPr>
        <w:pStyle w:val="TextoIndiceNivel2"/>
        <w:suppressAutoHyphens/>
      </w:pPr>
      <w:r>
        <w:t>G) Reales Decretos-leyes</w:t>
      </w:r>
    </w:p>
    <w:p w:rsidR="007D461E" w:rsidRDefault="007D461E" w:rsidP="007D461E">
      <w:pPr>
        <w:pStyle w:val="TextoIndiceNivel2"/>
      </w:pPr>
    </w:p>
    <w:p w:rsidR="007D461E" w:rsidRDefault="007D461E" w:rsidP="007D461E">
      <w:pPr>
        <w:pStyle w:val="TextoNormalNegritaCursivandice"/>
      </w:pPr>
      <w:r>
        <w:t>Real Decreto-ley 1/1997, de 31 de enero. Incorporación al Derecho español de la Directiva 95/47/CE, de 24 de octubre, de la Comisión Europea, sobre el uso de normas para la transmisión de señales de televisión, y se aprueban medidas adicionales para la liberalización del sector</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Artículo 3.</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r w:rsidRPr="007D461E">
        <w:rPr>
          <w:rStyle w:val="TextoNormalNegritaCaracter"/>
        </w:rPr>
        <w:t>Disposición Adicional Unica.</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TextoNormal"/>
      </w:pPr>
    </w:p>
    <w:p w:rsidR="007D461E" w:rsidRDefault="007D461E" w:rsidP="007D461E">
      <w:pPr>
        <w:pStyle w:val="SangriaFrancesaArticulo"/>
      </w:pPr>
      <w:bookmarkStart w:id="240" w:name="INDICE22849"/>
    </w:p>
    <w:bookmarkEnd w:id="240"/>
    <w:p w:rsidR="007D461E" w:rsidRDefault="007D461E" w:rsidP="007D461E">
      <w:pPr>
        <w:pStyle w:val="TextoIndiceNivel2"/>
        <w:suppressAutoHyphens/>
      </w:pPr>
      <w:r>
        <w:t>H) Reales Decretos y otras disposiciones generales del Estado</w:t>
      </w:r>
    </w:p>
    <w:p w:rsidR="007D461E" w:rsidRDefault="007D461E" w:rsidP="007D461E">
      <w:pPr>
        <w:pStyle w:val="TextoIndiceNivel2"/>
      </w:pPr>
    </w:p>
    <w:p w:rsidR="007D461E" w:rsidRDefault="007D461E" w:rsidP="007D461E">
      <w:pPr>
        <w:pStyle w:val="TextoNormalNegritaCursivandice"/>
      </w:pPr>
      <w:r>
        <w:t>Real Decreto 1324/1979, de 4 de abril. Adapta el estatuto orgánico de la profesión de Gestor Administrativo a la Ley 74/1978, de 26 de diciembre</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p>
    <w:p w:rsidR="007D461E" w:rsidRDefault="007D461E" w:rsidP="007D461E">
      <w:pPr>
        <w:pStyle w:val="TextoNormalNegritaCursivandice"/>
      </w:pPr>
      <w:r>
        <w:t>Real Decreto 2207/1979, de 13 de julio. Estatutos del Colegio nacional de ópticos</w:t>
      </w:r>
    </w:p>
    <w:p w:rsidR="007D461E" w:rsidRDefault="007D461E" w:rsidP="007D461E">
      <w:pPr>
        <w:pStyle w:val="SangriaFrancesaArticulo"/>
      </w:pPr>
      <w:r w:rsidRPr="007D461E">
        <w:rPr>
          <w:rStyle w:val="TextoNormalNegritaCaracter"/>
        </w:rPr>
        <w:t>Artículo 3.</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lastRenderedPageBreak/>
        <w:t>Real Decreto 602/1980, de 21 de marzo. Títulos nobiliarios y Grandezas. Modifica Real Decreto de 8 de julio de 1922, sobre rehabilitación</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p>
    <w:p w:rsidR="007D461E" w:rsidRDefault="007D461E" w:rsidP="007D461E">
      <w:pPr>
        <w:pStyle w:val="TextoNormalNegritaCursivandice"/>
      </w:pPr>
      <w:r>
        <w:t>Real Decreto 1847/1980, de 5 de septiembre. Regulación de la información financiera de las Entidades emisoras de títulos-valores que están, o pretenden estar, admitidos a cotización oficial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 4.</w:t>
      </w:r>
    </w:p>
    <w:p w:rsidR="007D461E" w:rsidRDefault="007D461E" w:rsidP="007D461E">
      <w:pPr>
        <w:pStyle w:val="SangriaFrancesaArticulo"/>
      </w:pPr>
    </w:p>
    <w:p w:rsidR="007D461E" w:rsidRDefault="007D461E" w:rsidP="007D461E">
      <w:pPr>
        <w:pStyle w:val="TextoNormalNegritaCursivandice"/>
      </w:pPr>
      <w:r>
        <w:t>Real Decreto 569/1981, de 27 de marzo. Prorroga el plazo concedido por la disposición transitoria del Real Decreto 602/1980, de 21 de marzo, que modificaba el Real Decreto de 8 de julio de 1922, sobre rehabilitación de Títulos nobiliarios y Grandezas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p>
    <w:p w:rsidR="007D461E" w:rsidRDefault="007D461E" w:rsidP="007D461E">
      <w:pPr>
        <w:pStyle w:val="TextoNormalNegritaCursivandice"/>
      </w:pPr>
      <w:r>
        <w:t>Real Decreto 1201/1981, de 8 de mayo. Reglamento penitenciario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8" w:history="1">
        <w:r w:rsidRPr="007D461E">
          <w:rPr>
            <w:rStyle w:val="TextoNormalCaracter"/>
          </w:rPr>
          <w:t>128/1997</w:t>
        </w:r>
      </w:hyperlink>
      <w:r>
        <w:t>, VP.</w:t>
      </w:r>
    </w:p>
    <w:p w:rsidR="007D461E" w:rsidRDefault="007D461E" w:rsidP="007D461E">
      <w:pPr>
        <w:pStyle w:val="SangriaFrancesaArticulo"/>
      </w:pPr>
      <w:r w:rsidRPr="007D461E">
        <w:rPr>
          <w:rStyle w:val="TextoNormalNegritaCaracter"/>
        </w:rPr>
        <w:t>Artículo 46.</w:t>
      </w:r>
      <w:r w:rsidRPr="007D461E">
        <w:rPr>
          <w:rStyle w:val="TextoNormalCaracter"/>
        </w:rPr>
        <w:t>-</w:t>
      </w:r>
      <w:r>
        <w:t xml:space="preserve"> Sentencia </w:t>
      </w:r>
      <w:hyperlink w:anchor="SENTENCIA_1997_128" w:history="1">
        <w:r w:rsidRPr="007D461E">
          <w:rPr>
            <w:rStyle w:val="TextoNormalCaracter"/>
          </w:rPr>
          <w:t>128/1997</w:t>
        </w:r>
      </w:hyperlink>
      <w:r>
        <w:t>, f. 2.</w:t>
      </w:r>
    </w:p>
    <w:p w:rsidR="007D461E" w:rsidRDefault="007D461E" w:rsidP="007D461E">
      <w:pPr>
        <w:pStyle w:val="SangriaFrancesaArticulo"/>
      </w:pPr>
      <w:r w:rsidRPr="007D461E">
        <w:rPr>
          <w:rStyle w:val="TextoNormalNegritaCaracter"/>
        </w:rPr>
        <w:t>Artículo 91.</w:t>
      </w:r>
      <w:r w:rsidRPr="007D461E">
        <w:rPr>
          <w:rStyle w:val="TextoNormalCaracter"/>
        </w:rPr>
        <w:t>-</w:t>
      </w:r>
      <w:r>
        <w:t xml:space="preserve"> Sentencia </w:t>
      </w:r>
      <w:hyperlink w:anchor="SENTENCIA_1997_128" w:history="1">
        <w:r w:rsidRPr="007D461E">
          <w:rPr>
            <w:rStyle w:val="TextoNormalCaracter"/>
          </w:rPr>
          <w:t>128/1997</w:t>
        </w:r>
      </w:hyperlink>
      <w:r>
        <w:t>, f. 2.</w:t>
      </w:r>
    </w:p>
    <w:p w:rsidR="007D461E" w:rsidRDefault="007D461E" w:rsidP="007D461E">
      <w:pPr>
        <w:pStyle w:val="SangriaFrancesaArticulo"/>
      </w:pPr>
    </w:p>
    <w:p w:rsidR="007D461E" w:rsidRDefault="007D461E" w:rsidP="007D461E">
      <w:pPr>
        <w:pStyle w:val="TextoNormalNegritaCursivandice"/>
      </w:pPr>
      <w:r>
        <w:t>Real Decreto 2090/1982, de 24 de julio. Estatuto general de la abogacía española</w:t>
      </w:r>
    </w:p>
    <w:p w:rsidR="007D461E" w:rsidRDefault="007D461E" w:rsidP="007D461E">
      <w:pPr>
        <w:pStyle w:val="SangriaFrancesaArticulo"/>
      </w:pPr>
      <w:r w:rsidRPr="007D461E">
        <w:rPr>
          <w:rStyle w:val="TextoNormalNegritaCaracter"/>
        </w:rPr>
        <w:t>Artículo 9.</w:t>
      </w:r>
      <w:r w:rsidRPr="007D461E">
        <w:rPr>
          <w:rStyle w:val="TextoNormalCaracter"/>
        </w:rPr>
        <w:t>-</w:t>
      </w:r>
      <w:r>
        <w:t xml:space="preserve"> Sentencia </w:t>
      </w:r>
      <w:hyperlink w:anchor="SENTENCIA_1997_130" w:history="1">
        <w:r w:rsidRPr="007D461E">
          <w:rPr>
            <w:rStyle w:val="TextoNormalCaracter"/>
          </w:rPr>
          <w:t>130/1997</w:t>
        </w:r>
      </w:hyperlink>
      <w:r>
        <w:t>, ff. 1, 5.</w:t>
      </w:r>
    </w:p>
    <w:p w:rsidR="007D461E" w:rsidRDefault="007D461E" w:rsidP="007D461E">
      <w:pPr>
        <w:pStyle w:val="SangriaFrancesaArticulo"/>
      </w:pPr>
      <w:r w:rsidRPr="007D461E">
        <w:rPr>
          <w:rStyle w:val="TextoNormalNegritaCaracter"/>
        </w:rPr>
        <w:t>Artículo 10.</w:t>
      </w:r>
      <w:r w:rsidRPr="007D461E">
        <w:rPr>
          <w:rStyle w:val="TextoNormalCaracter"/>
        </w:rPr>
        <w:t>-</w:t>
      </w:r>
      <w:r>
        <w:t xml:space="preserve"> Sentencia </w:t>
      </w:r>
      <w:hyperlink w:anchor="SENTENCIA_1997_130" w:history="1">
        <w:r w:rsidRPr="007D461E">
          <w:rPr>
            <w:rStyle w:val="TextoNormalCaracter"/>
          </w:rPr>
          <w:t>130/1997</w:t>
        </w:r>
      </w:hyperlink>
      <w:r>
        <w:t>, ff. 1, 5.</w:t>
      </w:r>
    </w:p>
    <w:p w:rsidR="007D461E" w:rsidRDefault="007D461E" w:rsidP="007D461E">
      <w:pPr>
        <w:pStyle w:val="SangriaFrancesaArticulo"/>
      </w:pPr>
    </w:p>
    <w:p w:rsidR="007D461E" w:rsidRDefault="007D461E" w:rsidP="007D461E">
      <w:pPr>
        <w:pStyle w:val="TextoNormalNegritaCursivandice"/>
      </w:pPr>
      <w:r>
        <w:t>Real Decreto 3215/1982, de 12 de noviembre. Modifica diversos artículos del Reglamento Hipotecario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148" w:history="1">
        <w:r w:rsidRPr="007D461E">
          <w:rPr>
            <w:rStyle w:val="TextoNormalCaracter"/>
          </w:rPr>
          <w:t>148/1997</w:t>
        </w:r>
      </w:hyperlink>
      <w:r>
        <w:t>.</w:t>
      </w:r>
    </w:p>
    <w:p w:rsidR="007D461E" w:rsidRDefault="007D461E" w:rsidP="007D461E">
      <w:pPr>
        <w:pStyle w:val="SangriaFrancesaArticulo"/>
      </w:pPr>
    </w:p>
    <w:p w:rsidR="007D461E" w:rsidRDefault="007D461E" w:rsidP="007D461E">
      <w:pPr>
        <w:pStyle w:val="TextoNormalNegritaCursivandice"/>
      </w:pPr>
      <w:r>
        <w:t>Real Decreto 33/1986, de 10 de enero. Reglamento de régimen disciplinario de los funcionarios públicos de la Administración del Estado</w:t>
      </w:r>
    </w:p>
    <w:p w:rsidR="007D461E" w:rsidRDefault="007D461E" w:rsidP="007D461E">
      <w:pPr>
        <w:pStyle w:val="SangriaFrancesaArticulo"/>
      </w:pPr>
      <w:r w:rsidRPr="007D461E">
        <w:rPr>
          <w:rStyle w:val="TextoNormalNegritaCaracter"/>
        </w:rPr>
        <w:t>Artículo 7 e).</w:t>
      </w:r>
      <w:r w:rsidRPr="007D461E">
        <w:rPr>
          <w:rStyle w:val="TextoNormalCaracter"/>
        </w:rPr>
        <w:t>-</w:t>
      </w:r>
      <w:r>
        <w:t xml:space="preserve"> Sentencia </w:t>
      </w:r>
      <w:hyperlink w:anchor="SENTENCIA_1997_94" w:history="1">
        <w:r w:rsidRPr="007D461E">
          <w:rPr>
            <w:rStyle w:val="TextoNormalCaracter"/>
          </w:rPr>
          <w:t>94/1997</w:t>
        </w:r>
      </w:hyperlink>
      <w:r>
        <w:t>, f. 1.</w:t>
      </w:r>
    </w:p>
    <w:p w:rsidR="007D461E" w:rsidRDefault="007D461E" w:rsidP="007D461E">
      <w:pPr>
        <w:pStyle w:val="SangriaFrancesaArticulo"/>
      </w:pPr>
      <w:r w:rsidRPr="007D461E">
        <w:rPr>
          <w:rStyle w:val="TextoNormalNegritaCaracter"/>
        </w:rPr>
        <w:t>Artículo 7 l).</w:t>
      </w:r>
      <w:r w:rsidRPr="007D461E">
        <w:rPr>
          <w:rStyle w:val="TextoNormalCaracter"/>
        </w:rPr>
        <w:t>-</w:t>
      </w:r>
      <w:r>
        <w:t xml:space="preserve"> Sentencia </w:t>
      </w:r>
      <w:hyperlink w:anchor="SENTENCIA_1997_94" w:history="1">
        <w:r w:rsidRPr="007D461E">
          <w:rPr>
            <w:rStyle w:val="TextoNormalCaracter"/>
          </w:rPr>
          <w:t>94/1997</w:t>
        </w:r>
      </w:hyperlink>
      <w:r>
        <w:t>, f. 1.</w:t>
      </w:r>
    </w:p>
    <w:p w:rsidR="007D461E" w:rsidRDefault="007D461E" w:rsidP="007D461E">
      <w:pPr>
        <w:pStyle w:val="SangriaFrancesaArticulo"/>
      </w:pPr>
      <w:r w:rsidRPr="007D461E">
        <w:rPr>
          <w:rStyle w:val="TextoNormalNegritaCaracter"/>
        </w:rPr>
        <w:t>Artículo 30.</w:t>
      </w:r>
      <w:r w:rsidRPr="007D461E">
        <w:rPr>
          <w:rStyle w:val="TextoNormalCaracter"/>
        </w:rPr>
        <w:t>-</w:t>
      </w:r>
      <w:r>
        <w:t xml:space="preserve"> Sentencia </w:t>
      </w:r>
      <w:hyperlink w:anchor="SENTENCIA_1997_94" w:history="1">
        <w:r w:rsidRPr="007D461E">
          <w:rPr>
            <w:rStyle w:val="TextoNormalCaracter"/>
          </w:rPr>
          <w:t>94/1997</w:t>
        </w:r>
      </w:hyperlink>
      <w:r>
        <w:t>, f. 3.</w:t>
      </w:r>
    </w:p>
    <w:p w:rsidR="007D461E" w:rsidRDefault="007D461E" w:rsidP="007D461E">
      <w:pPr>
        <w:pStyle w:val="SangriaFrancesaArticulo"/>
      </w:pPr>
    </w:p>
    <w:p w:rsidR="007D461E" w:rsidRDefault="007D461E" w:rsidP="007D461E">
      <w:pPr>
        <w:pStyle w:val="TextoNormalNegritaCursivandice"/>
      </w:pPr>
      <w:r>
        <w:t>Real Decreto 716/1986, de 7 de marzo. Reglamento General de Recaudación de la Seguridad Social</w:t>
      </w:r>
    </w:p>
    <w:p w:rsidR="007D461E" w:rsidRDefault="007D461E" w:rsidP="007D461E">
      <w:pPr>
        <w:pStyle w:val="SangriaFrancesaArticulo"/>
      </w:pPr>
      <w:r w:rsidRPr="007D461E">
        <w:rPr>
          <w:rStyle w:val="TextoNormalNegritaCaracter"/>
        </w:rPr>
        <w:t>Artículo 103.</w:t>
      </w:r>
      <w:r w:rsidRPr="007D461E">
        <w:rPr>
          <w:rStyle w:val="TextoNormalCaracter"/>
        </w:rPr>
        <w:t>-</w:t>
      </w:r>
      <w:r>
        <w:t xml:space="preserve"> Sentencia </w:t>
      </w:r>
      <w:hyperlink w:anchor="SENTENCIA_1997_139" w:history="1">
        <w:r w:rsidRPr="007D461E">
          <w:rPr>
            <w:rStyle w:val="TextoNormalCaracter"/>
          </w:rPr>
          <w:t>139/1997</w:t>
        </w:r>
      </w:hyperlink>
      <w:r>
        <w:t>, f. 3.</w:t>
      </w:r>
    </w:p>
    <w:p w:rsidR="007D461E" w:rsidRDefault="007D461E" w:rsidP="007D461E">
      <w:pPr>
        <w:pStyle w:val="SangriaFrancesaArticulo"/>
      </w:pPr>
      <w:r w:rsidRPr="007D461E">
        <w:rPr>
          <w:rStyle w:val="TextoNormalNegritaCaracter"/>
        </w:rPr>
        <w:t>Artículo 103 a).</w:t>
      </w:r>
      <w:r w:rsidRPr="007D461E">
        <w:rPr>
          <w:rStyle w:val="TextoNormalCaracter"/>
        </w:rPr>
        <w:t>-</w:t>
      </w:r>
      <w:r>
        <w:t xml:space="preserve"> Sentencia </w:t>
      </w:r>
      <w:hyperlink w:anchor="SENTENCIA_1997_139" w:history="1">
        <w:r w:rsidRPr="007D461E">
          <w:rPr>
            <w:rStyle w:val="TextoNormalCaracter"/>
          </w:rPr>
          <w:t>139/1997</w:t>
        </w:r>
      </w:hyperlink>
      <w:r>
        <w:t>, f. 3.</w:t>
      </w:r>
    </w:p>
    <w:p w:rsidR="007D461E" w:rsidRDefault="007D461E" w:rsidP="007D461E">
      <w:pPr>
        <w:pStyle w:val="SangriaFrancesaArticulo"/>
      </w:pPr>
    </w:p>
    <w:p w:rsidR="007D461E" w:rsidRDefault="007D461E" w:rsidP="007D461E">
      <w:pPr>
        <w:pStyle w:val="TextoNormalNegritaCursivandice"/>
      </w:pPr>
      <w:r>
        <w:t>Real Decreto 2568/1986, de 28 de noviembre. Reglamento de organización, funcionamiento y régimen jurídico de las entidades locales</w:t>
      </w:r>
    </w:p>
    <w:p w:rsidR="007D461E" w:rsidRDefault="007D461E" w:rsidP="007D461E">
      <w:pPr>
        <w:pStyle w:val="SangriaFrancesaArticulo"/>
      </w:pPr>
      <w:r w:rsidRPr="007D461E">
        <w:rPr>
          <w:rStyle w:val="TextoNormalNegritaCaracter"/>
        </w:rPr>
        <w:t>Artículo 182.</w:t>
      </w:r>
      <w:r w:rsidRPr="007D461E">
        <w:rPr>
          <w:rStyle w:val="TextoNormalCaracter"/>
        </w:rPr>
        <w:t>-</w:t>
      </w:r>
      <w:r>
        <w:t xml:space="preserve"> Sentencia </w:t>
      </w:r>
      <w:hyperlink w:anchor="SENTENCIA_1997_94" w:history="1">
        <w:r w:rsidRPr="007D461E">
          <w:rPr>
            <w:rStyle w:val="TextoNormalCaracter"/>
          </w:rPr>
          <w:t>94/1997</w:t>
        </w:r>
      </w:hyperlink>
      <w:r>
        <w:t>, f. 3.</w:t>
      </w:r>
    </w:p>
    <w:p w:rsidR="007D461E" w:rsidRDefault="007D461E" w:rsidP="007D461E">
      <w:pPr>
        <w:pStyle w:val="SangriaFrancesaArticulo"/>
      </w:pPr>
    </w:p>
    <w:p w:rsidR="007D461E" w:rsidRDefault="007D461E" w:rsidP="007D461E">
      <w:pPr>
        <w:pStyle w:val="TextoNormalNegritaCursivandice"/>
      </w:pPr>
      <w:r>
        <w:t>Real Decreto 1369/1987, de 18 de septiembre. Crea el sistema nacional de compensación electrónica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p>
    <w:p w:rsidR="007D461E" w:rsidRDefault="007D461E" w:rsidP="007D461E">
      <w:pPr>
        <w:pStyle w:val="TextoNormalNegritaCursivandice"/>
      </w:pPr>
      <w:r>
        <w:t>Real Decreto 1368/1987, de 6 de noviembre. Régimen de títulos, tratamientos y honores de la Familia Real y de los Regentes</w:t>
      </w:r>
    </w:p>
    <w:p w:rsidR="007D461E" w:rsidRDefault="007D461E" w:rsidP="007D461E">
      <w:pPr>
        <w:pStyle w:val="SangriaFrancesaArticulo"/>
      </w:pPr>
      <w:r w:rsidRPr="007D461E">
        <w:rPr>
          <w:rStyle w:val="TextoNormalNegritaCaracter"/>
        </w:rPr>
        <w:t>Artículo 6.</w:t>
      </w:r>
      <w:r w:rsidRPr="007D461E">
        <w:rPr>
          <w:rStyle w:val="TextoNormalCaracter"/>
        </w:rPr>
        <w:t>-</w:t>
      </w:r>
      <w:r>
        <w:t xml:space="preserve"> Sentencia </w:t>
      </w:r>
      <w:hyperlink w:anchor="SENTENCIA_1997_126" w:history="1">
        <w:r w:rsidRPr="007D461E">
          <w:rPr>
            <w:rStyle w:val="TextoNormalCaracter"/>
          </w:rPr>
          <w:t>126/1997</w:t>
        </w:r>
      </w:hyperlink>
      <w:r>
        <w:t>, f. 7.</w:t>
      </w:r>
    </w:p>
    <w:p w:rsidR="007D461E" w:rsidRDefault="007D461E" w:rsidP="007D461E">
      <w:pPr>
        <w:pStyle w:val="SangriaFrancesaArticulo"/>
      </w:pPr>
    </w:p>
    <w:p w:rsidR="007D461E" w:rsidRDefault="007D461E" w:rsidP="007D461E">
      <w:pPr>
        <w:pStyle w:val="TextoNormalNegritaCursivandice"/>
      </w:pPr>
      <w:r>
        <w:t>Real Decreto 236/1988, de 4 de marzo. Indemnizaciones por razón del servicio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11" w:history="1">
        <w:r w:rsidRPr="007D461E">
          <w:rPr>
            <w:rStyle w:val="TextoNormalCaracter"/>
          </w:rPr>
          <w:t>111/1997</w:t>
        </w:r>
      </w:hyperlink>
      <w:r>
        <w:t>, f. 3.</w:t>
      </w:r>
    </w:p>
    <w:p w:rsidR="007D461E" w:rsidRDefault="007D461E" w:rsidP="007D461E">
      <w:pPr>
        <w:pStyle w:val="SangriaFrancesaArticulo"/>
      </w:pPr>
    </w:p>
    <w:p w:rsidR="007D461E" w:rsidRDefault="007D461E" w:rsidP="007D461E">
      <w:pPr>
        <w:pStyle w:val="TextoNormalNegritaCursivandice"/>
      </w:pPr>
      <w:r>
        <w:t>Real Decreto 222/1988, de 11 de marzo. Modifica los Reales Decretos de 27 de mayo de 1912 y 8 de julio de 1922 en materia de Rehabilitación de Títulos Nobiliarios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p>
    <w:p w:rsidR="007D461E" w:rsidRDefault="007D461E" w:rsidP="007D461E">
      <w:pPr>
        <w:pStyle w:val="TextoNormalNegritaCursivandice"/>
      </w:pPr>
      <w:r>
        <w:t>Real Decreto 295/1988, de 25 de marzo. Convenio de Cooperación entre los Ministerios de Educación y Ciencia y de Defensa sobre régimen, promoción y funcionamiento de Centros de Enseñanza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4" w:history="1">
        <w:r w:rsidRPr="007D461E">
          <w:rPr>
            <w:rStyle w:val="TextoNormalCaracter"/>
          </w:rPr>
          <w:t>134/1997</w:t>
        </w:r>
      </w:hyperlink>
      <w:r>
        <w:t>, ff. 1, 3 a 5.</w:t>
      </w:r>
    </w:p>
    <w:p w:rsidR="007D461E" w:rsidRDefault="007D461E" w:rsidP="007D461E">
      <w:pPr>
        <w:pStyle w:val="SangriaFrancesaArticulo"/>
      </w:pPr>
      <w:r w:rsidRPr="007D461E">
        <w:rPr>
          <w:rStyle w:val="TextoNormalNegritaCaracter"/>
        </w:rPr>
        <w:t>Preámbulo.</w:t>
      </w:r>
      <w:r w:rsidRPr="007D461E">
        <w:rPr>
          <w:rStyle w:val="TextoNormalCaracter"/>
        </w:rPr>
        <w:t>-</w:t>
      </w:r>
      <w:r>
        <w:t xml:space="preserve"> Sentencia </w:t>
      </w:r>
      <w:hyperlink w:anchor="SENTENCIA_1997_134" w:history="1">
        <w:r w:rsidRPr="007D461E">
          <w:rPr>
            <w:rStyle w:val="TextoNormalCaracter"/>
          </w:rPr>
          <w:t>134/1997</w:t>
        </w:r>
      </w:hyperlink>
      <w:r>
        <w:t>, ff. 1, 4, 5.</w:t>
      </w:r>
    </w:p>
    <w:p w:rsidR="007D461E" w:rsidRDefault="007D461E" w:rsidP="007D461E">
      <w:pPr>
        <w:pStyle w:val="SangriaFrancesaArticulo"/>
      </w:pPr>
      <w:r w:rsidRPr="007D461E">
        <w:rPr>
          <w:rStyle w:val="TextoNormalNegritaCaracter"/>
        </w:rPr>
        <w:t>Cláusula cuarta.</w:t>
      </w:r>
      <w:r w:rsidRPr="007D461E">
        <w:rPr>
          <w:rStyle w:val="TextoNormalCaracter"/>
        </w:rPr>
        <w:t>-</w:t>
      </w:r>
      <w:r>
        <w:t xml:space="preserve"> Sentencia </w:t>
      </w:r>
      <w:hyperlink w:anchor="SENTENCIA_1997_134" w:history="1">
        <w:r w:rsidRPr="007D461E">
          <w:rPr>
            <w:rStyle w:val="TextoNormalCaracter"/>
          </w:rPr>
          <w:t>134/1997</w:t>
        </w:r>
      </w:hyperlink>
      <w:r>
        <w:t>, f. 4.</w:t>
      </w:r>
    </w:p>
    <w:p w:rsidR="007D461E" w:rsidRDefault="007D461E" w:rsidP="007D461E">
      <w:pPr>
        <w:pStyle w:val="SangriaFrancesaArticulo"/>
      </w:pPr>
      <w:r w:rsidRPr="007D461E">
        <w:rPr>
          <w:rStyle w:val="TextoNormalNegritaCaracter"/>
        </w:rPr>
        <w:t>Cláusula cuarta, 1.</w:t>
      </w:r>
      <w:r w:rsidRPr="007D461E">
        <w:rPr>
          <w:rStyle w:val="TextoNormalCaracter"/>
        </w:rPr>
        <w:t>-</w:t>
      </w:r>
      <w:r>
        <w:t xml:space="preserve"> Sentencia </w:t>
      </w:r>
      <w:hyperlink w:anchor="SENTENCIA_1997_134" w:history="1">
        <w:r w:rsidRPr="007D461E">
          <w:rPr>
            <w:rStyle w:val="TextoNormalCaracter"/>
          </w:rPr>
          <w:t>134/1997</w:t>
        </w:r>
      </w:hyperlink>
      <w:r>
        <w:t>, f. 5.</w:t>
      </w:r>
    </w:p>
    <w:p w:rsidR="007D461E" w:rsidRDefault="007D461E" w:rsidP="007D461E">
      <w:pPr>
        <w:pStyle w:val="SangriaFrancesaArticulo"/>
      </w:pPr>
      <w:r w:rsidRPr="007D461E">
        <w:rPr>
          <w:rStyle w:val="TextoNormalNegritaCaracter"/>
        </w:rPr>
        <w:t>Cláusula cuarta, 3.</w:t>
      </w:r>
      <w:r w:rsidRPr="007D461E">
        <w:rPr>
          <w:rStyle w:val="TextoNormalCaracter"/>
        </w:rPr>
        <w:t>-</w:t>
      </w:r>
      <w:r>
        <w:t xml:space="preserve"> Sentencia </w:t>
      </w:r>
      <w:hyperlink w:anchor="SENTENCIA_1997_134" w:history="1">
        <w:r w:rsidRPr="007D461E">
          <w:rPr>
            <w:rStyle w:val="TextoNormalCaracter"/>
          </w:rPr>
          <w:t>134/1997</w:t>
        </w:r>
      </w:hyperlink>
      <w:r>
        <w:t>, ff. 1, 5.</w:t>
      </w:r>
    </w:p>
    <w:p w:rsidR="007D461E" w:rsidRDefault="007D461E" w:rsidP="007D461E">
      <w:pPr>
        <w:pStyle w:val="SangriaFrancesaArticulo"/>
      </w:pPr>
    </w:p>
    <w:p w:rsidR="007D461E" w:rsidRDefault="007D461E" w:rsidP="007D461E">
      <w:pPr>
        <w:pStyle w:val="TextoNormalNegritaCursivandice"/>
      </w:pPr>
      <w:r>
        <w:t>Real Decreto 311/1988, de 30 de marzo. Retribuciones del Personal de las Fuerzas y Cuerpos de seguridad del Estado</w:t>
      </w:r>
    </w:p>
    <w:p w:rsidR="007D461E" w:rsidRDefault="007D461E" w:rsidP="007D461E">
      <w:pPr>
        <w:pStyle w:val="SangriaFrancesaArticulo"/>
      </w:pPr>
      <w:r w:rsidRPr="007D461E">
        <w:rPr>
          <w:rStyle w:val="TextoNormalNegritaCaracter"/>
        </w:rPr>
        <w:t>Artículo 4.IV.</w:t>
      </w:r>
      <w:r w:rsidRPr="007D461E">
        <w:rPr>
          <w:rStyle w:val="TextoNormalCaracter"/>
        </w:rPr>
        <w:t>-</w:t>
      </w:r>
      <w:r>
        <w:t xml:space="preserve"> Sentencia </w:t>
      </w:r>
      <w:hyperlink w:anchor="SENTENCIA_1997_111" w:history="1">
        <w:r w:rsidRPr="007D461E">
          <w:rPr>
            <w:rStyle w:val="TextoNormalCaracter"/>
          </w:rPr>
          <w:t>111/1997</w:t>
        </w:r>
      </w:hyperlink>
      <w:r>
        <w:t>, f. 3.</w:t>
      </w:r>
    </w:p>
    <w:p w:rsidR="007D461E" w:rsidRDefault="007D461E" w:rsidP="007D461E">
      <w:pPr>
        <w:pStyle w:val="SangriaFrancesaArticulo"/>
      </w:pPr>
    </w:p>
    <w:p w:rsidR="007D461E" w:rsidRDefault="007D461E" w:rsidP="007D461E">
      <w:pPr>
        <w:pStyle w:val="TextoNormalNegritaCursivandice"/>
      </w:pPr>
      <w:r>
        <w:t>Real Decreto 276/1989, de 22 de marzo. Sociedades y agencias de valores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ff. 1, 14 a 17.</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1.1.</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4.</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5.</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IzquierdaArticulo"/>
      </w:pPr>
      <w:r>
        <w:t xml:space="preserve">Auto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5.2.</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IzquierdaArticulo"/>
      </w:pPr>
      <w:r>
        <w:t xml:space="preserve">Auto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5.3.</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IzquierdaArticulo"/>
      </w:pPr>
      <w:r>
        <w:t xml:space="preserve">Auto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6.</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IzquierdaArticulo"/>
      </w:pPr>
      <w:r>
        <w:t xml:space="preserve">Auto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6.1.</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6.2.</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7.</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IzquierdaArticulo"/>
      </w:pPr>
      <w:r>
        <w:t xml:space="preserve">Auto </w:t>
      </w:r>
      <w:hyperlink w:anchor="AUTO_1997_279" w:history="1">
        <w:r w:rsidRPr="007D461E">
          <w:rPr>
            <w:rStyle w:val="TextoNormalCaracter"/>
          </w:rPr>
          <w:t>279/1997</w:t>
        </w:r>
      </w:hyperlink>
      <w:r>
        <w:t>.</w:t>
      </w:r>
    </w:p>
    <w:p w:rsidR="007D461E" w:rsidRDefault="007D461E" w:rsidP="007D461E">
      <w:pPr>
        <w:pStyle w:val="SangriaFrancesaArticulo"/>
      </w:pPr>
      <w:r w:rsidRPr="007D461E">
        <w:rPr>
          <w:rStyle w:val="TextoNormalNegritaCaracter"/>
        </w:rPr>
        <w:t>Artículo 9.</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9.1.</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9.3.</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11.1.</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lastRenderedPageBreak/>
        <w:t>Artículo 11.2.</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11.3.</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13.</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15.1.</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15.3.</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16.</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17.</w:t>
      </w:r>
      <w:r w:rsidRPr="007D461E">
        <w:rPr>
          <w:rStyle w:val="TextoNormalCaracter"/>
        </w:rPr>
        <w:t>-</w:t>
      </w:r>
      <w:r>
        <w:t xml:space="preserve"> Sentencia </w:t>
      </w:r>
      <w:hyperlink w:anchor="SENTENCIA_1997_133" w:history="1">
        <w:r w:rsidRPr="007D461E">
          <w:rPr>
            <w:rStyle w:val="TextoNormalCaracter"/>
          </w:rPr>
          <w:t>133/1997</w:t>
        </w:r>
      </w:hyperlink>
      <w:r>
        <w:t>, f. 17.</w:t>
      </w:r>
    </w:p>
    <w:p w:rsidR="007D461E" w:rsidRDefault="007D461E" w:rsidP="007D461E">
      <w:pPr>
        <w:pStyle w:val="SangriaFrancesaArticulo"/>
      </w:pPr>
      <w:r w:rsidRPr="007D461E">
        <w:rPr>
          <w:rStyle w:val="TextoNormalNegritaCaracter"/>
        </w:rPr>
        <w:t>Artículo 17.3.</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18.1.</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r w:rsidRPr="007D461E">
        <w:rPr>
          <w:rStyle w:val="TextoNormalNegritaCaracter"/>
        </w:rPr>
        <w:t>Artículo 21.2.</w:t>
      </w:r>
      <w:r w:rsidRPr="007D461E">
        <w:rPr>
          <w:rStyle w:val="TextoNormalCaracter"/>
        </w:rPr>
        <w:t>-</w:t>
      </w:r>
      <w:r>
        <w:t xml:space="preserve"> Sentencia </w:t>
      </w:r>
      <w:hyperlink w:anchor="SENTENCIA_1997_133" w:history="1">
        <w:r w:rsidRPr="007D461E">
          <w:rPr>
            <w:rStyle w:val="TextoNormalCaracter"/>
          </w:rPr>
          <w:t>133/1997</w:t>
        </w:r>
      </w:hyperlink>
      <w:r>
        <w:t>, ff. 16, 17.</w:t>
      </w:r>
    </w:p>
    <w:p w:rsidR="007D461E" w:rsidRDefault="007D461E" w:rsidP="007D461E">
      <w:pPr>
        <w:pStyle w:val="SangriaFrancesaArticulo"/>
      </w:pPr>
    </w:p>
    <w:p w:rsidR="007D461E" w:rsidRDefault="007D461E" w:rsidP="007D461E">
      <w:pPr>
        <w:pStyle w:val="TextoNormalNegritaCursivandice"/>
      </w:pPr>
      <w:r>
        <w:t>Real Decreto 726/1989, de 23 de junio. Sociedades rectoras y miembros de las Bolsas de valores, Sociedad de bolsas y fianza colectiva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ff. 1, 14 a 16.</w:t>
      </w:r>
    </w:p>
    <w:p w:rsidR="007D461E" w:rsidRDefault="007D461E" w:rsidP="007D461E">
      <w:pPr>
        <w:pStyle w:val="SangriaFrancesaArticulo"/>
      </w:pPr>
      <w:r w:rsidRPr="007D461E">
        <w:rPr>
          <w:rStyle w:val="TextoNormalNegritaCaracter"/>
        </w:rPr>
        <w:t>Artículo 7.</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11.</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14.</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14.1.</w:t>
      </w:r>
      <w:r w:rsidRPr="007D461E">
        <w:rPr>
          <w:rStyle w:val="TextoNormalCaracter"/>
        </w:rPr>
        <w:t>-</w:t>
      </w:r>
      <w:r>
        <w:t xml:space="preserve"> Sentencia </w:t>
      </w:r>
      <w:hyperlink w:anchor="SENTENCIA_1997_133" w:history="1">
        <w:r w:rsidRPr="007D461E">
          <w:rPr>
            <w:rStyle w:val="TextoNormalCaracter"/>
          </w:rPr>
          <w:t>133/1997</w:t>
        </w:r>
      </w:hyperlink>
      <w:r>
        <w:t>, f. 18.</w:t>
      </w:r>
    </w:p>
    <w:p w:rsidR="007D461E" w:rsidRDefault="007D461E" w:rsidP="007D461E">
      <w:pPr>
        <w:pStyle w:val="SangriaFrancesaArticulo"/>
      </w:pPr>
      <w:r w:rsidRPr="007D461E">
        <w:rPr>
          <w:rStyle w:val="TextoNormalNegritaCaracter"/>
        </w:rPr>
        <w:t>Artículo 14.2.</w:t>
      </w:r>
      <w:r w:rsidRPr="007D461E">
        <w:rPr>
          <w:rStyle w:val="TextoNormalCaracter"/>
        </w:rPr>
        <w:t>-</w:t>
      </w:r>
      <w:r>
        <w:t xml:space="preserve"> Sentencia </w:t>
      </w:r>
      <w:hyperlink w:anchor="SENTENCIA_1997_133" w:history="1">
        <w:r w:rsidRPr="007D461E">
          <w:rPr>
            <w:rStyle w:val="TextoNormalCaracter"/>
          </w:rPr>
          <w:t>133/1997</w:t>
        </w:r>
      </w:hyperlink>
      <w:r>
        <w:t>, f. 18.</w:t>
      </w:r>
    </w:p>
    <w:p w:rsidR="007D461E" w:rsidRDefault="007D461E" w:rsidP="007D461E">
      <w:pPr>
        <w:pStyle w:val="SangriaFrancesaArticulo"/>
      </w:pPr>
      <w:r w:rsidRPr="007D461E">
        <w:rPr>
          <w:rStyle w:val="TextoNormalNegritaCaracter"/>
        </w:rPr>
        <w:t>Artículo 14.4.</w:t>
      </w:r>
      <w:r w:rsidRPr="007D461E">
        <w:rPr>
          <w:rStyle w:val="TextoNormalCaracter"/>
        </w:rPr>
        <w:t>-</w:t>
      </w:r>
      <w:r>
        <w:t xml:space="preserve"> Sentencia </w:t>
      </w:r>
      <w:hyperlink w:anchor="SENTENCIA_1997_133" w:history="1">
        <w:r w:rsidRPr="007D461E">
          <w:rPr>
            <w:rStyle w:val="TextoNormalCaracter"/>
          </w:rPr>
          <w:t>133/1997</w:t>
        </w:r>
      </w:hyperlink>
      <w:r>
        <w:t>, f. 18.</w:t>
      </w:r>
    </w:p>
    <w:p w:rsidR="007D461E" w:rsidRDefault="007D461E" w:rsidP="007D461E">
      <w:pPr>
        <w:pStyle w:val="SangriaFrancesaArticulo"/>
      </w:pPr>
      <w:r w:rsidRPr="007D461E">
        <w:rPr>
          <w:rStyle w:val="TextoNormalNegritaCaracter"/>
        </w:rPr>
        <w:t>Artículo 15.2.</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15.3.</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17.2.</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17.7.</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23.2.</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25.3.</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r w:rsidRPr="007D461E">
        <w:rPr>
          <w:rStyle w:val="TextoNormalNegritaCaracter"/>
        </w:rPr>
        <w:t>Artículo 26.1.</w:t>
      </w:r>
      <w:r w:rsidRPr="007D461E">
        <w:rPr>
          <w:rStyle w:val="TextoNormalCaracter"/>
        </w:rPr>
        <w:t>-</w:t>
      </w:r>
      <w:r>
        <w:t xml:space="preserve"> Sentencia </w:t>
      </w:r>
      <w:hyperlink w:anchor="SENTENCIA_1997_133" w:history="1">
        <w:r w:rsidRPr="007D461E">
          <w:rPr>
            <w:rStyle w:val="TextoNormalCaracter"/>
          </w:rPr>
          <w:t>133/1997</w:t>
        </w:r>
      </w:hyperlink>
      <w:r>
        <w:t>, ff. 16, 18.</w:t>
      </w:r>
    </w:p>
    <w:p w:rsidR="007D461E" w:rsidRDefault="007D461E" w:rsidP="007D461E">
      <w:pPr>
        <w:pStyle w:val="SangriaFrancesaArticulo"/>
      </w:pPr>
    </w:p>
    <w:p w:rsidR="007D461E" w:rsidRDefault="007D461E" w:rsidP="007D461E">
      <w:pPr>
        <w:pStyle w:val="TextoNormalNegritaCursivandice"/>
      </w:pPr>
      <w:r>
        <w:t>Real Decreto 1419/1990, de 26 de octubre. Establece el título universitario oficial de Diplomado de Óptica y Optometría y las directrices generales propias de los planes de estudios conducentes a la obtención de aquél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t>Real Decreto 1814/1991, de 20 de diciembre. Regulación de los mercados oficiales de futuros y opciones financieros</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p>
    <w:p w:rsidR="007D461E" w:rsidRDefault="007D461E" w:rsidP="007D461E">
      <w:pPr>
        <w:pStyle w:val="TextoNormalNegritaCursivandice"/>
      </w:pPr>
      <w:r>
        <w:t>Real Decreto 291/1992, de 27 de marzo. Emisiones y ofertas públicas de venta de valores</w:t>
      </w:r>
    </w:p>
    <w:p w:rsidR="007D461E" w:rsidRDefault="007D461E" w:rsidP="007D461E">
      <w:pPr>
        <w:pStyle w:val="SangriaFrancesaArticulo"/>
      </w:pPr>
      <w:r w:rsidRPr="007D461E">
        <w:rPr>
          <w:rStyle w:val="TextoNormalNegritaCaracter"/>
        </w:rPr>
        <w:t>Artículo 14.</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p>
    <w:p w:rsidR="007D461E" w:rsidRDefault="007D461E" w:rsidP="007D461E">
      <w:pPr>
        <w:pStyle w:val="TextoNormalNegritaCursivandice"/>
      </w:pPr>
      <w:r>
        <w:t>Real Decreto 1879/1994, de 16 de septiembre. Aprueba determinadas normas procedimentales en materia de Justicia e Interior</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p>
    <w:p w:rsidR="007D461E" w:rsidRDefault="007D461E" w:rsidP="007D461E">
      <w:pPr>
        <w:pStyle w:val="TextoNormalNegritaCursivandice"/>
      </w:pPr>
      <w:r>
        <w:lastRenderedPageBreak/>
        <w:t>Real Decreto 323/1995, de 3 de marzo. Concede, con carácter vitalicio, la facultad de usar el título de Duquesa de Lugo a Su Alteza Real la Infanta Doña Elena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7.</w:t>
      </w:r>
    </w:p>
    <w:p w:rsidR="007D461E" w:rsidRDefault="007D461E" w:rsidP="007D461E">
      <w:pPr>
        <w:pStyle w:val="TextoNormal"/>
      </w:pPr>
    </w:p>
    <w:p w:rsidR="007D461E" w:rsidRDefault="007D461E" w:rsidP="007D461E">
      <w:pPr>
        <w:pStyle w:val="SangriaFrancesaArticulo"/>
      </w:pPr>
      <w:bookmarkStart w:id="241" w:name="INDICE22850"/>
    </w:p>
    <w:bookmarkEnd w:id="241"/>
    <w:p w:rsidR="007D461E" w:rsidRDefault="007D461E" w:rsidP="007D461E">
      <w:pPr>
        <w:pStyle w:val="TextoIndiceNivel2"/>
        <w:suppressAutoHyphens/>
      </w:pPr>
      <w:r>
        <w:t>I) Legislación preconstitucional</w:t>
      </w:r>
    </w:p>
    <w:p w:rsidR="007D461E" w:rsidRDefault="007D461E" w:rsidP="007D461E">
      <w:pPr>
        <w:pStyle w:val="TextoIndiceNivel2"/>
      </w:pPr>
    </w:p>
    <w:p w:rsidR="007D461E" w:rsidRDefault="007D461E" w:rsidP="007D461E">
      <w:pPr>
        <w:pStyle w:val="TextoNormalNegritaCursivandice"/>
      </w:pPr>
      <w:r>
        <w:t>Espéculo, 1255</w:t>
      </w:r>
    </w:p>
    <w:p w:rsidR="007D461E" w:rsidRDefault="007D461E" w:rsidP="007D461E">
      <w:pPr>
        <w:pStyle w:val="SangriaFrancesaArticulo"/>
      </w:pPr>
      <w:r w:rsidRPr="007D461E">
        <w:rPr>
          <w:rStyle w:val="TextoNormalNegritaCaracter"/>
        </w:rPr>
        <w:t>Título XVI, libro II.</w:t>
      </w:r>
      <w:r w:rsidRPr="007D461E">
        <w:rPr>
          <w:rStyle w:val="TextoNormalCaracter"/>
        </w:rPr>
        <w:t>-</w:t>
      </w:r>
      <w:r>
        <w:t xml:space="preserve"> Sentencia </w:t>
      </w:r>
      <w:hyperlink w:anchor="SENTENCIA_1997_126" w:history="1">
        <w:r w:rsidRPr="007D461E">
          <w:rPr>
            <w:rStyle w:val="TextoNormalCaracter"/>
          </w:rPr>
          <w:t>126/1997</w:t>
        </w:r>
      </w:hyperlink>
      <w:r>
        <w:t>, f. 13.</w:t>
      </w:r>
    </w:p>
    <w:p w:rsidR="007D461E" w:rsidRDefault="007D461E" w:rsidP="007D461E">
      <w:pPr>
        <w:pStyle w:val="SangriaFrancesaArticulo"/>
      </w:pPr>
    </w:p>
    <w:p w:rsidR="007D461E" w:rsidRDefault="007D461E" w:rsidP="007D461E">
      <w:pPr>
        <w:pStyle w:val="TextoNormalNegritaCursivandice"/>
      </w:pPr>
      <w:r>
        <w:t>Fuero Real, 1255</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p>
    <w:p w:rsidR="007D461E" w:rsidRDefault="007D461E" w:rsidP="007D461E">
      <w:pPr>
        <w:pStyle w:val="TextoNormalNegritaCursivandice"/>
      </w:pPr>
      <w:r>
        <w:t>Código de las Siete Partidas, 1265</w:t>
      </w:r>
    </w:p>
    <w:p w:rsidR="007D461E" w:rsidRDefault="007D461E" w:rsidP="007D461E">
      <w:pPr>
        <w:pStyle w:val="SangriaFrancesaArticulo"/>
      </w:pPr>
      <w:r w:rsidRPr="007D461E">
        <w:rPr>
          <w:rStyle w:val="TextoNormalNegritaCaracter"/>
        </w:rPr>
        <w:t>Ley II, título XIII, partida IV.</w:t>
      </w:r>
      <w:r w:rsidRPr="007D461E">
        <w:rPr>
          <w:rStyle w:val="TextoNormalCaracter"/>
        </w:rPr>
        <w:t>-</w:t>
      </w:r>
      <w:r>
        <w:t xml:space="preserve"> Sentencia </w:t>
      </w:r>
      <w:hyperlink w:anchor="SENTENCIA_1997_126" w:history="1">
        <w:r w:rsidRPr="007D461E">
          <w:rPr>
            <w:rStyle w:val="TextoNormalCaracter"/>
          </w:rPr>
          <w:t>126/1997</w:t>
        </w:r>
      </w:hyperlink>
      <w:r>
        <w:t>, f. 13.</w:t>
      </w:r>
    </w:p>
    <w:p w:rsidR="007D461E" w:rsidRDefault="007D461E" w:rsidP="007D461E">
      <w:pPr>
        <w:pStyle w:val="SangriaFrancesaArticulo"/>
      </w:pPr>
      <w:r w:rsidRPr="007D461E">
        <w:rPr>
          <w:rStyle w:val="TextoNormalNegritaCaracter"/>
        </w:rPr>
        <w:t>Ley II, título XV, partida II.</w:t>
      </w:r>
      <w:r w:rsidRPr="007D461E">
        <w:rPr>
          <w:rStyle w:val="TextoNormalCaracter"/>
        </w:rPr>
        <w:t>-</w:t>
      </w:r>
      <w:r>
        <w:t xml:space="preserve"> Sentencia </w:t>
      </w:r>
      <w:hyperlink w:anchor="SENTENCIA_1997_126" w:history="1">
        <w:r w:rsidRPr="007D461E">
          <w:rPr>
            <w:rStyle w:val="TextoNormalCaracter"/>
          </w:rPr>
          <w:t>126/1997</w:t>
        </w:r>
      </w:hyperlink>
      <w:r>
        <w:t>, ff. 1, 6, 7, 13 a 17, VP II.</w:t>
      </w:r>
    </w:p>
    <w:p w:rsidR="007D461E" w:rsidRDefault="007D461E" w:rsidP="007D461E">
      <w:pPr>
        <w:pStyle w:val="SangriaFrancesaArticulo"/>
      </w:pPr>
      <w:r w:rsidRPr="007D461E">
        <w:rPr>
          <w:rStyle w:val="TextoNormalNegritaCaracter"/>
        </w:rPr>
        <w:t>Ley XI, título I, partida II.</w:t>
      </w:r>
      <w:r w:rsidRPr="007D461E">
        <w:rPr>
          <w:rStyle w:val="TextoNormalCaracter"/>
        </w:rPr>
        <w:t>-</w:t>
      </w:r>
      <w:r>
        <w:t xml:space="preserve"> Sentencia </w:t>
      </w:r>
      <w:hyperlink w:anchor="SENTENCIA_1997_126" w:history="1">
        <w:r w:rsidRPr="007D461E">
          <w:rPr>
            <w:rStyle w:val="TextoNormalCaracter"/>
          </w:rPr>
          <w:t>126/1997</w:t>
        </w:r>
      </w:hyperlink>
      <w:r>
        <w:t>, f. 13.</w:t>
      </w:r>
    </w:p>
    <w:p w:rsidR="007D461E" w:rsidRDefault="007D461E" w:rsidP="007D461E">
      <w:pPr>
        <w:pStyle w:val="SangriaFrancesaArticulo"/>
      </w:pPr>
    </w:p>
    <w:p w:rsidR="007D461E" w:rsidRDefault="007D461E" w:rsidP="007D461E">
      <w:pPr>
        <w:pStyle w:val="TextoNormalNegritaCursivandice"/>
      </w:pPr>
      <w:r>
        <w:t>Ordenamiento de Leyes hecho en las Cortes de Alcalá de Henares en 1348</w:t>
      </w:r>
    </w:p>
    <w:p w:rsidR="007D461E" w:rsidRDefault="007D461E" w:rsidP="007D461E">
      <w:pPr>
        <w:pStyle w:val="SangriaFrancesaArticulo"/>
      </w:pPr>
      <w:r w:rsidRPr="007D461E">
        <w:rPr>
          <w:rStyle w:val="TextoNormalNegritaCaracter"/>
        </w:rPr>
        <w:t>Ley I, título XVIII.</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p>
    <w:p w:rsidR="007D461E" w:rsidRDefault="007D461E" w:rsidP="007D461E">
      <w:pPr>
        <w:pStyle w:val="TextoNormalNegritaCursivandice"/>
      </w:pPr>
      <w:r>
        <w:t>Novísima recopilación, de 2 de junio de 1805</w:t>
      </w:r>
    </w:p>
    <w:p w:rsidR="007D461E" w:rsidRDefault="007D461E" w:rsidP="007D461E">
      <w:pPr>
        <w:pStyle w:val="SangriaFrancesaArticulo"/>
      </w:pPr>
      <w:r w:rsidRPr="007D461E">
        <w:rPr>
          <w:rStyle w:val="TextoNormalNegritaCaracter"/>
        </w:rPr>
        <w:t>Ley IX, título XVII, libro X.</w:t>
      </w:r>
      <w:r w:rsidRPr="007D461E">
        <w:rPr>
          <w:rStyle w:val="TextoNormalCaracter"/>
        </w:rPr>
        <w:t>-</w:t>
      </w:r>
      <w:r>
        <w:t xml:space="preserve"> Sentencia </w:t>
      </w:r>
      <w:hyperlink w:anchor="SENTENCIA_1997_126" w:history="1">
        <w:r w:rsidRPr="007D461E">
          <w:rPr>
            <w:rStyle w:val="TextoNormalCaracter"/>
          </w:rPr>
          <w:t>126/1997</w:t>
        </w:r>
      </w:hyperlink>
      <w:r>
        <w:t>, ff. 1, 6.</w:t>
      </w:r>
    </w:p>
    <w:p w:rsidR="007D461E" w:rsidRDefault="007D461E" w:rsidP="007D461E">
      <w:pPr>
        <w:pStyle w:val="SangriaFrancesaArticulo"/>
      </w:pPr>
      <w:r w:rsidRPr="007D461E">
        <w:rPr>
          <w:rStyle w:val="TextoNormalNegritaCaracter"/>
        </w:rPr>
        <w:t>Ley V, título I, libro III.</w:t>
      </w:r>
      <w:r w:rsidRPr="007D461E">
        <w:rPr>
          <w:rStyle w:val="TextoNormalCaracter"/>
        </w:rPr>
        <w:t>-</w:t>
      </w:r>
      <w:r>
        <w:t xml:space="preserve"> Sentencia </w:t>
      </w:r>
      <w:hyperlink w:anchor="SENTENCIA_1997_126" w:history="1">
        <w:r w:rsidRPr="007D461E">
          <w:rPr>
            <w:rStyle w:val="TextoNormalCaracter"/>
          </w:rPr>
          <w:t>126/1997</w:t>
        </w:r>
      </w:hyperlink>
      <w:r>
        <w:t>, f. 7.</w:t>
      </w:r>
    </w:p>
    <w:p w:rsidR="007D461E" w:rsidRDefault="007D461E" w:rsidP="007D461E">
      <w:pPr>
        <w:pStyle w:val="SangriaFrancesaArticulo"/>
      </w:pPr>
      <w:r w:rsidRPr="007D461E">
        <w:rPr>
          <w:rStyle w:val="TextoNormalNegritaCaracter"/>
        </w:rPr>
        <w:t>Ley VIII, título XVII, libro X.</w:t>
      </w:r>
      <w:r w:rsidRPr="007D461E">
        <w:rPr>
          <w:rStyle w:val="TextoNormalCaracter"/>
        </w:rPr>
        <w:t>-</w:t>
      </w:r>
      <w:r>
        <w:t xml:space="preserve"> Sentencia </w:t>
      </w:r>
      <w:hyperlink w:anchor="SENTENCIA_1997_126" w:history="1">
        <w:r w:rsidRPr="007D461E">
          <w:rPr>
            <w:rStyle w:val="TextoNormalCaracter"/>
          </w:rPr>
          <w:t>126/1997</w:t>
        </w:r>
      </w:hyperlink>
      <w:r>
        <w:t>, ff. 1, 6.</w:t>
      </w:r>
    </w:p>
    <w:p w:rsidR="007D461E" w:rsidRDefault="007D461E" w:rsidP="007D461E">
      <w:pPr>
        <w:pStyle w:val="SangriaFrancesaArticulo"/>
      </w:pPr>
      <w:r w:rsidRPr="007D461E">
        <w:rPr>
          <w:rStyle w:val="TextoNormalNegritaCaracter"/>
        </w:rPr>
        <w:t>Ley XXI, título I, libro VI.</w:t>
      </w:r>
      <w:r w:rsidRPr="007D461E">
        <w:rPr>
          <w:rStyle w:val="TextoNormalCaracter"/>
        </w:rPr>
        <w:t>-</w:t>
      </w:r>
      <w:r>
        <w:t xml:space="preserve"> Sentencia </w:t>
      </w:r>
      <w:hyperlink w:anchor="SENTENCIA_1997_126" w:history="1">
        <w:r w:rsidRPr="007D461E">
          <w:rPr>
            <w:rStyle w:val="TextoNormalCaracter"/>
          </w:rPr>
          <w:t>126/1997</w:t>
        </w:r>
      </w:hyperlink>
      <w:r>
        <w:t>, f. 12.</w:t>
      </w:r>
    </w:p>
    <w:p w:rsidR="007D461E" w:rsidRDefault="007D461E" w:rsidP="007D461E">
      <w:pPr>
        <w:pStyle w:val="SangriaFrancesaArticulo"/>
      </w:pPr>
      <w:r w:rsidRPr="007D461E">
        <w:rPr>
          <w:rStyle w:val="TextoNormalNegritaCaracter"/>
        </w:rPr>
        <w:t>Ley XXV, título I, libro VI.</w:t>
      </w:r>
      <w:r w:rsidRPr="007D461E">
        <w:rPr>
          <w:rStyle w:val="TextoNormalCaracter"/>
        </w:rPr>
        <w:t>-</w:t>
      </w:r>
      <w:r>
        <w:t xml:space="preserve"> Sentencia </w:t>
      </w:r>
      <w:hyperlink w:anchor="SENTENCIA_1997_126" w:history="1">
        <w:r w:rsidRPr="007D461E">
          <w:rPr>
            <w:rStyle w:val="TextoNormalCaracter"/>
          </w:rPr>
          <w:t>126/1997</w:t>
        </w:r>
      </w:hyperlink>
      <w:r>
        <w:t>, f. 14.</w:t>
      </w:r>
    </w:p>
    <w:p w:rsidR="007D461E" w:rsidRDefault="007D461E" w:rsidP="007D461E">
      <w:pPr>
        <w:pStyle w:val="SangriaFrancesaArticulo"/>
      </w:pPr>
    </w:p>
    <w:p w:rsidR="007D461E" w:rsidRDefault="007D461E" w:rsidP="007D461E">
      <w:pPr>
        <w:pStyle w:val="TextoNormalNegritaCursivandice"/>
      </w:pPr>
      <w:r>
        <w:t>Decreto LXXXII de 6 de agosto de 1811. Incorporación de los señoríos jurisdiccionales a la Nación: los territoriales quedarán como propiedades particulares: abolición de los privilegios exclusivos, privativos y prohibitivos: modo de reintegrar a los que obtengan estas prerrogativas por título oneroso, o por recompensa de grandes servicios: nadie puede llamarse Señor de vasallos, ni ejercer jurisdicción</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Decreto LXXXIII de 17 de agosto de 1811. Libre admisión de todos los hijos de españoles honrados en los colegios militares de mar y tierra, y en las plazas de cadetes de todos los cuerpos del ejército, y en la marina, sin el requisito de pruebas de nobleza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Decreto CXXXII, de 30 de enero de 1812. Se concede grandeza de España al Lord Vizconde Wellington con el título de Duque de Ciudad-Rodrigo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rsidP="007D461E">
      <w:pPr>
        <w:pStyle w:val="SangriaFrancesaArticulo"/>
      </w:pPr>
    </w:p>
    <w:p w:rsidR="007D461E" w:rsidRDefault="007D461E" w:rsidP="007D461E">
      <w:pPr>
        <w:pStyle w:val="TextoNormalNegritaCursivandice"/>
      </w:pPr>
      <w:r>
        <w:t>Ley de 27 de septiembre/11 de octubre de 1820. Suprime todos los mayorazgos, fideicomisos, patronatos y cualquiera otra especie de vinculaciones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10, VP II.</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r w:rsidRPr="007D461E">
        <w:rPr>
          <w:rStyle w:val="TextoNormalNegritaCaracter"/>
        </w:rPr>
        <w:t>Artículo 13.</w:t>
      </w:r>
      <w:r w:rsidRPr="007D461E">
        <w:rPr>
          <w:rStyle w:val="TextoNormalCaracter"/>
        </w:rPr>
        <w:t>-</w:t>
      </w:r>
      <w:r>
        <w:t xml:space="preserve"> Sentencia </w:t>
      </w:r>
      <w:hyperlink w:anchor="SENTENCIA_1997_126" w:history="1">
        <w:r w:rsidRPr="007D461E">
          <w:rPr>
            <w:rStyle w:val="TextoNormalCaracter"/>
          </w:rPr>
          <w:t>126/1997</w:t>
        </w:r>
      </w:hyperlink>
      <w:r>
        <w:t>, ff. 1, 6, 17.</w:t>
      </w:r>
    </w:p>
    <w:p w:rsidR="007D461E" w:rsidRDefault="007D461E" w:rsidP="007D461E">
      <w:pPr>
        <w:pStyle w:val="SangriaFrancesaArticulo"/>
      </w:pPr>
    </w:p>
    <w:p w:rsidR="007D461E" w:rsidRDefault="007D461E" w:rsidP="007D461E">
      <w:pPr>
        <w:pStyle w:val="TextoNormalNegritaCursivandice"/>
      </w:pPr>
      <w:r>
        <w:t>Pragmática-sanción, de 29 de marzo de 1830, para la observancia perpetua de la Ley segunda, Título quince, Partida segunda, que establece la sucesión regular en la Corona de España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7.</w:t>
      </w:r>
    </w:p>
    <w:p w:rsidR="007D461E" w:rsidRDefault="007D461E" w:rsidP="007D461E">
      <w:pPr>
        <w:pStyle w:val="SangriaFrancesaArticulo"/>
      </w:pPr>
    </w:p>
    <w:p w:rsidR="007D461E" w:rsidRDefault="007D461E" w:rsidP="007D461E">
      <w:pPr>
        <w:pStyle w:val="TextoNormalNegritaCursivandice"/>
      </w:pPr>
      <w:r>
        <w:t>Real Decreto de 15 de julio de 1834, que contiene los Reglamentos para el régimen y gobierno de los Estamentos de próceres y procuradores del reino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p>
    <w:p w:rsidR="007D461E" w:rsidRDefault="007D461E" w:rsidP="007D461E">
      <w:pPr>
        <w:pStyle w:val="TextoNormalNegritaCursivandice"/>
      </w:pPr>
      <w:r>
        <w:t>Real Decreto de 30 de agosto de 1836, restableciendo lo dispuesto por las Cortes sobre supresión de vinculaciones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p>
    <w:p w:rsidR="007D461E" w:rsidRDefault="007D461E" w:rsidP="007D461E">
      <w:pPr>
        <w:pStyle w:val="TextoNormalNegritaCursivandice"/>
      </w:pPr>
      <w:r>
        <w:t>Decreto de 25 de mayo de 1873, disponiendo que no se concedan en lo sucesivo Grandezas de España ni Títulos nobiliarios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p>
    <w:p w:rsidR="007D461E" w:rsidRDefault="007D461E" w:rsidP="007D461E">
      <w:pPr>
        <w:pStyle w:val="TextoNormalNegritaCursivandice"/>
      </w:pPr>
      <w:r>
        <w:t>Decreto de 25 de junio de 1874, dejando sin efecto el de 25 de mayo de 1873, relativo a Grandezas y Títulos, y dictando algunas disposiciones para su concesión y uso en lo sucesivo</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p>
    <w:p w:rsidR="007D461E" w:rsidRDefault="007D461E" w:rsidP="007D461E">
      <w:pPr>
        <w:pStyle w:val="TextoNormalNegritaCursivandice"/>
      </w:pPr>
      <w:r>
        <w:t>Real Decreto de 3 de febrero de 1881. Ley de enjuiciamiento civil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14" w:history="1">
        <w:r w:rsidRPr="007D461E">
          <w:rPr>
            <w:rStyle w:val="TextoNormalCaracter"/>
          </w:rPr>
          <w:t>114/1997</w:t>
        </w:r>
      </w:hyperlink>
      <w:r>
        <w:t>, ff. 3, 9.</w:t>
      </w:r>
    </w:p>
    <w:p w:rsidR="007D461E" w:rsidRDefault="007D461E" w:rsidP="007D461E">
      <w:pPr>
        <w:pStyle w:val="SangriaFrancesaArticulo"/>
      </w:pPr>
      <w:r w:rsidRPr="007D461E">
        <w:rPr>
          <w:rStyle w:val="TextoNormalNegritaCaracter"/>
        </w:rPr>
        <w:t>Libro II, título XV.</w:t>
      </w:r>
      <w:r w:rsidRPr="007D461E">
        <w:rPr>
          <w:rStyle w:val="TextoNormalCaracter"/>
        </w:rPr>
        <w:t>-</w:t>
      </w:r>
      <w:r>
        <w:t xml:space="preserve"> Sentencia </w:t>
      </w:r>
      <w:hyperlink w:anchor="SENTENCIA_1997_99" w:history="1">
        <w:r w:rsidRPr="007D461E">
          <w:rPr>
            <w:rStyle w:val="TextoNormalCaracter"/>
          </w:rPr>
          <w:t>99/1997</w:t>
        </w:r>
      </w:hyperlink>
      <w:r>
        <w:t>, f. 4.</w:t>
      </w:r>
    </w:p>
    <w:p w:rsidR="007D461E" w:rsidRDefault="007D461E" w:rsidP="007D461E">
      <w:pPr>
        <w:pStyle w:val="SangriaFrancesaArticulo"/>
      </w:pPr>
      <w:r w:rsidRPr="007D461E">
        <w:rPr>
          <w:rStyle w:val="TextoNormalNegritaCaracter"/>
        </w:rPr>
        <w:t>Libro III.</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8.</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 9.</w:t>
      </w:r>
      <w:r w:rsidRPr="007D461E">
        <w:rPr>
          <w:rStyle w:val="TextoNormalCaracter"/>
        </w:rPr>
        <w:t>-</w:t>
      </w:r>
      <w:r>
        <w:t xml:space="preserve"> Auto </w:t>
      </w:r>
      <w:hyperlink w:anchor="AUTO_1997_258" w:history="1">
        <w:r w:rsidRPr="007D461E">
          <w:rPr>
            <w:rStyle w:val="TextoNormalCaracter"/>
          </w:rPr>
          <w:t>258/1997</w:t>
        </w:r>
      </w:hyperlink>
      <w:r>
        <w:t>.</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Auto </w:t>
      </w:r>
      <w:hyperlink w:anchor="AUTO_1997_260" w:history="1">
        <w:r w:rsidRPr="007D461E">
          <w:rPr>
            <w:rStyle w:val="TextoNormalCaracter"/>
          </w:rPr>
          <w:t>260/1997</w:t>
        </w:r>
      </w:hyperlink>
      <w:r>
        <w:t>.</w:t>
      </w:r>
    </w:p>
    <w:p w:rsidR="007D461E" w:rsidRDefault="007D461E" w:rsidP="007D461E">
      <w:pPr>
        <w:pStyle w:val="SangriaFrancesaArticulo"/>
      </w:pPr>
      <w:r w:rsidRPr="007D461E">
        <w:rPr>
          <w:rStyle w:val="TextoNormalNegritaCaracter"/>
        </w:rPr>
        <w:t>Artículos 13 a 50.</w:t>
      </w:r>
      <w:r w:rsidRPr="007D461E">
        <w:rPr>
          <w:rStyle w:val="TextoNormalCaracter"/>
        </w:rPr>
        <w:t>-</w:t>
      </w:r>
      <w:r>
        <w:t xml:space="preserve"> Auto </w:t>
      </w:r>
      <w:hyperlink w:anchor="AUTO_1997_204" w:history="1">
        <w:r w:rsidRPr="007D461E">
          <w:rPr>
            <w:rStyle w:val="TextoNormalCaracter"/>
          </w:rPr>
          <w:t>204/1997</w:t>
        </w:r>
      </w:hyperlink>
      <w:r>
        <w:t>.</w:t>
      </w:r>
    </w:p>
    <w:p w:rsidR="007D461E" w:rsidRDefault="007D461E" w:rsidP="007D461E">
      <w:pPr>
        <w:pStyle w:val="SangriaFrancesaArticulo"/>
      </w:pPr>
      <w:r w:rsidRPr="007D461E">
        <w:rPr>
          <w:rStyle w:val="TextoNormalNegritaCaracter"/>
        </w:rPr>
        <w:t>Artículo 26.</w:t>
      </w:r>
      <w:r w:rsidRPr="007D461E">
        <w:rPr>
          <w:rStyle w:val="TextoNormalCaracter"/>
        </w:rPr>
        <w:t>-</w:t>
      </w:r>
      <w:r>
        <w:t xml:space="preserve"> Sentencia </w:t>
      </w:r>
      <w:hyperlink w:anchor="SENTENCIA_1997_113" w:history="1">
        <w:r w:rsidRPr="007D461E">
          <w:rPr>
            <w:rStyle w:val="TextoNormalCaracter"/>
          </w:rPr>
          <w:t>113/1997</w:t>
        </w:r>
      </w:hyperlink>
      <w:r>
        <w:t>, f. 3.</w:t>
      </w:r>
    </w:p>
    <w:p w:rsidR="007D461E" w:rsidRDefault="007D461E" w:rsidP="007D461E">
      <w:pPr>
        <w:pStyle w:val="SangriaFrancesaArticulo"/>
      </w:pPr>
      <w:r w:rsidRPr="007D461E">
        <w:rPr>
          <w:rStyle w:val="TextoNormalNegritaCaracter"/>
        </w:rPr>
        <w:t>Artículo 263.</w:t>
      </w:r>
      <w:r w:rsidRPr="007D461E">
        <w:rPr>
          <w:rStyle w:val="TextoNormalCaracter"/>
        </w:rPr>
        <w:t>-</w:t>
      </w:r>
      <w:r>
        <w:t xml:space="preserve"> Sentencia </w:t>
      </w:r>
      <w:hyperlink w:anchor="SENTENCIA_1997_122" w:history="1">
        <w:r w:rsidRPr="007D461E">
          <w:rPr>
            <w:rStyle w:val="TextoNormalCaracter"/>
          </w:rPr>
          <w:t>122/1997</w:t>
        </w:r>
      </w:hyperlink>
      <w:r>
        <w:t>, ff. 1, 3.</w:t>
      </w:r>
    </w:p>
    <w:p w:rsidR="007D461E" w:rsidRDefault="007D461E" w:rsidP="007D461E">
      <w:pPr>
        <w:pStyle w:val="SangriaFrancesaArticulo"/>
      </w:pPr>
      <w:r w:rsidRPr="007D461E">
        <w:rPr>
          <w:rStyle w:val="TextoNormalNegritaCaracter"/>
        </w:rPr>
        <w:t>Artículo 267.</w:t>
      </w:r>
      <w:r w:rsidRPr="007D461E">
        <w:rPr>
          <w:rStyle w:val="TextoNormalCaracter"/>
        </w:rPr>
        <w:t>-</w:t>
      </w:r>
      <w:r>
        <w:t xml:space="preserve"> Sentencia </w:t>
      </w:r>
      <w:hyperlink w:anchor="SENTENCIA_1997_110" w:history="1">
        <w:r w:rsidRPr="007D461E">
          <w:rPr>
            <w:rStyle w:val="TextoNormalCaracter"/>
          </w:rPr>
          <w:t>110/1997</w:t>
        </w:r>
      </w:hyperlink>
      <w:r>
        <w:t>, f. 2.</w:t>
      </w:r>
    </w:p>
    <w:p w:rsidR="007D461E" w:rsidRDefault="007D461E" w:rsidP="007D461E">
      <w:pPr>
        <w:pStyle w:val="SangriaFrancesaArticulo"/>
      </w:pPr>
      <w:r w:rsidRPr="007D461E">
        <w:rPr>
          <w:rStyle w:val="TextoNormalNegritaCaracter"/>
        </w:rPr>
        <w:t>Artículo 268.</w:t>
      </w:r>
      <w:r w:rsidRPr="007D461E">
        <w:rPr>
          <w:rStyle w:val="TextoNormalCaracter"/>
        </w:rPr>
        <w:t>-</w:t>
      </w:r>
      <w:r>
        <w:t xml:space="preserve"> Sentencias </w:t>
      </w:r>
      <w:hyperlink w:anchor="SENTENCIA_1997_110" w:history="1">
        <w:r w:rsidRPr="007D461E">
          <w:rPr>
            <w:rStyle w:val="TextoNormalCaracter"/>
          </w:rPr>
          <w:t>110/1997</w:t>
        </w:r>
      </w:hyperlink>
      <w:r>
        <w:t xml:space="preserve">, f. 2; </w:t>
      </w:r>
      <w:hyperlink w:anchor="SENTENCIA_1997_122" w:history="1">
        <w:r w:rsidRPr="007D461E">
          <w:rPr>
            <w:rStyle w:val="TextoNormalCaracter"/>
          </w:rPr>
          <w:t>122/1997</w:t>
        </w:r>
      </w:hyperlink>
      <w:r>
        <w:t>, ff. 1, 3.</w:t>
      </w:r>
    </w:p>
    <w:p w:rsidR="007D461E" w:rsidRDefault="007D461E" w:rsidP="007D461E">
      <w:pPr>
        <w:pStyle w:val="SangriaFrancesaArticulo"/>
      </w:pPr>
      <w:r w:rsidRPr="007D461E">
        <w:rPr>
          <w:rStyle w:val="TextoNormalNegritaCaracter"/>
        </w:rPr>
        <w:t>Artículo 269.</w:t>
      </w:r>
      <w:r w:rsidRPr="007D461E">
        <w:rPr>
          <w:rStyle w:val="TextoNormalCaracter"/>
        </w:rPr>
        <w:t>-</w:t>
      </w:r>
      <w:r>
        <w:t xml:space="preserve"> Sentencia </w:t>
      </w:r>
      <w:hyperlink w:anchor="SENTENCIA_1997_118" w:history="1">
        <w:r w:rsidRPr="007D461E">
          <w:rPr>
            <w:rStyle w:val="TextoNormalCaracter"/>
          </w:rPr>
          <w:t>118/1997</w:t>
        </w:r>
      </w:hyperlink>
      <w:r>
        <w:t>, f. 2.</w:t>
      </w:r>
    </w:p>
    <w:p w:rsidR="007D461E" w:rsidRDefault="007D461E" w:rsidP="007D461E">
      <w:pPr>
        <w:pStyle w:val="SangriaFrancesaArticulo"/>
      </w:pPr>
      <w:r w:rsidRPr="007D461E">
        <w:rPr>
          <w:rStyle w:val="TextoNormalNegritaCaracter"/>
        </w:rPr>
        <w:t>Artículo 274.</w:t>
      </w:r>
      <w:r w:rsidRPr="007D461E">
        <w:rPr>
          <w:rStyle w:val="TextoNormalCaracter"/>
        </w:rPr>
        <w:t>-</w:t>
      </w:r>
      <w:r>
        <w:t xml:space="preserve"> Sentencia </w:t>
      </w:r>
      <w:hyperlink w:anchor="SENTENCIA_1997_110" w:history="1">
        <w:r w:rsidRPr="007D461E">
          <w:rPr>
            <w:rStyle w:val="TextoNormalCaracter"/>
          </w:rPr>
          <w:t>110/1997</w:t>
        </w:r>
      </w:hyperlink>
      <w:r>
        <w:t>, f. 2.</w:t>
      </w:r>
    </w:p>
    <w:p w:rsidR="007D461E" w:rsidRDefault="007D461E" w:rsidP="007D461E">
      <w:pPr>
        <w:pStyle w:val="SangriaFrancesaArticulo"/>
      </w:pPr>
      <w:r w:rsidRPr="007D461E">
        <w:rPr>
          <w:rStyle w:val="TextoNormalNegritaCaracter"/>
        </w:rPr>
        <w:t>Artículo 323.5.</w:t>
      </w:r>
      <w:r w:rsidRPr="007D461E">
        <w:rPr>
          <w:rStyle w:val="TextoNormalCaracter"/>
        </w:rPr>
        <w:t>-</w:t>
      </w:r>
      <w:r>
        <w:t xml:space="preserve"> Sentencia </w:t>
      </w:r>
      <w:hyperlink w:anchor="SENTENCIA_1997_114" w:history="1">
        <w:r w:rsidRPr="007D461E">
          <w:rPr>
            <w:rStyle w:val="TextoNormalCaracter"/>
          </w:rPr>
          <w:t>114/1997</w:t>
        </w:r>
      </w:hyperlink>
      <w:r>
        <w:t>, f. 9.</w:t>
      </w:r>
    </w:p>
    <w:p w:rsidR="007D461E" w:rsidRDefault="007D461E" w:rsidP="007D461E">
      <w:pPr>
        <w:pStyle w:val="SangriaFrancesaArticulo"/>
      </w:pPr>
      <w:r w:rsidRPr="007D461E">
        <w:rPr>
          <w:rStyle w:val="TextoNormalNegritaCaracter"/>
        </w:rPr>
        <w:t>Artículo 377.</w:t>
      </w:r>
      <w:r w:rsidRPr="007D461E">
        <w:rPr>
          <w:rStyle w:val="TextoNormalCaracter"/>
        </w:rPr>
        <w:t>-</w:t>
      </w:r>
      <w:r>
        <w:t xml:space="preserve"> Sentencia </w:t>
      </w:r>
      <w:hyperlink w:anchor="SENTENCIA_1997_112" w:history="1">
        <w:r w:rsidRPr="007D461E">
          <w:rPr>
            <w:rStyle w:val="TextoNormalCaracter"/>
          </w:rPr>
          <w:t>112/1997</w:t>
        </w:r>
      </w:hyperlink>
      <w:r>
        <w:t>, f. 1.</w:t>
      </w:r>
    </w:p>
    <w:p w:rsidR="007D461E" w:rsidRDefault="007D461E" w:rsidP="007D461E">
      <w:pPr>
        <w:pStyle w:val="SangriaIzquierdaArticulo"/>
      </w:pPr>
      <w:r>
        <w:t xml:space="preserve">Auto </w:t>
      </w:r>
      <w:hyperlink w:anchor="AUTO_1997_196" w:history="1">
        <w:r w:rsidRPr="007D461E">
          <w:rPr>
            <w:rStyle w:val="TextoNormalCaracter"/>
          </w:rPr>
          <w:t>196/1997</w:t>
        </w:r>
      </w:hyperlink>
      <w:r>
        <w:t>.</w:t>
      </w:r>
    </w:p>
    <w:p w:rsidR="007D461E" w:rsidRDefault="007D461E" w:rsidP="007D461E">
      <w:pPr>
        <w:pStyle w:val="SangriaFrancesaArticulo"/>
      </w:pPr>
      <w:r w:rsidRPr="007D461E">
        <w:rPr>
          <w:rStyle w:val="TextoNormalNegritaCaracter"/>
        </w:rPr>
        <w:lastRenderedPageBreak/>
        <w:t>Artículo 379.</w:t>
      </w:r>
      <w:r w:rsidRPr="007D461E">
        <w:rPr>
          <w:rStyle w:val="TextoNormalCaracter"/>
        </w:rPr>
        <w:t>-</w:t>
      </w:r>
      <w:r>
        <w:t xml:space="preserve"> Sentencia </w:t>
      </w:r>
      <w:hyperlink w:anchor="SENTENCIA_1997_127" w:history="1">
        <w:r w:rsidRPr="007D461E">
          <w:rPr>
            <w:rStyle w:val="TextoNormalCaracter"/>
          </w:rPr>
          <w:t>127/1997</w:t>
        </w:r>
      </w:hyperlink>
      <w:r>
        <w:t>, ff. 1, 2.</w:t>
      </w:r>
    </w:p>
    <w:p w:rsidR="007D461E" w:rsidRDefault="007D461E" w:rsidP="007D461E">
      <w:pPr>
        <w:pStyle w:val="SangriaFrancesaArticulo"/>
      </w:pPr>
      <w:r w:rsidRPr="007D461E">
        <w:rPr>
          <w:rStyle w:val="TextoNormalNegritaCaracter"/>
        </w:rPr>
        <w:t>Artículo 380.</w:t>
      </w:r>
      <w:r w:rsidRPr="007D461E">
        <w:rPr>
          <w:rStyle w:val="TextoNormalCaracter"/>
        </w:rPr>
        <w:t>-</w:t>
      </w:r>
      <w:r>
        <w:t xml:space="preserve"> Auto </w:t>
      </w:r>
      <w:hyperlink w:anchor="AUTO_1997_239" w:history="1">
        <w:r w:rsidRPr="007D461E">
          <w:rPr>
            <w:rStyle w:val="TextoNormalCaracter"/>
          </w:rPr>
          <w:t>239/1997</w:t>
        </w:r>
      </w:hyperlink>
      <w:r>
        <w:t>.</w:t>
      </w:r>
    </w:p>
    <w:p w:rsidR="007D461E" w:rsidRDefault="007D461E" w:rsidP="007D461E">
      <w:pPr>
        <w:pStyle w:val="SangriaFrancesaArticulo"/>
      </w:pPr>
      <w:r w:rsidRPr="007D461E">
        <w:rPr>
          <w:rStyle w:val="TextoNormalNegritaCaracter"/>
        </w:rPr>
        <w:t>Artículos 398 a 400.</w:t>
      </w:r>
      <w:r w:rsidRPr="007D461E">
        <w:rPr>
          <w:rStyle w:val="TextoNormalCaracter"/>
        </w:rPr>
        <w:t>-</w:t>
      </w:r>
      <w:r>
        <w:t xml:space="preserve"> Auto </w:t>
      </w:r>
      <w:hyperlink w:anchor="AUTO_1997_239" w:history="1">
        <w:r w:rsidRPr="007D461E">
          <w:rPr>
            <w:rStyle w:val="TextoNormalCaracter"/>
          </w:rPr>
          <w:t>239/1997</w:t>
        </w:r>
      </w:hyperlink>
      <w:r>
        <w:t>.</w:t>
      </w:r>
    </w:p>
    <w:p w:rsidR="007D461E" w:rsidRDefault="007D461E" w:rsidP="007D461E">
      <w:pPr>
        <w:pStyle w:val="SangriaFrancesaArticulo"/>
      </w:pPr>
      <w:r w:rsidRPr="007D461E">
        <w:rPr>
          <w:rStyle w:val="TextoNormalNegritaCaracter"/>
        </w:rPr>
        <w:t>Artículo 402.</w:t>
      </w:r>
      <w:r w:rsidRPr="007D461E">
        <w:rPr>
          <w:rStyle w:val="TextoNormalCaracter"/>
        </w:rPr>
        <w:t>-</w:t>
      </w:r>
      <w:r>
        <w:t xml:space="preserve"> Sentencia </w:t>
      </w:r>
      <w:hyperlink w:anchor="SENTENCIA_1997_122" w:history="1">
        <w:r w:rsidRPr="007D461E">
          <w:rPr>
            <w:rStyle w:val="TextoNormalCaracter"/>
          </w:rPr>
          <w:t>122/1997</w:t>
        </w:r>
      </w:hyperlink>
      <w:r>
        <w:t>, f. 2.</w:t>
      </w:r>
    </w:p>
    <w:p w:rsidR="007D461E" w:rsidRDefault="007D461E" w:rsidP="007D461E">
      <w:pPr>
        <w:pStyle w:val="SangriaFrancesaArticulo"/>
      </w:pPr>
      <w:r w:rsidRPr="007D461E">
        <w:rPr>
          <w:rStyle w:val="TextoNormalNegritaCaracter"/>
        </w:rPr>
        <w:t>Artículo 523.</w:t>
      </w:r>
      <w:r w:rsidRPr="007D461E">
        <w:rPr>
          <w:rStyle w:val="TextoNormalCaracter"/>
        </w:rPr>
        <w:t>-</w:t>
      </w:r>
      <w:r>
        <w:t xml:space="preserve"> Auto </w:t>
      </w:r>
      <w:hyperlink w:anchor="AUTO_1997_191" w:history="1">
        <w:r w:rsidRPr="007D461E">
          <w:rPr>
            <w:rStyle w:val="TextoNormalCaracter"/>
          </w:rPr>
          <w:t>191/1997</w:t>
        </w:r>
      </w:hyperlink>
      <w:r>
        <w:t>.</w:t>
      </w:r>
    </w:p>
    <w:p w:rsidR="007D461E" w:rsidRDefault="007D461E" w:rsidP="007D461E">
      <w:pPr>
        <w:pStyle w:val="SangriaFrancesaArticulo"/>
      </w:pPr>
      <w:r w:rsidRPr="007D461E">
        <w:rPr>
          <w:rStyle w:val="TextoNormalNegritaCaracter"/>
        </w:rPr>
        <w:t>Artículo 705.</w:t>
      </w:r>
      <w:r w:rsidRPr="007D461E">
        <w:rPr>
          <w:rStyle w:val="TextoNormalCaracter"/>
        </w:rPr>
        <w:t>-</w:t>
      </w:r>
      <w:r>
        <w:t xml:space="preserve"> Auto </w:t>
      </w:r>
      <w:hyperlink w:anchor="AUTO_1997_136" w:history="1">
        <w:r w:rsidRPr="007D461E">
          <w:rPr>
            <w:rStyle w:val="TextoNormalCaracter"/>
          </w:rPr>
          <w:t>136/1997</w:t>
        </w:r>
      </w:hyperlink>
      <w:r>
        <w:t>.</w:t>
      </w:r>
    </w:p>
    <w:p w:rsidR="007D461E" w:rsidRDefault="007D461E" w:rsidP="007D461E">
      <w:pPr>
        <w:pStyle w:val="SangriaFrancesaArticulo"/>
      </w:pPr>
      <w:r w:rsidRPr="007D461E">
        <w:rPr>
          <w:rStyle w:val="TextoNormalNegritaCaracter"/>
        </w:rPr>
        <w:t>Artículo 707.</w:t>
      </w:r>
      <w:r w:rsidRPr="007D461E">
        <w:rPr>
          <w:rStyle w:val="TextoNormalCaracter"/>
        </w:rPr>
        <w:t>-</w:t>
      </w:r>
      <w:r>
        <w:t xml:space="preserve"> Auto </w:t>
      </w:r>
      <w:hyperlink w:anchor="AUTO_1997_136" w:history="1">
        <w:r w:rsidRPr="007D461E">
          <w:rPr>
            <w:rStyle w:val="TextoNormalCaracter"/>
          </w:rPr>
          <w:t>136/1997</w:t>
        </w:r>
      </w:hyperlink>
      <w:r>
        <w:t>.</w:t>
      </w:r>
    </w:p>
    <w:p w:rsidR="007D461E" w:rsidRDefault="007D461E" w:rsidP="007D461E">
      <w:pPr>
        <w:pStyle w:val="SangriaFrancesaArticulo"/>
      </w:pPr>
      <w:r w:rsidRPr="007D461E">
        <w:rPr>
          <w:rStyle w:val="TextoNormalNegritaCaracter"/>
        </w:rPr>
        <w:t>Artículo 736.</w:t>
      </w:r>
      <w:r w:rsidRPr="007D461E">
        <w:rPr>
          <w:rStyle w:val="TextoNormalCaracter"/>
        </w:rPr>
        <w:t>-</w:t>
      </w:r>
      <w:r>
        <w:t xml:space="preserve"> Auto </w:t>
      </w:r>
      <w:hyperlink w:anchor="AUTO_1997_191" w:history="1">
        <w:r w:rsidRPr="007D461E">
          <w:rPr>
            <w:rStyle w:val="TextoNormalCaracter"/>
          </w:rPr>
          <w:t>191/1997</w:t>
        </w:r>
      </w:hyperlink>
      <w:r>
        <w:t>.</w:t>
      </w:r>
    </w:p>
    <w:p w:rsidR="007D461E" w:rsidRDefault="007D461E" w:rsidP="007D461E">
      <w:pPr>
        <w:pStyle w:val="SangriaFrancesaArticulo"/>
      </w:pPr>
      <w:r w:rsidRPr="007D461E">
        <w:rPr>
          <w:rStyle w:val="TextoNormalNegritaCaracter"/>
        </w:rPr>
        <w:t>Artículo 777.</w:t>
      </w:r>
      <w:r w:rsidRPr="007D461E">
        <w:rPr>
          <w:rStyle w:val="TextoNormalCaracter"/>
        </w:rPr>
        <w:t>-</w:t>
      </w:r>
      <w:r>
        <w:t xml:space="preserve"> Sentencias </w:t>
      </w:r>
      <w:hyperlink w:anchor="SENTENCIA_1997_106" w:history="1">
        <w:r w:rsidRPr="007D461E">
          <w:rPr>
            <w:rStyle w:val="TextoNormalCaracter"/>
          </w:rPr>
          <w:t>106/1997</w:t>
        </w:r>
      </w:hyperlink>
      <w:r>
        <w:t xml:space="preserve">, f. 4; </w:t>
      </w:r>
      <w:hyperlink w:anchor="SENTENCIA_1997_118" w:history="1">
        <w:r w:rsidRPr="007D461E">
          <w:rPr>
            <w:rStyle w:val="TextoNormalCaracter"/>
          </w:rPr>
          <w:t>118/1997</w:t>
        </w:r>
      </w:hyperlink>
      <w:r>
        <w:t>, f. 1, VP.</w:t>
      </w:r>
    </w:p>
    <w:p w:rsidR="007D461E" w:rsidRDefault="007D461E" w:rsidP="007D461E">
      <w:pPr>
        <w:pStyle w:val="SangriaFrancesaArticulo"/>
      </w:pPr>
      <w:r w:rsidRPr="007D461E">
        <w:rPr>
          <w:rStyle w:val="TextoNormalNegritaCaracter"/>
        </w:rPr>
        <w:t>Artículo 777.3.</w:t>
      </w:r>
      <w:r w:rsidRPr="007D461E">
        <w:rPr>
          <w:rStyle w:val="TextoNormalCaracter"/>
        </w:rPr>
        <w:t>-</w:t>
      </w:r>
      <w:r>
        <w:t xml:space="preserve"> Sentencia </w:t>
      </w:r>
      <w:hyperlink w:anchor="SENTENCIA_1997_106" w:history="1">
        <w:r w:rsidRPr="007D461E">
          <w:rPr>
            <w:rStyle w:val="TextoNormalCaracter"/>
          </w:rPr>
          <w:t>106/1997</w:t>
        </w:r>
      </w:hyperlink>
      <w:r>
        <w:t>, f. 4.</w:t>
      </w:r>
    </w:p>
    <w:p w:rsidR="007D461E" w:rsidRDefault="007D461E" w:rsidP="007D461E">
      <w:pPr>
        <w:pStyle w:val="SangriaFrancesaArticulo"/>
      </w:pPr>
      <w:r w:rsidRPr="007D461E">
        <w:rPr>
          <w:rStyle w:val="TextoNormalNegritaCaracter"/>
        </w:rPr>
        <w:t>Artículo 778.</w:t>
      </w:r>
      <w:r w:rsidRPr="007D461E">
        <w:rPr>
          <w:rStyle w:val="TextoNormalCaracter"/>
        </w:rPr>
        <w:t>-</w:t>
      </w:r>
      <w:r>
        <w:t xml:space="preserve"> Sentencia </w:t>
      </w:r>
      <w:hyperlink w:anchor="SENTENCIA_1997_106" w:history="1">
        <w:r w:rsidRPr="007D461E">
          <w:rPr>
            <w:rStyle w:val="TextoNormalCaracter"/>
          </w:rPr>
          <w:t>106/1997</w:t>
        </w:r>
      </w:hyperlink>
      <w:r>
        <w:t>, f. 4.</w:t>
      </w:r>
    </w:p>
    <w:p w:rsidR="007D461E" w:rsidRDefault="007D461E" w:rsidP="007D461E">
      <w:pPr>
        <w:pStyle w:val="SangriaFrancesaArticulo"/>
      </w:pPr>
      <w:r w:rsidRPr="007D461E">
        <w:rPr>
          <w:rStyle w:val="TextoNormalNegritaCaracter"/>
        </w:rPr>
        <w:t>Artículo 785.</w:t>
      </w:r>
      <w:r w:rsidRPr="007D461E">
        <w:rPr>
          <w:rStyle w:val="TextoNormalCaracter"/>
        </w:rPr>
        <w:t>-</w:t>
      </w:r>
      <w:r>
        <w:t xml:space="preserve"> Sentencia </w:t>
      </w:r>
      <w:hyperlink w:anchor="SENTENCIA_1997_113" w:history="1">
        <w:r w:rsidRPr="007D461E">
          <w:rPr>
            <w:rStyle w:val="TextoNormalCaracter"/>
          </w:rPr>
          <w:t>113/1997</w:t>
        </w:r>
      </w:hyperlink>
      <w:r>
        <w:t>, f. 3.</w:t>
      </w:r>
    </w:p>
    <w:p w:rsidR="007D461E" w:rsidRDefault="007D461E" w:rsidP="007D461E">
      <w:pPr>
        <w:pStyle w:val="SangriaFrancesaArticulo"/>
      </w:pPr>
      <w:r w:rsidRPr="007D461E">
        <w:rPr>
          <w:rStyle w:val="TextoNormalNegritaCaracter"/>
        </w:rPr>
        <w:t>Artículo 785.3.</w:t>
      </w:r>
      <w:r w:rsidRPr="007D461E">
        <w:rPr>
          <w:rStyle w:val="TextoNormalCaracter"/>
        </w:rPr>
        <w:t>-</w:t>
      </w:r>
      <w:r>
        <w:t xml:space="preserve"> Sentencia </w:t>
      </w:r>
      <w:hyperlink w:anchor="SENTENCIA_1997_106" w:history="1">
        <w:r w:rsidRPr="007D461E">
          <w:rPr>
            <w:rStyle w:val="TextoNormalCaracter"/>
          </w:rPr>
          <w:t>106/1997</w:t>
        </w:r>
      </w:hyperlink>
      <w:r>
        <w:t>, f. 4.</w:t>
      </w:r>
    </w:p>
    <w:p w:rsidR="007D461E" w:rsidRDefault="007D461E" w:rsidP="007D461E">
      <w:pPr>
        <w:pStyle w:val="SangriaFrancesaArticulo"/>
      </w:pPr>
      <w:r w:rsidRPr="007D461E">
        <w:rPr>
          <w:rStyle w:val="TextoNormalNegritaCaracter"/>
        </w:rPr>
        <w:t>Artículo 789.</w:t>
      </w:r>
      <w:r w:rsidRPr="007D461E">
        <w:rPr>
          <w:rStyle w:val="TextoNormalCaracter"/>
        </w:rPr>
        <w:t>-</w:t>
      </w:r>
      <w:r>
        <w:t xml:space="preserve"> Sentencia </w:t>
      </w:r>
      <w:hyperlink w:anchor="SENTENCIA_1997_99" w:history="1">
        <w:r w:rsidRPr="007D461E">
          <w:rPr>
            <w:rStyle w:val="TextoNormalCaracter"/>
          </w:rPr>
          <w:t>99/1997</w:t>
        </w:r>
      </w:hyperlink>
      <w:r>
        <w:t>, f. 2.</w:t>
      </w:r>
    </w:p>
    <w:p w:rsidR="007D461E" w:rsidRDefault="007D461E" w:rsidP="007D461E">
      <w:pPr>
        <w:pStyle w:val="SangriaFrancesaArticulo"/>
      </w:pPr>
      <w:r w:rsidRPr="007D461E">
        <w:rPr>
          <w:rStyle w:val="TextoNormalNegritaCaracter"/>
        </w:rPr>
        <w:t>Artículo 859.</w:t>
      </w:r>
      <w:r w:rsidRPr="007D461E">
        <w:rPr>
          <w:rStyle w:val="TextoNormalCaracter"/>
        </w:rPr>
        <w:t>-</w:t>
      </w:r>
      <w:r>
        <w:t xml:space="preserve"> Sentencia </w:t>
      </w:r>
      <w:hyperlink w:anchor="SENTENCIA_1997_114" w:history="1">
        <w:r w:rsidRPr="007D461E">
          <w:rPr>
            <w:rStyle w:val="TextoNormalCaracter"/>
          </w:rPr>
          <w:t>114/1997</w:t>
        </w:r>
      </w:hyperlink>
      <w:r>
        <w:t>, f. 10.</w:t>
      </w:r>
    </w:p>
    <w:p w:rsidR="007D461E" w:rsidRDefault="007D461E" w:rsidP="007D461E">
      <w:pPr>
        <w:pStyle w:val="SangriaFrancesaArticulo"/>
      </w:pPr>
      <w:r w:rsidRPr="007D461E">
        <w:rPr>
          <w:rStyle w:val="TextoNormalNegritaCaracter"/>
        </w:rPr>
        <w:t>Artículo 862.</w:t>
      </w:r>
      <w:r w:rsidRPr="007D461E">
        <w:rPr>
          <w:rStyle w:val="TextoNormalCaracter"/>
        </w:rPr>
        <w:t>-</w:t>
      </w:r>
      <w:r>
        <w:t xml:space="preserve"> Sentencia </w:t>
      </w:r>
      <w:hyperlink w:anchor="SENTENCIA_1997_122" w:history="1">
        <w:r w:rsidRPr="007D461E">
          <w:rPr>
            <w:rStyle w:val="TextoNormalCaracter"/>
          </w:rPr>
          <w:t>122/1997</w:t>
        </w:r>
      </w:hyperlink>
      <w:r>
        <w:t>, f. 4.</w:t>
      </w:r>
    </w:p>
    <w:p w:rsidR="007D461E" w:rsidRDefault="007D461E" w:rsidP="007D461E">
      <w:pPr>
        <w:pStyle w:val="SangriaIzquierdaArticulo"/>
      </w:pPr>
      <w:r>
        <w:t xml:space="preserve">Auto </w:t>
      </w:r>
      <w:hyperlink w:anchor="AUTO_1997_294" w:history="1">
        <w:r w:rsidRPr="007D461E">
          <w:rPr>
            <w:rStyle w:val="TextoNormalCaracter"/>
          </w:rPr>
          <w:t>294/1997</w:t>
        </w:r>
      </w:hyperlink>
      <w:r>
        <w:t>.</w:t>
      </w:r>
    </w:p>
    <w:p w:rsidR="007D461E" w:rsidRDefault="007D461E" w:rsidP="007D461E">
      <w:pPr>
        <w:pStyle w:val="SangriaFrancesaArticulo"/>
      </w:pPr>
      <w:r w:rsidRPr="007D461E">
        <w:rPr>
          <w:rStyle w:val="TextoNormalNegritaCaracter"/>
        </w:rPr>
        <w:t>Artículo 862.5.</w:t>
      </w:r>
      <w:r w:rsidRPr="007D461E">
        <w:rPr>
          <w:rStyle w:val="TextoNormalCaracter"/>
        </w:rPr>
        <w:t>-</w:t>
      </w:r>
      <w:r>
        <w:t xml:space="preserve"> Sentencia </w:t>
      </w:r>
      <w:hyperlink w:anchor="SENTENCIA_1997_122" w:history="1">
        <w:r w:rsidRPr="007D461E">
          <w:rPr>
            <w:rStyle w:val="TextoNormalCaracter"/>
          </w:rPr>
          <w:t>122/1997</w:t>
        </w:r>
      </w:hyperlink>
      <w:r>
        <w:t>, ff. 1, 4.</w:t>
      </w:r>
    </w:p>
    <w:p w:rsidR="007D461E" w:rsidRDefault="007D461E" w:rsidP="007D461E">
      <w:pPr>
        <w:pStyle w:val="SangriaFrancesaArticulo"/>
      </w:pPr>
      <w:r w:rsidRPr="007D461E">
        <w:rPr>
          <w:rStyle w:val="TextoNormalNegritaCaracter"/>
        </w:rPr>
        <w:t>Artículo 893.</w:t>
      </w:r>
      <w:r w:rsidRPr="007D461E">
        <w:rPr>
          <w:rStyle w:val="TextoNormalCaracter"/>
        </w:rPr>
        <w:t>-</w:t>
      </w:r>
      <w:r>
        <w:t xml:space="preserve"> Sentencias </w:t>
      </w:r>
      <w:hyperlink w:anchor="SENTENCIA_1997_114" w:history="1">
        <w:r w:rsidRPr="007D461E">
          <w:rPr>
            <w:rStyle w:val="TextoNormalCaracter"/>
          </w:rPr>
          <w:t>114/1997</w:t>
        </w:r>
      </w:hyperlink>
      <w:r>
        <w:t xml:space="preserve">, f. 10; </w:t>
      </w:r>
      <w:hyperlink w:anchor="SENTENCIA_1997_122" w:history="1">
        <w:r w:rsidRPr="007D461E">
          <w:rPr>
            <w:rStyle w:val="TextoNormalCaracter"/>
          </w:rPr>
          <w:t>122/1997</w:t>
        </w:r>
      </w:hyperlink>
      <w:r>
        <w:t>, f. 4.</w:t>
      </w:r>
    </w:p>
    <w:p w:rsidR="007D461E" w:rsidRDefault="007D461E" w:rsidP="007D461E">
      <w:pPr>
        <w:pStyle w:val="SangriaFrancesaArticulo"/>
      </w:pPr>
      <w:r w:rsidRPr="007D461E">
        <w:rPr>
          <w:rStyle w:val="TextoNormalNegritaCaracter"/>
        </w:rPr>
        <w:t>Artículo 897.</w:t>
      </w:r>
      <w:r w:rsidRPr="007D461E">
        <w:rPr>
          <w:rStyle w:val="TextoNormalCaracter"/>
        </w:rPr>
        <w:t>-</w:t>
      </w:r>
      <w:r>
        <w:t xml:space="preserve"> Auto </w:t>
      </w:r>
      <w:hyperlink w:anchor="AUTO_1997_294" w:history="1">
        <w:r w:rsidRPr="007D461E">
          <w:rPr>
            <w:rStyle w:val="TextoNormalCaracter"/>
          </w:rPr>
          <w:t>294/1997</w:t>
        </w:r>
      </w:hyperlink>
      <w:r>
        <w:t>.</w:t>
      </w:r>
    </w:p>
    <w:p w:rsidR="007D461E" w:rsidRDefault="007D461E" w:rsidP="007D461E">
      <w:pPr>
        <w:pStyle w:val="SangriaFrancesaArticulo"/>
      </w:pPr>
      <w:r w:rsidRPr="007D461E">
        <w:rPr>
          <w:rStyle w:val="TextoNormalNegritaCaracter"/>
        </w:rPr>
        <w:t>Artículo 1429.6.</w:t>
      </w:r>
      <w:r w:rsidRPr="007D461E">
        <w:rPr>
          <w:rStyle w:val="TextoNormalCaracter"/>
        </w:rPr>
        <w:t>-</w:t>
      </w:r>
      <w:r>
        <w:t xml:space="preserve"> Sentencia </w:t>
      </w:r>
      <w:hyperlink w:anchor="SENTENCIA_1997_133" w:history="1">
        <w:r w:rsidRPr="007D461E">
          <w:rPr>
            <w:rStyle w:val="TextoNormalCaracter"/>
          </w:rPr>
          <w:t>133/1997</w:t>
        </w:r>
      </w:hyperlink>
      <w:r>
        <w:t>, f. 13.</w:t>
      </w:r>
    </w:p>
    <w:p w:rsidR="007D461E" w:rsidRDefault="007D461E" w:rsidP="007D461E">
      <w:pPr>
        <w:pStyle w:val="SangriaFrancesaArticulo"/>
      </w:pPr>
      <w:r w:rsidRPr="007D461E">
        <w:rPr>
          <w:rStyle w:val="TextoNormalNegritaCaracter"/>
        </w:rPr>
        <w:t>Artículo 1435.</w:t>
      </w:r>
      <w:r w:rsidRPr="007D461E">
        <w:rPr>
          <w:rStyle w:val="TextoNormalCaracter"/>
        </w:rPr>
        <w:t>-</w:t>
      </w:r>
      <w:r>
        <w:t xml:space="preserve"> Sentencia </w:t>
      </w:r>
      <w:hyperlink w:anchor="SENTENCIA_1997_133" w:history="1">
        <w:r w:rsidRPr="007D461E">
          <w:rPr>
            <w:rStyle w:val="TextoNormalCaracter"/>
          </w:rPr>
          <w:t>133/1997</w:t>
        </w:r>
      </w:hyperlink>
      <w:r>
        <w:t>, f. 13.</w:t>
      </w:r>
    </w:p>
    <w:p w:rsidR="007D461E" w:rsidRDefault="007D461E" w:rsidP="007D461E">
      <w:pPr>
        <w:pStyle w:val="SangriaFrancesaArticulo"/>
      </w:pPr>
      <w:r w:rsidRPr="007D461E">
        <w:rPr>
          <w:rStyle w:val="TextoNormalNegritaCaracter"/>
        </w:rPr>
        <w:t>Artículo 1479.</w:t>
      </w:r>
      <w:r w:rsidRPr="007D461E">
        <w:rPr>
          <w:rStyle w:val="TextoNormalCaracter"/>
        </w:rPr>
        <w:t>-</w:t>
      </w:r>
      <w:r>
        <w:t xml:space="preserve"> Sentencia </w:t>
      </w:r>
      <w:hyperlink w:anchor="SENTENCIA_1997_99" w:history="1">
        <w:r w:rsidRPr="007D461E">
          <w:rPr>
            <w:rStyle w:val="TextoNormalCaracter"/>
          </w:rPr>
          <w:t>99/1997</w:t>
        </w:r>
      </w:hyperlink>
      <w:r>
        <w:t>, f. 2.</w:t>
      </w:r>
    </w:p>
    <w:p w:rsidR="007D461E" w:rsidRDefault="007D461E" w:rsidP="007D461E">
      <w:pPr>
        <w:pStyle w:val="SangriaFrancesaArticulo"/>
      </w:pPr>
      <w:r w:rsidRPr="007D461E">
        <w:rPr>
          <w:rStyle w:val="TextoNormalNegritaCaracter"/>
        </w:rPr>
        <w:t>Artículo 1583.</w:t>
      </w:r>
      <w:r w:rsidRPr="007D461E">
        <w:rPr>
          <w:rStyle w:val="TextoNormalCaracter"/>
        </w:rPr>
        <w:t>-</w:t>
      </w:r>
      <w:r>
        <w:t xml:space="preserve"> Sentencia </w:t>
      </w:r>
      <w:hyperlink w:anchor="SENTENCIA_1997_106" w:history="1">
        <w:r w:rsidRPr="007D461E">
          <w:rPr>
            <w:rStyle w:val="TextoNormalCaracter"/>
          </w:rPr>
          <w:t>106/1997</w:t>
        </w:r>
      </w:hyperlink>
      <w:r>
        <w:t>, f. 2.</w:t>
      </w:r>
    </w:p>
    <w:p w:rsidR="007D461E" w:rsidRDefault="007D461E" w:rsidP="007D461E">
      <w:pPr>
        <w:pStyle w:val="SangriaFrancesaArticulo"/>
      </w:pPr>
      <w:r w:rsidRPr="007D461E">
        <w:rPr>
          <w:rStyle w:val="TextoNormalNegritaCaracter"/>
        </w:rPr>
        <w:t>Artículo 1796.</w:t>
      </w:r>
      <w:r w:rsidRPr="007D461E">
        <w:rPr>
          <w:rStyle w:val="TextoNormalCaracter"/>
        </w:rPr>
        <w:t>-</w:t>
      </w:r>
      <w:r>
        <w:t xml:space="preserve"> Sentencias </w:t>
      </w:r>
      <w:hyperlink w:anchor="SENTENCIA_1997_99" w:history="1">
        <w:r w:rsidRPr="007D461E">
          <w:rPr>
            <w:rStyle w:val="TextoNormalCaracter"/>
          </w:rPr>
          <w:t>99/1997</w:t>
        </w:r>
      </w:hyperlink>
      <w:r>
        <w:t xml:space="preserve">, f. 2; </w:t>
      </w:r>
      <w:hyperlink w:anchor="SENTENCIA_1997_106" w:history="1">
        <w:r w:rsidRPr="007D461E">
          <w:rPr>
            <w:rStyle w:val="TextoNormalCaracter"/>
          </w:rPr>
          <w:t>106/1997</w:t>
        </w:r>
      </w:hyperlink>
      <w:r>
        <w:t xml:space="preserve">, f. 2; </w:t>
      </w:r>
      <w:hyperlink w:anchor="SENTENCIA_1997_118" w:history="1">
        <w:r w:rsidRPr="007D461E">
          <w:rPr>
            <w:rStyle w:val="TextoNormalCaracter"/>
          </w:rPr>
          <w:t>118/1997</w:t>
        </w:r>
      </w:hyperlink>
      <w:r>
        <w:t>, VP.</w:t>
      </w:r>
    </w:p>
    <w:p w:rsidR="007D461E" w:rsidRDefault="007D461E" w:rsidP="007D461E">
      <w:pPr>
        <w:pStyle w:val="SangriaFrancesaArticulo"/>
      </w:pPr>
      <w:r w:rsidRPr="007D461E">
        <w:rPr>
          <w:rStyle w:val="TextoNormalNegritaCaracter"/>
        </w:rPr>
        <w:t>Artículo 1796.4.</w:t>
      </w:r>
      <w:r w:rsidRPr="007D461E">
        <w:rPr>
          <w:rStyle w:val="TextoNormalCaracter"/>
        </w:rPr>
        <w:t>-</w:t>
      </w:r>
      <w:r>
        <w:t xml:space="preserve"> Sentencias </w:t>
      </w:r>
      <w:hyperlink w:anchor="SENTENCIA_1997_99" w:history="1">
        <w:r w:rsidRPr="007D461E">
          <w:rPr>
            <w:rStyle w:val="TextoNormalCaracter"/>
          </w:rPr>
          <w:t>99/1997</w:t>
        </w:r>
      </w:hyperlink>
      <w:r>
        <w:t xml:space="preserve">, f. 2; </w:t>
      </w:r>
      <w:hyperlink w:anchor="SENTENCIA_1997_118" w:history="1">
        <w:r w:rsidRPr="007D461E">
          <w:rPr>
            <w:rStyle w:val="TextoNormalCaracter"/>
          </w:rPr>
          <w:t>118/1997</w:t>
        </w:r>
      </w:hyperlink>
      <w:r>
        <w:t>, VP.</w:t>
      </w:r>
    </w:p>
    <w:p w:rsidR="007D461E" w:rsidRDefault="007D461E" w:rsidP="007D461E">
      <w:pPr>
        <w:pStyle w:val="SangriaFrancesaArticulo"/>
      </w:pPr>
      <w:r w:rsidRPr="007D461E">
        <w:rPr>
          <w:rStyle w:val="TextoNormalNegritaCaracter"/>
        </w:rPr>
        <w:t>Artículo 1797.</w:t>
      </w:r>
      <w:r w:rsidRPr="007D461E">
        <w:rPr>
          <w:rStyle w:val="TextoNormalCaracter"/>
        </w:rPr>
        <w:t>-</w:t>
      </w:r>
      <w:r>
        <w:t xml:space="preserve"> Sentencia </w:t>
      </w:r>
      <w:hyperlink w:anchor="SENTENCIA_1997_106" w:history="1">
        <w:r w:rsidRPr="007D461E">
          <w:rPr>
            <w:rStyle w:val="TextoNormalCaracter"/>
          </w:rPr>
          <w:t>106/1997</w:t>
        </w:r>
      </w:hyperlink>
      <w:r>
        <w:t>, f. 2.</w:t>
      </w:r>
    </w:p>
    <w:p w:rsidR="007D461E" w:rsidRDefault="007D461E" w:rsidP="007D461E">
      <w:pPr>
        <w:pStyle w:val="SangriaFrancesaArticulo"/>
      </w:pPr>
      <w:r w:rsidRPr="007D461E">
        <w:rPr>
          <w:rStyle w:val="TextoNormalNegritaCaracter"/>
        </w:rPr>
        <w:t>Artículo 1800.</w:t>
      </w:r>
      <w:r w:rsidRPr="007D461E">
        <w:rPr>
          <w:rStyle w:val="TextoNormalCaracter"/>
        </w:rPr>
        <w:t>-</w:t>
      </w:r>
      <w:r>
        <w:t xml:space="preserve"> Sentencia </w:t>
      </w:r>
      <w:hyperlink w:anchor="SENTENCIA_1997_118" w:history="1">
        <w:r w:rsidRPr="007D461E">
          <w:rPr>
            <w:rStyle w:val="TextoNormalCaracter"/>
          </w:rPr>
          <w:t>118/1997</w:t>
        </w:r>
      </w:hyperlink>
      <w:r>
        <w:t>, f. 1, VP.</w:t>
      </w:r>
    </w:p>
    <w:p w:rsidR="007D461E" w:rsidRDefault="007D461E" w:rsidP="007D461E">
      <w:pPr>
        <w:pStyle w:val="SangriaFrancesaArticulo"/>
      </w:pPr>
      <w:r w:rsidRPr="007D461E">
        <w:rPr>
          <w:rStyle w:val="TextoNormalNegritaCaracter"/>
        </w:rPr>
        <w:t>Artículo 1813.</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1816.</w:t>
      </w:r>
      <w:r w:rsidRPr="007D461E">
        <w:rPr>
          <w:rStyle w:val="TextoNormalCaracter"/>
        </w:rPr>
        <w:t>-</w:t>
      </w:r>
      <w:r>
        <w:t xml:space="preserve"> Sentencia </w:t>
      </w:r>
      <w:hyperlink w:anchor="SENTENCIA_1997_114" w:history="1">
        <w:r w:rsidRPr="007D461E">
          <w:rPr>
            <w:rStyle w:val="TextoNormalCaracter"/>
          </w:rPr>
          <w:t>114/1997</w:t>
        </w:r>
      </w:hyperlink>
      <w:r>
        <w:t>, ff. 3, 4.</w:t>
      </w:r>
    </w:p>
    <w:p w:rsidR="007D461E" w:rsidRDefault="007D461E" w:rsidP="007D461E">
      <w:pPr>
        <w:pStyle w:val="SangriaFrancesaArticulo"/>
      </w:pPr>
      <w:r w:rsidRPr="007D461E">
        <w:rPr>
          <w:rStyle w:val="TextoNormalNegritaCaracter"/>
        </w:rPr>
        <w:t>Artículo 1818.</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1826.</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p>
    <w:p w:rsidR="007D461E" w:rsidRDefault="007D461E" w:rsidP="007D461E">
      <w:pPr>
        <w:pStyle w:val="TextoNormalNegritaCursivandice"/>
      </w:pPr>
      <w:r>
        <w:t>Real Decreto de 14 de septiembre de 1882. Ley de enjuiciamiento criminal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98" w:history="1">
        <w:r w:rsidRPr="007D461E">
          <w:rPr>
            <w:rStyle w:val="TextoNormalCaracter"/>
          </w:rPr>
          <w:t>98/1997</w:t>
        </w:r>
      </w:hyperlink>
      <w:r>
        <w:t xml:space="preserve">, VP; </w:t>
      </w:r>
      <w:hyperlink w:anchor="SENTENCIA_1997_116" w:history="1">
        <w:r w:rsidRPr="007D461E">
          <w:rPr>
            <w:rStyle w:val="TextoNormalCaracter"/>
          </w:rPr>
          <w:t>116/1997</w:t>
        </w:r>
      </w:hyperlink>
      <w:r>
        <w:t xml:space="preserve">, f. 4; </w:t>
      </w:r>
      <w:hyperlink w:anchor="SENTENCIA_1997_123" w:history="1">
        <w:r w:rsidRPr="007D461E">
          <w:rPr>
            <w:rStyle w:val="TextoNormalCaracter"/>
          </w:rPr>
          <w:t>123/1997</w:t>
        </w:r>
      </w:hyperlink>
      <w:r>
        <w:t>, f. 6.</w:t>
      </w:r>
    </w:p>
    <w:p w:rsidR="007D461E" w:rsidRDefault="007D461E" w:rsidP="007D461E">
      <w:pPr>
        <w:pStyle w:val="SangriaFrancesaArticulo"/>
      </w:pPr>
      <w:r w:rsidRPr="007D461E">
        <w:rPr>
          <w:rStyle w:val="TextoNormalNegritaCaracter"/>
        </w:rPr>
        <w:t>Artículo 3.</w:t>
      </w:r>
      <w:r w:rsidRPr="007D461E">
        <w:rPr>
          <w:rStyle w:val="TextoNormalCaracter"/>
        </w:rPr>
        <w:t>-</w:t>
      </w:r>
      <w:r>
        <w:t xml:space="preserve"> Auto </w:t>
      </w:r>
      <w:hyperlink w:anchor="AUTO_1997_175" w:history="1">
        <w:r w:rsidRPr="007D461E">
          <w:rPr>
            <w:rStyle w:val="TextoNormalCaracter"/>
          </w:rPr>
          <w:t>175/1997</w:t>
        </w:r>
      </w:hyperlink>
      <w:r>
        <w:t>.</w:t>
      </w:r>
    </w:p>
    <w:p w:rsidR="007D461E" w:rsidRDefault="007D461E" w:rsidP="007D461E">
      <w:pPr>
        <w:pStyle w:val="SangriaFrancesaArticulo"/>
      </w:pPr>
      <w:r w:rsidRPr="007D461E">
        <w:rPr>
          <w:rStyle w:val="TextoNormalNegritaCaracter"/>
        </w:rPr>
        <w:t>Artículo 14.</w:t>
      </w:r>
      <w:r w:rsidRPr="007D461E">
        <w:rPr>
          <w:rStyle w:val="TextoNormalCaracter"/>
        </w:rPr>
        <w:t>-</w:t>
      </w:r>
      <w:r>
        <w:t xml:space="preserve"> Auto </w:t>
      </w:r>
      <w:hyperlink w:anchor="AUTO_1997_235" w:history="1">
        <w:r w:rsidRPr="007D461E">
          <w:rPr>
            <w:rStyle w:val="TextoNormalCaracter"/>
          </w:rPr>
          <w:t>235/1997</w:t>
        </w:r>
      </w:hyperlink>
      <w:r>
        <w:t>.</w:t>
      </w:r>
    </w:p>
    <w:p w:rsidR="007D461E" w:rsidRDefault="007D461E" w:rsidP="007D461E">
      <w:pPr>
        <w:pStyle w:val="SangriaFrancesaArticulo"/>
      </w:pPr>
      <w:r w:rsidRPr="007D461E">
        <w:rPr>
          <w:rStyle w:val="TextoNormalNegritaCaracter"/>
        </w:rPr>
        <w:t>Artículo 109.</w:t>
      </w:r>
      <w:r w:rsidRPr="007D461E">
        <w:rPr>
          <w:rStyle w:val="TextoNormalCaracter"/>
        </w:rPr>
        <w:t>-</w:t>
      </w:r>
      <w:r>
        <w:t xml:space="preserve"> Sentencia </w:t>
      </w:r>
      <w:hyperlink w:anchor="SENTENCIA_1997_140" w:history="1">
        <w:r w:rsidRPr="007D461E">
          <w:rPr>
            <w:rStyle w:val="TextoNormalCaracter"/>
          </w:rPr>
          <w:t>140/1997</w:t>
        </w:r>
      </w:hyperlink>
      <w:r>
        <w:t>, ff. 2, 3.</w:t>
      </w:r>
    </w:p>
    <w:p w:rsidR="007D461E" w:rsidRDefault="007D461E" w:rsidP="007D461E">
      <w:pPr>
        <w:pStyle w:val="SangriaFrancesaArticulo"/>
      </w:pPr>
      <w:r w:rsidRPr="007D461E">
        <w:rPr>
          <w:rStyle w:val="TextoNormalNegritaCaracter"/>
        </w:rPr>
        <w:t>Artículo 119.</w:t>
      </w:r>
      <w:r w:rsidRPr="007D461E">
        <w:rPr>
          <w:rStyle w:val="TextoNormalCaracter"/>
        </w:rPr>
        <w:t>-</w:t>
      </w:r>
      <w:r>
        <w:t xml:space="preserve"> Sentencias </w:t>
      </w:r>
      <w:hyperlink w:anchor="SENTENCIA_1997_120" w:history="1">
        <w:r w:rsidRPr="007D461E">
          <w:rPr>
            <w:rStyle w:val="TextoNormalCaracter"/>
          </w:rPr>
          <w:t>120/1997</w:t>
        </w:r>
      </w:hyperlink>
      <w:r>
        <w:t xml:space="preserve">, f. 4; </w:t>
      </w:r>
      <w:hyperlink w:anchor="SENTENCIA_1997_138" w:history="1">
        <w:r w:rsidRPr="007D461E">
          <w:rPr>
            <w:rStyle w:val="TextoNormalCaracter"/>
          </w:rPr>
          <w:t>138/1997</w:t>
        </w:r>
      </w:hyperlink>
      <w:r>
        <w:t>, f. 4.</w:t>
      </w:r>
    </w:p>
    <w:p w:rsidR="007D461E" w:rsidRDefault="007D461E" w:rsidP="007D461E">
      <w:pPr>
        <w:pStyle w:val="SangriaFrancesaArticulo"/>
      </w:pPr>
      <w:r w:rsidRPr="007D461E">
        <w:rPr>
          <w:rStyle w:val="TextoNormalNegritaCaracter"/>
        </w:rPr>
        <w:t>Artículo 119.3.</w:t>
      </w:r>
      <w:r w:rsidRPr="007D461E">
        <w:rPr>
          <w:rStyle w:val="TextoNormalCaracter"/>
        </w:rPr>
        <w:t>-</w:t>
      </w:r>
      <w:r>
        <w:t xml:space="preserve"> Sentencia </w:t>
      </w:r>
      <w:hyperlink w:anchor="SENTENCIA_1997_138" w:history="1">
        <w:r w:rsidRPr="007D461E">
          <w:rPr>
            <w:rStyle w:val="TextoNormalCaracter"/>
          </w:rPr>
          <w:t>138/1997</w:t>
        </w:r>
      </w:hyperlink>
      <w:r>
        <w:t>, f. 5.</w:t>
      </w:r>
    </w:p>
    <w:p w:rsidR="007D461E" w:rsidRDefault="007D461E" w:rsidP="007D461E">
      <w:pPr>
        <w:pStyle w:val="SangriaFrancesaArticulo"/>
      </w:pPr>
      <w:r w:rsidRPr="007D461E">
        <w:rPr>
          <w:rStyle w:val="TextoNormalNegritaCaracter"/>
        </w:rPr>
        <w:t>Artículo 160.</w:t>
      </w:r>
      <w:r w:rsidRPr="007D461E">
        <w:rPr>
          <w:rStyle w:val="TextoNormalCaracter"/>
        </w:rPr>
        <w:t>-</w:t>
      </w:r>
      <w:r>
        <w:t xml:space="preserve"> Sentencia </w:t>
      </w:r>
      <w:hyperlink w:anchor="SENTENCIA_1997_88" w:history="1">
        <w:r w:rsidRPr="007D461E">
          <w:rPr>
            <w:rStyle w:val="TextoNormalCaracter"/>
          </w:rPr>
          <w:t>88/1997</w:t>
        </w:r>
      </w:hyperlink>
      <w:r>
        <w:t>, f. 4.</w:t>
      </w:r>
    </w:p>
    <w:p w:rsidR="007D461E" w:rsidRDefault="007D461E" w:rsidP="007D461E">
      <w:pPr>
        <w:pStyle w:val="SangriaFrancesaArticulo"/>
      </w:pPr>
      <w:r w:rsidRPr="007D461E">
        <w:rPr>
          <w:rStyle w:val="TextoNormalNegritaCaracter"/>
        </w:rPr>
        <w:t>Artículo 160.1.</w:t>
      </w:r>
      <w:r w:rsidRPr="007D461E">
        <w:rPr>
          <w:rStyle w:val="TextoNormalCaracter"/>
        </w:rPr>
        <w:t>-</w:t>
      </w:r>
      <w:r>
        <w:t xml:space="preserve"> Sentencia </w:t>
      </w:r>
      <w:hyperlink w:anchor="SENTENCIA_1997_88" w:history="1">
        <w:r w:rsidRPr="007D461E">
          <w:rPr>
            <w:rStyle w:val="TextoNormalCaracter"/>
          </w:rPr>
          <w:t>88/1997</w:t>
        </w:r>
      </w:hyperlink>
      <w:r>
        <w:t>, f. 3.</w:t>
      </w:r>
    </w:p>
    <w:p w:rsidR="007D461E" w:rsidRDefault="007D461E" w:rsidP="007D461E">
      <w:pPr>
        <w:pStyle w:val="SangriaFrancesaArticulo"/>
      </w:pPr>
      <w:r w:rsidRPr="007D461E">
        <w:rPr>
          <w:rStyle w:val="TextoNormalNegritaCaracter"/>
        </w:rPr>
        <w:t>Artículo 160.2.</w:t>
      </w:r>
      <w:r w:rsidRPr="007D461E">
        <w:rPr>
          <w:rStyle w:val="TextoNormalCaracter"/>
        </w:rPr>
        <w:t>-</w:t>
      </w:r>
      <w:r>
        <w:t xml:space="preserve"> Sentencia </w:t>
      </w:r>
      <w:hyperlink w:anchor="SENTENCIA_1997_88" w:history="1">
        <w:r w:rsidRPr="007D461E">
          <w:rPr>
            <w:rStyle w:val="TextoNormalCaracter"/>
          </w:rPr>
          <w:t>88/1997</w:t>
        </w:r>
      </w:hyperlink>
      <w:r>
        <w:t>, f. 3.</w:t>
      </w:r>
    </w:p>
    <w:p w:rsidR="007D461E" w:rsidRDefault="007D461E" w:rsidP="007D461E">
      <w:pPr>
        <w:pStyle w:val="SangriaFrancesaArticulo"/>
      </w:pPr>
      <w:r w:rsidRPr="007D461E">
        <w:rPr>
          <w:rStyle w:val="TextoNormalNegritaCaracter"/>
        </w:rPr>
        <w:t>Artículos 166 a 171.</w:t>
      </w:r>
      <w:r w:rsidRPr="007D461E">
        <w:rPr>
          <w:rStyle w:val="TextoNormalCaracter"/>
        </w:rPr>
        <w:t>-</w:t>
      </w:r>
      <w:r>
        <w:t xml:space="preserve"> Sentencia </w:t>
      </w:r>
      <w:hyperlink w:anchor="SENTENCIA_1997_135" w:history="1">
        <w:r w:rsidRPr="007D461E">
          <w:rPr>
            <w:rStyle w:val="TextoNormalCaracter"/>
          </w:rPr>
          <w:t>135/1997</w:t>
        </w:r>
      </w:hyperlink>
      <w:r>
        <w:t>, f. 4.</w:t>
      </w:r>
    </w:p>
    <w:p w:rsidR="007D461E" w:rsidRDefault="007D461E" w:rsidP="007D461E">
      <w:pPr>
        <w:pStyle w:val="SangriaFrancesaArticulo"/>
      </w:pPr>
      <w:r w:rsidRPr="007D461E">
        <w:rPr>
          <w:rStyle w:val="TextoNormalNegritaCaracter"/>
        </w:rPr>
        <w:t>Artículo 178.</w:t>
      </w:r>
      <w:r w:rsidRPr="007D461E">
        <w:rPr>
          <w:rStyle w:val="TextoNormalCaracter"/>
        </w:rPr>
        <w:t>-</w:t>
      </w:r>
      <w:r>
        <w:t xml:space="preserve"> Sentencia </w:t>
      </w:r>
      <w:hyperlink w:anchor="SENTENCIA_1997_135" w:history="1">
        <w:r w:rsidRPr="007D461E">
          <w:rPr>
            <w:rStyle w:val="TextoNormalCaracter"/>
          </w:rPr>
          <w:t>135/1997</w:t>
        </w:r>
      </w:hyperlink>
      <w:r>
        <w:t>, f. 4.</w:t>
      </w:r>
    </w:p>
    <w:p w:rsidR="007D461E" w:rsidRDefault="007D461E" w:rsidP="007D461E">
      <w:pPr>
        <w:pStyle w:val="SangriaFrancesaArticulo"/>
      </w:pPr>
      <w:r w:rsidRPr="007D461E">
        <w:rPr>
          <w:rStyle w:val="TextoNormalNegritaCaracter"/>
        </w:rPr>
        <w:t>Artículo 182.1.</w:t>
      </w:r>
      <w:r w:rsidRPr="007D461E">
        <w:rPr>
          <w:rStyle w:val="TextoNormalCaracter"/>
        </w:rPr>
        <w:t>-</w:t>
      </w:r>
      <w:r>
        <w:t xml:space="preserve"> Sentencia </w:t>
      </w:r>
      <w:hyperlink w:anchor="SENTENCIA_1997_88" w:history="1">
        <w:r w:rsidRPr="007D461E">
          <w:rPr>
            <w:rStyle w:val="TextoNormalCaracter"/>
          </w:rPr>
          <w:t>88/1997</w:t>
        </w:r>
      </w:hyperlink>
      <w:r>
        <w:t>, f. 3.</w:t>
      </w:r>
    </w:p>
    <w:p w:rsidR="007D461E" w:rsidRDefault="007D461E" w:rsidP="007D461E">
      <w:pPr>
        <w:pStyle w:val="SangriaFrancesaArticulo"/>
      </w:pPr>
      <w:r w:rsidRPr="007D461E">
        <w:rPr>
          <w:rStyle w:val="TextoNormalNegritaCaracter"/>
        </w:rPr>
        <w:t>Artículo 212.</w:t>
      </w:r>
      <w:r w:rsidRPr="007D461E">
        <w:rPr>
          <w:rStyle w:val="TextoNormalCaracter"/>
        </w:rPr>
        <w:t>-</w:t>
      </w:r>
      <w:r>
        <w:t xml:space="preserve"> Sentencia </w:t>
      </w:r>
      <w:hyperlink w:anchor="SENTENCIA_1997_88" w:history="1">
        <w:r w:rsidRPr="007D461E">
          <w:rPr>
            <w:rStyle w:val="TextoNormalCaracter"/>
          </w:rPr>
          <w:t>88/1997</w:t>
        </w:r>
      </w:hyperlink>
      <w:r>
        <w:t>, f. 3.</w:t>
      </w:r>
    </w:p>
    <w:p w:rsidR="007D461E" w:rsidRDefault="007D461E" w:rsidP="007D461E">
      <w:pPr>
        <w:pStyle w:val="SangriaFrancesaArticulo"/>
      </w:pPr>
      <w:r w:rsidRPr="007D461E">
        <w:rPr>
          <w:rStyle w:val="TextoNormalNegritaCaracter"/>
        </w:rPr>
        <w:t>Artículo 269.</w:t>
      </w:r>
      <w:r w:rsidRPr="007D461E">
        <w:rPr>
          <w:rStyle w:val="TextoNormalCaracter"/>
        </w:rPr>
        <w:t>-</w:t>
      </w:r>
      <w:r>
        <w:t xml:space="preserve"> Sentencias </w:t>
      </w:r>
      <w:hyperlink w:anchor="SENTENCIA_1997_120" w:history="1">
        <w:r w:rsidRPr="007D461E">
          <w:rPr>
            <w:rStyle w:val="TextoNormalCaracter"/>
          </w:rPr>
          <w:t>120/1997</w:t>
        </w:r>
      </w:hyperlink>
      <w:r>
        <w:t xml:space="preserve">, f. 4; </w:t>
      </w:r>
      <w:hyperlink w:anchor="SENTENCIA_1997_138" w:history="1">
        <w:r w:rsidRPr="007D461E">
          <w:rPr>
            <w:rStyle w:val="TextoNormalCaracter"/>
          </w:rPr>
          <w:t>138/1997</w:t>
        </w:r>
      </w:hyperlink>
      <w:r>
        <w:t>, f. 5.</w:t>
      </w:r>
    </w:p>
    <w:p w:rsidR="007D461E" w:rsidRDefault="007D461E" w:rsidP="007D461E">
      <w:pPr>
        <w:pStyle w:val="SangriaFrancesaArticulo"/>
      </w:pPr>
      <w:r w:rsidRPr="007D461E">
        <w:rPr>
          <w:rStyle w:val="TextoNormalNegritaCaracter"/>
        </w:rPr>
        <w:lastRenderedPageBreak/>
        <w:t>Artículo 269.1.</w:t>
      </w:r>
      <w:r w:rsidRPr="007D461E">
        <w:rPr>
          <w:rStyle w:val="TextoNormalCaracter"/>
        </w:rPr>
        <w:t>-</w:t>
      </w:r>
      <w:r>
        <w:t xml:space="preserve"> Sentencia </w:t>
      </w:r>
      <w:hyperlink w:anchor="SENTENCIA_1997_120" w:history="1">
        <w:r w:rsidRPr="007D461E">
          <w:rPr>
            <w:rStyle w:val="TextoNormalCaracter"/>
          </w:rPr>
          <w:t>120/1997</w:t>
        </w:r>
      </w:hyperlink>
      <w:r>
        <w:t>, f. 4.</w:t>
      </w:r>
    </w:p>
    <w:p w:rsidR="007D461E" w:rsidRDefault="007D461E" w:rsidP="007D461E">
      <w:pPr>
        <w:pStyle w:val="SangriaFrancesaArticulo"/>
      </w:pPr>
      <w:r w:rsidRPr="007D461E">
        <w:rPr>
          <w:rStyle w:val="TextoNormalNegritaCaracter"/>
        </w:rPr>
        <w:t>Artículo 313.</w:t>
      </w:r>
      <w:r w:rsidRPr="007D461E">
        <w:rPr>
          <w:rStyle w:val="TextoNormalCaracter"/>
        </w:rPr>
        <w:t>-</w:t>
      </w:r>
      <w:r>
        <w:t xml:space="preserve"> Sentencias </w:t>
      </w:r>
      <w:hyperlink w:anchor="SENTENCIA_1997_120" w:history="1">
        <w:r w:rsidRPr="007D461E">
          <w:rPr>
            <w:rStyle w:val="TextoNormalCaracter"/>
          </w:rPr>
          <w:t>120/1997</w:t>
        </w:r>
      </w:hyperlink>
      <w:r>
        <w:t xml:space="preserve">, f. 4; </w:t>
      </w:r>
      <w:hyperlink w:anchor="SENTENCIA_1997_138" w:history="1">
        <w:r w:rsidRPr="007D461E">
          <w:rPr>
            <w:rStyle w:val="TextoNormalCaracter"/>
          </w:rPr>
          <w:t>138/1997</w:t>
        </w:r>
      </w:hyperlink>
      <w:r>
        <w:t>, f. 5.</w:t>
      </w:r>
    </w:p>
    <w:p w:rsidR="007D461E" w:rsidRDefault="007D461E" w:rsidP="007D461E">
      <w:pPr>
        <w:pStyle w:val="SangriaFrancesaArticulo"/>
      </w:pPr>
      <w:r w:rsidRPr="007D461E">
        <w:rPr>
          <w:rStyle w:val="TextoNormalNegritaCaracter"/>
        </w:rPr>
        <w:t>Artículo 502.</w:t>
      </w:r>
      <w:r w:rsidRPr="007D461E">
        <w:rPr>
          <w:rStyle w:val="TextoNormalCaracter"/>
        </w:rPr>
        <w:t>-</w:t>
      </w:r>
      <w:r>
        <w:t xml:space="preserve"> Sentencia </w:t>
      </w:r>
      <w:hyperlink w:anchor="SENTENCIA_1997_98" w:history="1">
        <w:r w:rsidRPr="007D461E">
          <w:rPr>
            <w:rStyle w:val="TextoNormalCaracter"/>
          </w:rPr>
          <w:t>98/1997</w:t>
        </w:r>
      </w:hyperlink>
      <w:r>
        <w:t>, f. 2.</w:t>
      </w:r>
    </w:p>
    <w:p w:rsidR="007D461E" w:rsidRDefault="007D461E" w:rsidP="007D461E">
      <w:pPr>
        <w:pStyle w:val="SangriaIzquierdaArticulo"/>
      </w:pPr>
      <w:r>
        <w:t xml:space="preserve">Auto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503.</w:t>
      </w:r>
      <w:r w:rsidRPr="007D461E">
        <w:rPr>
          <w:rStyle w:val="TextoNormalCaracter"/>
        </w:rPr>
        <w:t>-</w:t>
      </w:r>
      <w:r>
        <w:t xml:space="preserve"> Sentencia </w:t>
      </w:r>
      <w:hyperlink w:anchor="SENTENCIA_1997_107" w:history="1">
        <w:r w:rsidRPr="007D461E">
          <w:rPr>
            <w:rStyle w:val="TextoNormalCaracter"/>
          </w:rPr>
          <w:t>107/1997</w:t>
        </w:r>
      </w:hyperlink>
      <w:r>
        <w:t>, f. 6.</w:t>
      </w:r>
    </w:p>
    <w:p w:rsidR="007D461E" w:rsidRDefault="007D461E" w:rsidP="007D461E">
      <w:pPr>
        <w:pStyle w:val="SangriaFrancesaArticulo"/>
      </w:pPr>
      <w:r w:rsidRPr="007D461E">
        <w:rPr>
          <w:rStyle w:val="TextoNormalNegritaCaracter"/>
        </w:rPr>
        <w:t>Artículo 503.3.</w:t>
      </w:r>
      <w:r w:rsidRPr="007D461E">
        <w:rPr>
          <w:rStyle w:val="TextoNormalCaracter"/>
        </w:rPr>
        <w:t>-</w:t>
      </w:r>
      <w:r>
        <w:t xml:space="preserve"> Sentencia </w:t>
      </w:r>
      <w:hyperlink w:anchor="SENTENCIA_1997_98" w:history="1">
        <w:r w:rsidRPr="007D461E">
          <w:rPr>
            <w:rStyle w:val="TextoNormalCaracter"/>
          </w:rPr>
          <w:t>98/1997</w:t>
        </w:r>
      </w:hyperlink>
      <w:r>
        <w:t>, f. 8.</w:t>
      </w:r>
    </w:p>
    <w:p w:rsidR="007D461E" w:rsidRDefault="007D461E" w:rsidP="007D461E">
      <w:pPr>
        <w:pStyle w:val="SangriaFrancesaArticulo"/>
      </w:pPr>
      <w:r w:rsidRPr="007D461E">
        <w:rPr>
          <w:rStyle w:val="TextoNormalNegritaCaracter"/>
        </w:rPr>
        <w:t>Artículo 503.4.</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r w:rsidRPr="007D461E">
        <w:rPr>
          <w:rStyle w:val="TextoNormalNegritaCaracter"/>
        </w:rPr>
        <w:t>Artículo 504.</w:t>
      </w:r>
      <w:r w:rsidRPr="007D461E">
        <w:rPr>
          <w:rStyle w:val="TextoNormalCaracter"/>
        </w:rPr>
        <w:t>-</w:t>
      </w:r>
      <w:r>
        <w:t xml:space="preserve"> Sentencia </w:t>
      </w:r>
      <w:hyperlink w:anchor="SENTENCIA_1997_107" w:history="1">
        <w:r w:rsidRPr="007D461E">
          <w:rPr>
            <w:rStyle w:val="TextoNormalCaracter"/>
          </w:rPr>
          <w:t>107/1997</w:t>
        </w:r>
      </w:hyperlink>
      <w:r>
        <w:t>, f. 6.</w:t>
      </w:r>
    </w:p>
    <w:p w:rsidR="007D461E" w:rsidRDefault="007D461E" w:rsidP="007D461E">
      <w:pPr>
        <w:pStyle w:val="SangriaFrancesaArticulo"/>
      </w:pPr>
      <w:r w:rsidRPr="007D461E">
        <w:rPr>
          <w:rStyle w:val="TextoNormalNegritaCaracter"/>
        </w:rPr>
        <w:t>Artículo 504 bis 2</w:t>
      </w:r>
      <w:r>
        <w:t xml:space="preserve"> </w:t>
      </w:r>
      <w:r w:rsidRPr="007D461E">
        <w:rPr>
          <w:rStyle w:val="TextoNormalCaracter"/>
        </w:rPr>
        <w:t>(en la redacción de la Ley Orgánica 5/1995, de 22 de mayo)</w:t>
      </w:r>
      <w:r w:rsidRPr="007D461E">
        <w:rPr>
          <w:rStyle w:val="TextoNormalNegritaCaracter"/>
        </w:rPr>
        <w:t>.</w:t>
      </w:r>
      <w:r w:rsidRPr="007D461E">
        <w:rPr>
          <w:rStyle w:val="TextoNormalCaracter"/>
        </w:rPr>
        <w:t>-</w:t>
      </w:r>
      <w:r>
        <w:t xml:space="preserve"> Auto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504.2.</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r w:rsidRPr="007D461E">
        <w:rPr>
          <w:rStyle w:val="TextoNormalNegritaCaracter"/>
        </w:rPr>
        <w:t>Artículo 504.4.</w:t>
      </w:r>
      <w:r w:rsidRPr="007D461E">
        <w:rPr>
          <w:rStyle w:val="TextoNormalCaracter"/>
        </w:rPr>
        <w:t>-</w:t>
      </w:r>
      <w:r>
        <w:t xml:space="preserve"> Sentencia </w:t>
      </w:r>
      <w:hyperlink w:anchor="SENTENCIA_1997_108" w:history="1">
        <w:r w:rsidRPr="007D461E">
          <w:rPr>
            <w:rStyle w:val="TextoNormalCaracter"/>
          </w:rPr>
          <w:t>108/1997</w:t>
        </w:r>
      </w:hyperlink>
      <w:r>
        <w:t>, ff. 1, 2.</w:t>
      </w:r>
    </w:p>
    <w:p w:rsidR="007D461E" w:rsidRDefault="007D461E" w:rsidP="007D461E">
      <w:pPr>
        <w:pStyle w:val="SangriaFrancesaArticulo"/>
      </w:pPr>
      <w:r w:rsidRPr="007D461E">
        <w:rPr>
          <w:rStyle w:val="TextoNormalNegritaCaracter"/>
        </w:rPr>
        <w:t>Artículo 539.</w:t>
      </w:r>
      <w:r w:rsidRPr="007D461E">
        <w:rPr>
          <w:rStyle w:val="TextoNormalCaracter"/>
        </w:rPr>
        <w:t>-</w:t>
      </w:r>
      <w:r>
        <w:t xml:space="preserve"> Auto </w:t>
      </w:r>
      <w:hyperlink w:anchor="AUTO_1997_277" w:history="1">
        <w:r w:rsidRPr="007D461E">
          <w:rPr>
            <w:rStyle w:val="TextoNormalCaracter"/>
          </w:rPr>
          <w:t>277/1997</w:t>
        </w:r>
      </w:hyperlink>
      <w:r>
        <w:t>.</w:t>
      </w:r>
    </w:p>
    <w:p w:rsidR="007D461E" w:rsidRDefault="007D461E" w:rsidP="007D461E">
      <w:pPr>
        <w:pStyle w:val="SangriaFrancesaArticulo"/>
      </w:pPr>
      <w:r w:rsidRPr="007D461E">
        <w:rPr>
          <w:rStyle w:val="TextoNormalNegritaCaracter"/>
        </w:rPr>
        <w:t>Artículo 553.</w:t>
      </w:r>
      <w:r w:rsidRPr="007D461E">
        <w:rPr>
          <w:rStyle w:val="TextoNormalCaracter"/>
        </w:rPr>
        <w:t>-</w:t>
      </w:r>
      <w:r>
        <w:t xml:space="preserve"> Auto </w:t>
      </w:r>
      <w:hyperlink w:anchor="AUTO_1997_175" w:history="1">
        <w:r w:rsidRPr="007D461E">
          <w:rPr>
            <w:rStyle w:val="TextoNormalCaracter"/>
          </w:rPr>
          <w:t>175/1997</w:t>
        </w:r>
      </w:hyperlink>
      <w:r>
        <w:t>.</w:t>
      </w:r>
    </w:p>
    <w:p w:rsidR="007D461E" w:rsidRDefault="007D461E" w:rsidP="007D461E">
      <w:pPr>
        <w:pStyle w:val="SangriaFrancesaArticulo"/>
      </w:pPr>
      <w:r w:rsidRPr="007D461E">
        <w:rPr>
          <w:rStyle w:val="TextoNormalNegritaCaracter"/>
        </w:rPr>
        <w:t>Artículo 627.</w:t>
      </w:r>
      <w:r w:rsidRPr="007D461E">
        <w:rPr>
          <w:rStyle w:val="TextoNormalCaracter"/>
        </w:rPr>
        <w:t>-</w:t>
      </w:r>
      <w:r>
        <w:t xml:space="preserve"> Sentencia </w:t>
      </w:r>
      <w:hyperlink w:anchor="SENTENCIA_1997_116" w:history="1">
        <w:r w:rsidRPr="007D461E">
          <w:rPr>
            <w:rStyle w:val="TextoNormalCaracter"/>
          </w:rPr>
          <w:t>116/1997</w:t>
        </w:r>
      </w:hyperlink>
      <w:r>
        <w:t>, f. 3.</w:t>
      </w:r>
    </w:p>
    <w:p w:rsidR="007D461E" w:rsidRDefault="007D461E" w:rsidP="007D461E">
      <w:pPr>
        <w:pStyle w:val="SangriaFrancesaArticulo"/>
      </w:pPr>
      <w:r w:rsidRPr="007D461E">
        <w:rPr>
          <w:rStyle w:val="TextoNormalNegritaCaracter"/>
        </w:rPr>
        <w:t>Artículo 641.1.</w:t>
      </w:r>
      <w:r w:rsidRPr="007D461E">
        <w:rPr>
          <w:rStyle w:val="TextoNormalCaracter"/>
        </w:rPr>
        <w:t>-</w:t>
      </w:r>
      <w:r>
        <w:t xml:space="preserve"> Auto </w:t>
      </w:r>
      <w:hyperlink w:anchor="AUTO_1997_175" w:history="1">
        <w:r w:rsidRPr="007D461E">
          <w:rPr>
            <w:rStyle w:val="TextoNormalCaracter"/>
          </w:rPr>
          <w:t>175/1997</w:t>
        </w:r>
      </w:hyperlink>
      <w:r>
        <w:t>.</w:t>
      </w:r>
    </w:p>
    <w:p w:rsidR="007D461E" w:rsidRDefault="007D461E" w:rsidP="007D461E">
      <w:pPr>
        <w:pStyle w:val="SangriaFrancesaArticulo"/>
      </w:pPr>
      <w:r w:rsidRPr="007D461E">
        <w:rPr>
          <w:rStyle w:val="TextoNormalNegritaCaracter"/>
        </w:rPr>
        <w:t>Artículo 785.8.</w:t>
      </w:r>
      <w:r w:rsidRPr="007D461E">
        <w:rPr>
          <w:rStyle w:val="TextoNormalCaracter"/>
        </w:rPr>
        <w:t>-</w:t>
      </w:r>
      <w:r>
        <w:t xml:space="preserve"> Sentencia </w:t>
      </w:r>
      <w:hyperlink w:anchor="SENTENCIA_1997_98" w:history="1">
        <w:r w:rsidRPr="007D461E">
          <w:rPr>
            <w:rStyle w:val="TextoNormalCaracter"/>
          </w:rPr>
          <w:t>98/1997</w:t>
        </w:r>
      </w:hyperlink>
      <w:r>
        <w:t>, f. 2.</w:t>
      </w:r>
    </w:p>
    <w:p w:rsidR="007D461E" w:rsidRDefault="007D461E" w:rsidP="007D461E">
      <w:pPr>
        <w:pStyle w:val="SangriaFrancesaArticulo"/>
      </w:pPr>
      <w:r w:rsidRPr="007D461E">
        <w:rPr>
          <w:rStyle w:val="TextoNormalNegritaCaracter"/>
        </w:rPr>
        <w:t>Artículo 789.5.</w:t>
      </w:r>
      <w:r w:rsidRPr="007D461E">
        <w:rPr>
          <w:rStyle w:val="TextoNormalCaracter"/>
        </w:rPr>
        <w:t>-</w:t>
      </w:r>
      <w:r>
        <w:t xml:space="preserve"> Sentencia </w:t>
      </w:r>
      <w:hyperlink w:anchor="SENTENCIA_1997_138" w:history="1">
        <w:r w:rsidRPr="007D461E">
          <w:rPr>
            <w:rStyle w:val="TextoNormalCaracter"/>
          </w:rPr>
          <w:t>138/1997</w:t>
        </w:r>
      </w:hyperlink>
      <w:r>
        <w:t>, ff. 2, 5.</w:t>
      </w:r>
    </w:p>
    <w:p w:rsidR="007D461E" w:rsidRDefault="007D461E" w:rsidP="007D461E">
      <w:pPr>
        <w:pStyle w:val="SangriaFrancesaArticulo"/>
      </w:pPr>
      <w:r w:rsidRPr="007D461E">
        <w:rPr>
          <w:rStyle w:val="TextoNormalNegritaCaracter"/>
        </w:rPr>
        <w:t>Artículo 790.6.</w:t>
      </w:r>
      <w:r w:rsidRPr="007D461E">
        <w:rPr>
          <w:rStyle w:val="TextoNormalCaracter"/>
        </w:rPr>
        <w:t>-</w:t>
      </w:r>
      <w:r>
        <w:t xml:space="preserve"> Sentencia </w:t>
      </w:r>
      <w:hyperlink w:anchor="SENTENCIA_1997_120" w:history="1">
        <w:r w:rsidRPr="007D461E">
          <w:rPr>
            <w:rStyle w:val="TextoNormalCaracter"/>
          </w:rPr>
          <w:t>120/1997</w:t>
        </w:r>
      </w:hyperlink>
      <w:r>
        <w:t>, f. 2.</w:t>
      </w:r>
    </w:p>
    <w:p w:rsidR="007D461E" w:rsidRDefault="007D461E" w:rsidP="007D461E">
      <w:pPr>
        <w:pStyle w:val="SangriaIzquierdaArticulo"/>
      </w:pPr>
      <w:r>
        <w:t xml:space="preserve">Auto </w:t>
      </w:r>
      <w:hyperlink w:anchor="AUTO_1997_147" w:history="1">
        <w:r w:rsidRPr="007D461E">
          <w:rPr>
            <w:rStyle w:val="TextoNormalCaracter"/>
          </w:rPr>
          <w:t>147/1997</w:t>
        </w:r>
      </w:hyperlink>
      <w:r>
        <w:t>.</w:t>
      </w:r>
    </w:p>
    <w:p w:rsidR="007D461E" w:rsidRDefault="007D461E" w:rsidP="007D461E">
      <w:pPr>
        <w:pStyle w:val="SangriaFrancesaArticulo"/>
      </w:pPr>
      <w:r w:rsidRPr="007D461E">
        <w:rPr>
          <w:rStyle w:val="TextoNormalNegritaCaracter"/>
        </w:rPr>
        <w:t>Artículo 793.2.</w:t>
      </w:r>
      <w:r w:rsidRPr="007D461E">
        <w:rPr>
          <w:rStyle w:val="TextoNormalCaracter"/>
        </w:rPr>
        <w:t>-</w:t>
      </w:r>
      <w:r>
        <w:t xml:space="preserve"> Auto </w:t>
      </w:r>
      <w:hyperlink w:anchor="AUTO_1997_147" w:history="1">
        <w:r w:rsidRPr="007D461E">
          <w:rPr>
            <w:rStyle w:val="TextoNormalCaracter"/>
          </w:rPr>
          <w:t>147/1997</w:t>
        </w:r>
      </w:hyperlink>
      <w:r>
        <w:t>.</w:t>
      </w:r>
    </w:p>
    <w:p w:rsidR="007D461E" w:rsidRDefault="007D461E" w:rsidP="007D461E">
      <w:pPr>
        <w:pStyle w:val="SangriaFrancesaArticulo"/>
      </w:pPr>
      <w:r w:rsidRPr="007D461E">
        <w:rPr>
          <w:rStyle w:val="TextoNormalNegritaCaracter"/>
        </w:rPr>
        <w:t>Artículo 843.</w:t>
      </w:r>
      <w:r w:rsidRPr="007D461E">
        <w:rPr>
          <w:rStyle w:val="TextoNormalCaracter"/>
        </w:rPr>
        <w:t>-</w:t>
      </w:r>
      <w:r>
        <w:t xml:space="preserve"> Sentencia </w:t>
      </w:r>
      <w:hyperlink w:anchor="SENTENCIA_1997_135" w:history="1">
        <w:r w:rsidRPr="007D461E">
          <w:rPr>
            <w:rStyle w:val="TextoNormalCaracter"/>
          </w:rPr>
          <w:t>135/1997</w:t>
        </w:r>
      </w:hyperlink>
      <w:r>
        <w:t>, f. 5.</w:t>
      </w:r>
    </w:p>
    <w:p w:rsidR="007D461E" w:rsidRDefault="007D461E" w:rsidP="007D461E">
      <w:pPr>
        <w:pStyle w:val="SangriaFrancesaArticulo"/>
      </w:pPr>
      <w:r w:rsidRPr="007D461E">
        <w:rPr>
          <w:rStyle w:val="TextoNormalNegritaCaracter"/>
        </w:rPr>
        <w:t>Artículo 861 bis a).</w:t>
      </w:r>
      <w:r w:rsidRPr="007D461E">
        <w:rPr>
          <w:rStyle w:val="TextoNormalCaracter"/>
        </w:rPr>
        <w:t>-</w:t>
      </w:r>
      <w:r>
        <w:t xml:space="preserve"> Sentencia </w:t>
      </w:r>
      <w:hyperlink w:anchor="SENTENCIA_1997_108" w:history="1">
        <w:r w:rsidRPr="007D461E">
          <w:rPr>
            <w:rStyle w:val="TextoNormalCaracter"/>
          </w:rPr>
          <w:t>108/1997</w:t>
        </w:r>
      </w:hyperlink>
      <w:r>
        <w:t>, ff. 1, 2.</w:t>
      </w:r>
    </w:p>
    <w:p w:rsidR="007D461E" w:rsidRDefault="007D461E" w:rsidP="007D461E">
      <w:pPr>
        <w:pStyle w:val="SangriaFrancesaArticulo"/>
      </w:pPr>
      <w:r w:rsidRPr="007D461E">
        <w:rPr>
          <w:rStyle w:val="TextoNormalNegritaCaracter"/>
        </w:rPr>
        <w:t>Artículo 954.</w:t>
      </w:r>
      <w:r w:rsidRPr="007D461E">
        <w:rPr>
          <w:rStyle w:val="TextoNormalCaracter"/>
        </w:rPr>
        <w:t>-</w:t>
      </w:r>
      <w:r>
        <w:t xml:space="preserve"> Auto </w:t>
      </w:r>
      <w:hyperlink w:anchor="AUTO_1997_244" w:history="1">
        <w:r w:rsidRPr="007D461E">
          <w:rPr>
            <w:rStyle w:val="TextoNormalCaracter"/>
          </w:rPr>
          <w:t>244/1997</w:t>
        </w:r>
      </w:hyperlink>
      <w:r>
        <w:t>.</w:t>
      </w:r>
    </w:p>
    <w:p w:rsidR="007D461E" w:rsidRDefault="007D461E" w:rsidP="007D461E">
      <w:pPr>
        <w:pStyle w:val="SangriaFrancesaArticulo"/>
      </w:pPr>
      <w:r w:rsidRPr="007D461E">
        <w:rPr>
          <w:rStyle w:val="TextoNormalNegritaCaracter"/>
        </w:rPr>
        <w:t>Artículo 971.</w:t>
      </w:r>
      <w:r w:rsidRPr="007D461E">
        <w:rPr>
          <w:rStyle w:val="TextoNormalCaracter"/>
        </w:rPr>
        <w:t>-</w:t>
      </w:r>
      <w:r>
        <w:t xml:space="preserve"> Sentencia </w:t>
      </w:r>
      <w:hyperlink w:anchor="SENTENCIA_1997_135" w:history="1">
        <w:r w:rsidRPr="007D461E">
          <w:rPr>
            <w:rStyle w:val="TextoNormalCaracter"/>
          </w:rPr>
          <w:t>135/1997</w:t>
        </w:r>
      </w:hyperlink>
      <w:r>
        <w:t>, f. 5.</w:t>
      </w:r>
    </w:p>
    <w:p w:rsidR="007D461E" w:rsidRDefault="007D461E" w:rsidP="007D461E">
      <w:pPr>
        <w:pStyle w:val="SangriaFrancesaArticulo"/>
      </w:pPr>
    </w:p>
    <w:p w:rsidR="007D461E" w:rsidRDefault="007D461E" w:rsidP="007D461E">
      <w:pPr>
        <w:pStyle w:val="TextoNormalNegritaCursivandice"/>
      </w:pPr>
      <w:r>
        <w:t>Real Decreto de 22 de agosto de 1885. Código de comercio</w:t>
      </w:r>
    </w:p>
    <w:p w:rsidR="007D461E" w:rsidRDefault="007D461E" w:rsidP="007D461E">
      <w:pPr>
        <w:pStyle w:val="SangriaFrancesaArticulo"/>
      </w:pPr>
      <w:r w:rsidRPr="007D461E">
        <w:rPr>
          <w:rStyle w:val="TextoNormalNegritaCaracter"/>
        </w:rPr>
        <w:t>Artículo 67.</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p>
    <w:p w:rsidR="007D461E" w:rsidRDefault="007D461E" w:rsidP="007D461E">
      <w:pPr>
        <w:pStyle w:val="TextoNormalNegritaCursivandice"/>
      </w:pPr>
      <w:r>
        <w:t>Real Decreto de 24 de julio de 1889. Código civil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114" w:history="1">
        <w:r w:rsidRPr="007D461E">
          <w:rPr>
            <w:rStyle w:val="TextoNormalCaracter"/>
          </w:rPr>
          <w:t>114/1997</w:t>
        </w:r>
      </w:hyperlink>
      <w:r>
        <w:t xml:space="preserve">, ff. 3, 10; </w:t>
      </w:r>
      <w:hyperlink w:anchor="SENTENCIA_1997_116" w:history="1">
        <w:r w:rsidRPr="007D461E">
          <w:rPr>
            <w:rStyle w:val="TextoNormalCaracter"/>
          </w:rPr>
          <w:t>116/1997</w:t>
        </w:r>
      </w:hyperlink>
      <w:r>
        <w:t>, f. 4.</w:t>
      </w:r>
    </w:p>
    <w:p w:rsidR="007D461E" w:rsidRDefault="007D461E" w:rsidP="007D461E">
      <w:pPr>
        <w:pStyle w:val="SangriaFrancesaArticulo"/>
      </w:pPr>
      <w:r w:rsidRPr="007D461E">
        <w:rPr>
          <w:rStyle w:val="TextoNormalNegritaCaracter"/>
        </w:rPr>
        <w:t>Libro III, título III.</w:t>
      </w:r>
      <w:r w:rsidRPr="007D461E">
        <w:rPr>
          <w:rStyle w:val="TextoNormalCaracter"/>
        </w:rPr>
        <w:t>-</w:t>
      </w:r>
      <w:r>
        <w:t xml:space="preserve"> Sentencia </w:t>
      </w:r>
      <w:hyperlink w:anchor="SENTENCIA_1997_126" w:history="1">
        <w:r w:rsidRPr="007D461E">
          <w:rPr>
            <w:rStyle w:val="TextoNormalCaracter"/>
          </w:rPr>
          <w:t>126/1997</w:t>
        </w:r>
      </w:hyperlink>
      <w:r>
        <w:t>, f. 14.</w:t>
      </w:r>
    </w:p>
    <w:p w:rsidR="007D461E" w:rsidRDefault="007D461E" w:rsidP="007D461E">
      <w:pPr>
        <w:pStyle w:val="SangriaFrancesaArticulo"/>
      </w:pPr>
      <w:r w:rsidRPr="007D461E">
        <w:rPr>
          <w:rStyle w:val="TextoNormalNegritaCaracter"/>
        </w:rPr>
        <w:t>Artículo 1.6.</w:t>
      </w:r>
      <w:r w:rsidRPr="007D461E">
        <w:rPr>
          <w:rStyle w:val="TextoNormalCaracter"/>
        </w:rPr>
        <w:t>-</w:t>
      </w:r>
      <w:r>
        <w:t xml:space="preserve"> Sentencia </w:t>
      </w:r>
      <w:hyperlink w:anchor="SENTENCIA_1997_125" w:history="1">
        <w:r w:rsidRPr="007D461E">
          <w:rPr>
            <w:rStyle w:val="TextoNormalCaracter"/>
          </w:rPr>
          <w:t>125/1997</w:t>
        </w:r>
      </w:hyperlink>
      <w:r>
        <w:t>, ff. 3, 4.</w:t>
      </w:r>
    </w:p>
    <w:p w:rsidR="007D461E" w:rsidRDefault="007D461E" w:rsidP="007D461E">
      <w:pPr>
        <w:pStyle w:val="SangriaFrancesaArticulo"/>
      </w:pPr>
      <w:r w:rsidRPr="007D461E">
        <w:rPr>
          <w:rStyle w:val="TextoNormalNegritaCaracter"/>
        </w:rPr>
        <w:t>Artículo 172.</w:t>
      </w:r>
      <w:r w:rsidRPr="007D461E">
        <w:rPr>
          <w:rStyle w:val="TextoNormalCaracter"/>
        </w:rPr>
        <w:t>-</w:t>
      </w:r>
      <w:r>
        <w:t xml:space="preserve"> Sentencia </w:t>
      </w:r>
      <w:hyperlink w:anchor="SENTENCIA_1997_114" w:history="1">
        <w:r w:rsidRPr="007D461E">
          <w:rPr>
            <w:rStyle w:val="TextoNormalCaracter"/>
          </w:rPr>
          <w:t>114/1997</w:t>
        </w:r>
      </w:hyperlink>
      <w:r>
        <w:t>, f. 2.</w:t>
      </w:r>
    </w:p>
    <w:p w:rsidR="007D461E" w:rsidRDefault="007D461E" w:rsidP="007D461E">
      <w:pPr>
        <w:pStyle w:val="SangriaFrancesaArticulo"/>
      </w:pPr>
      <w:r w:rsidRPr="007D461E">
        <w:rPr>
          <w:rStyle w:val="TextoNormalNegritaCaracter"/>
        </w:rPr>
        <w:t>Artículo 172.1.</w:t>
      </w:r>
      <w:r w:rsidRPr="007D461E">
        <w:rPr>
          <w:rStyle w:val="TextoNormalCaracter"/>
        </w:rPr>
        <w:t>-</w:t>
      </w:r>
      <w:r>
        <w:t xml:space="preserve"> Sentencia </w:t>
      </w:r>
      <w:hyperlink w:anchor="SENTENCIA_1997_114" w:history="1">
        <w:r w:rsidRPr="007D461E">
          <w:rPr>
            <w:rStyle w:val="TextoNormalCaracter"/>
          </w:rPr>
          <w:t>114/1997</w:t>
        </w:r>
      </w:hyperlink>
      <w:r>
        <w:t>, f. 6.</w:t>
      </w:r>
    </w:p>
    <w:p w:rsidR="007D461E" w:rsidRDefault="007D461E" w:rsidP="007D461E">
      <w:pPr>
        <w:pStyle w:val="SangriaFrancesaArticulo"/>
      </w:pPr>
      <w:r w:rsidRPr="007D461E">
        <w:rPr>
          <w:rStyle w:val="TextoNormalNegritaCaracter"/>
        </w:rPr>
        <w:t>Artículo 172.4.</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173.2.</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173.4.</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174.</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176.</w:t>
      </w:r>
      <w:r w:rsidRPr="007D461E">
        <w:rPr>
          <w:rStyle w:val="TextoNormalCaracter"/>
        </w:rPr>
        <w:t>-</w:t>
      </w:r>
      <w:r>
        <w:t xml:space="preserve"> Sentencia </w:t>
      </w:r>
      <w:hyperlink w:anchor="SENTENCIA_1997_114" w:history="1">
        <w:r w:rsidRPr="007D461E">
          <w:rPr>
            <w:rStyle w:val="TextoNormalCaracter"/>
          </w:rPr>
          <w:t>114/1997</w:t>
        </w:r>
      </w:hyperlink>
      <w:r>
        <w:t>, f. 2.</w:t>
      </w:r>
    </w:p>
    <w:p w:rsidR="007D461E" w:rsidRDefault="007D461E" w:rsidP="007D461E">
      <w:pPr>
        <w:pStyle w:val="SangriaFrancesaArticulo"/>
      </w:pPr>
      <w:r w:rsidRPr="007D461E">
        <w:rPr>
          <w:rStyle w:val="TextoNormalNegritaCaracter"/>
        </w:rPr>
        <w:t>Artículo 176.1.</w:t>
      </w:r>
      <w:r w:rsidRPr="007D461E">
        <w:rPr>
          <w:rStyle w:val="TextoNormalCaracter"/>
        </w:rPr>
        <w:t>-</w:t>
      </w:r>
      <w:r>
        <w:t xml:space="preserve"> Sentencia </w:t>
      </w:r>
      <w:hyperlink w:anchor="SENTENCIA_1997_114" w:history="1">
        <w:r w:rsidRPr="007D461E">
          <w:rPr>
            <w:rStyle w:val="TextoNormalCaracter"/>
          </w:rPr>
          <w:t>114/1997</w:t>
        </w:r>
      </w:hyperlink>
      <w:r>
        <w:t>, f. 3.</w:t>
      </w:r>
    </w:p>
    <w:p w:rsidR="007D461E" w:rsidRDefault="007D461E" w:rsidP="007D461E">
      <w:pPr>
        <w:pStyle w:val="SangriaFrancesaArticulo"/>
      </w:pPr>
      <w:r w:rsidRPr="007D461E">
        <w:rPr>
          <w:rStyle w:val="TextoNormalNegritaCaracter"/>
        </w:rPr>
        <w:t>Artículo 657.</w:t>
      </w:r>
      <w:r w:rsidRPr="007D461E">
        <w:rPr>
          <w:rStyle w:val="TextoNormalCaracter"/>
        </w:rPr>
        <w:t>-</w:t>
      </w:r>
      <w:r>
        <w:t xml:space="preserve"> Sentencia </w:t>
      </w:r>
      <w:hyperlink w:anchor="SENTENCIA_1997_126" w:history="1">
        <w:r w:rsidRPr="007D461E">
          <w:rPr>
            <w:rStyle w:val="TextoNormalCaracter"/>
          </w:rPr>
          <w:t>126/1997</w:t>
        </w:r>
      </w:hyperlink>
      <w:r>
        <w:t>, f. 14.</w:t>
      </w:r>
    </w:p>
    <w:p w:rsidR="007D461E" w:rsidRDefault="007D461E" w:rsidP="007D461E">
      <w:pPr>
        <w:pStyle w:val="SangriaFrancesaArticulo"/>
      </w:pPr>
      <w:r w:rsidRPr="007D461E">
        <w:rPr>
          <w:rStyle w:val="TextoNormalNegritaCaracter"/>
        </w:rPr>
        <w:t>Artículo 659.</w:t>
      </w:r>
      <w:r w:rsidRPr="007D461E">
        <w:rPr>
          <w:rStyle w:val="TextoNormalCaracter"/>
        </w:rPr>
        <w:t>-</w:t>
      </w:r>
      <w:r>
        <w:t xml:space="preserve"> Sentencia </w:t>
      </w:r>
      <w:hyperlink w:anchor="SENTENCIA_1997_126" w:history="1">
        <w:r w:rsidRPr="007D461E">
          <w:rPr>
            <w:rStyle w:val="TextoNormalCaracter"/>
          </w:rPr>
          <w:t>126/1997</w:t>
        </w:r>
      </w:hyperlink>
      <w:r>
        <w:t>, f. 14.</w:t>
      </w:r>
    </w:p>
    <w:p w:rsidR="007D461E" w:rsidRDefault="007D461E" w:rsidP="007D461E">
      <w:pPr>
        <w:pStyle w:val="SangriaFrancesaArticulo"/>
      </w:pPr>
      <w:r w:rsidRPr="007D461E">
        <w:rPr>
          <w:rStyle w:val="TextoNormalNegritaCaracter"/>
        </w:rPr>
        <w:t>Artículo 661.</w:t>
      </w:r>
      <w:r w:rsidRPr="007D461E">
        <w:rPr>
          <w:rStyle w:val="TextoNormalCaracter"/>
        </w:rPr>
        <w:t>-</w:t>
      </w:r>
      <w:r>
        <w:t xml:space="preserve"> Sentencia </w:t>
      </w:r>
      <w:hyperlink w:anchor="SENTENCIA_1997_126" w:history="1">
        <w:r w:rsidRPr="007D461E">
          <w:rPr>
            <w:rStyle w:val="TextoNormalCaracter"/>
          </w:rPr>
          <w:t>126/1997</w:t>
        </w:r>
      </w:hyperlink>
      <w:r>
        <w:t>, f. 14.</w:t>
      </w:r>
    </w:p>
    <w:p w:rsidR="007D461E" w:rsidRDefault="007D461E" w:rsidP="007D461E">
      <w:pPr>
        <w:pStyle w:val="SangriaFrancesaArticulo"/>
      </w:pPr>
      <w:r w:rsidRPr="007D461E">
        <w:rPr>
          <w:rStyle w:val="TextoNormalNegritaCaracter"/>
        </w:rPr>
        <w:t>Artículo 1721.</w:t>
      </w:r>
      <w:r w:rsidRPr="007D461E">
        <w:rPr>
          <w:rStyle w:val="TextoNormalCaracter"/>
        </w:rPr>
        <w:t>-</w:t>
      </w:r>
      <w:r>
        <w:t xml:space="preserve"> Sentencia </w:t>
      </w:r>
      <w:hyperlink w:anchor="SENTENCIA_1997_101" w:history="1">
        <w:r w:rsidRPr="007D461E">
          <w:rPr>
            <w:rStyle w:val="TextoNormalCaracter"/>
          </w:rPr>
          <w:t>101/1997</w:t>
        </w:r>
      </w:hyperlink>
      <w:r>
        <w:t>, f. 4.</w:t>
      </w:r>
    </w:p>
    <w:p w:rsidR="007D461E" w:rsidRDefault="007D461E" w:rsidP="007D461E">
      <w:pPr>
        <w:pStyle w:val="SangriaFrancesaArticulo"/>
      </w:pPr>
    </w:p>
    <w:p w:rsidR="007D461E" w:rsidRDefault="007D461E" w:rsidP="007D461E">
      <w:pPr>
        <w:pStyle w:val="TextoNormalNegritaCursivandice"/>
      </w:pPr>
      <w:r>
        <w:lastRenderedPageBreak/>
        <w:t>Ley de 17 de marzo de 1908. Establece la condena condicional para las penas que consistan en privación de libertad cuya duración no exceda de un año, ya se impongan como principales, ya como subsidiarias</w:t>
      </w:r>
    </w:p>
    <w:p w:rsidR="007D461E" w:rsidRDefault="007D461E" w:rsidP="007D461E">
      <w:pPr>
        <w:pStyle w:val="SangriaFrancesaArticulo"/>
      </w:pPr>
      <w:r w:rsidRPr="007D461E">
        <w:rPr>
          <w:rStyle w:val="TextoNormalNegritaCaracter"/>
        </w:rPr>
        <w:t>Artículo 6.</w:t>
      </w:r>
      <w:r w:rsidRPr="007D461E">
        <w:rPr>
          <w:rStyle w:val="TextoNormalCaracter"/>
        </w:rPr>
        <w:t>-</w:t>
      </w:r>
      <w:r>
        <w:t xml:space="preserve"> Sentencia </w:t>
      </w:r>
      <w:hyperlink w:anchor="SENTENCIA_1997_115" w:history="1">
        <w:r w:rsidRPr="007D461E">
          <w:rPr>
            <w:rStyle w:val="TextoNormalCaracter"/>
          </w:rPr>
          <w:t>115/1997</w:t>
        </w:r>
      </w:hyperlink>
      <w:r>
        <w:t>, f. 1.</w:t>
      </w:r>
    </w:p>
    <w:p w:rsidR="007D461E" w:rsidRDefault="007D461E" w:rsidP="007D461E">
      <w:pPr>
        <w:pStyle w:val="SangriaIzquierdaArticulo"/>
      </w:pPr>
      <w:r>
        <w:t xml:space="preserve">Auto </w:t>
      </w:r>
      <w:hyperlink w:anchor="AUTO_1997_209" w:history="1">
        <w:r w:rsidRPr="007D461E">
          <w:rPr>
            <w:rStyle w:val="TextoNormalCaracter"/>
          </w:rPr>
          <w:t>209/1997</w:t>
        </w:r>
      </w:hyperlink>
      <w:r>
        <w:t>.</w:t>
      </w:r>
    </w:p>
    <w:p w:rsidR="007D461E" w:rsidRDefault="007D461E" w:rsidP="007D461E">
      <w:pPr>
        <w:pStyle w:val="SangriaIzquierdaArticulo"/>
      </w:pPr>
    </w:p>
    <w:p w:rsidR="007D461E" w:rsidRDefault="007D461E" w:rsidP="007D461E">
      <w:pPr>
        <w:pStyle w:val="TextoNormalNegritaCursivandice"/>
      </w:pPr>
      <w:r>
        <w:t>Ley 29 de junio de 1911. Bases para la reorganización de las Cámaras oficiales de comercio, industria y navegación</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73" w:history="1">
        <w:r w:rsidRPr="007D461E">
          <w:rPr>
            <w:rStyle w:val="TextoNormalCaracter"/>
          </w:rPr>
          <w:t>273/1997</w:t>
        </w:r>
      </w:hyperlink>
      <w:r>
        <w:t>.</w:t>
      </w:r>
    </w:p>
    <w:p w:rsidR="007D461E" w:rsidRDefault="007D461E" w:rsidP="007D461E">
      <w:pPr>
        <w:pStyle w:val="SangriaFrancesaArticulo"/>
      </w:pPr>
    </w:p>
    <w:p w:rsidR="007D461E" w:rsidRDefault="007D461E" w:rsidP="007D461E">
      <w:pPr>
        <w:pStyle w:val="TextoNormalNegritaCursivandice"/>
      </w:pPr>
      <w:r>
        <w:t>Real Decreto de 27 de mayo de 1912. Reglas para concesión y rehabilitación de Títulos y Grandezas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4.</w:t>
      </w:r>
      <w:r w:rsidRPr="007D461E">
        <w:rPr>
          <w:rStyle w:val="TextoNormalCaracter"/>
        </w:rPr>
        <w:t>-</w:t>
      </w:r>
      <w:r>
        <w:t xml:space="preserve"> Sentencia </w:t>
      </w:r>
      <w:hyperlink w:anchor="SENTENCIA_1997_126" w:history="1">
        <w:r w:rsidRPr="007D461E">
          <w:rPr>
            <w:rStyle w:val="TextoNormalCaracter"/>
          </w:rPr>
          <w:t>126/1997</w:t>
        </w:r>
      </w:hyperlink>
      <w:r>
        <w:t>, f. 10, VP II.</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26" w:history="1">
        <w:r w:rsidRPr="007D461E">
          <w:rPr>
            <w:rStyle w:val="TextoNormalCaracter"/>
          </w:rPr>
          <w:t>126/1997</w:t>
        </w:r>
      </w:hyperlink>
      <w:r>
        <w:t>, f. 12.</w:t>
      </w:r>
    </w:p>
    <w:p w:rsidR="007D461E" w:rsidRDefault="007D461E" w:rsidP="007D461E">
      <w:pPr>
        <w:pStyle w:val="SangriaFrancesaArticulo"/>
      </w:pPr>
    </w:p>
    <w:p w:rsidR="007D461E" w:rsidRDefault="007D461E" w:rsidP="007D461E">
      <w:pPr>
        <w:pStyle w:val="TextoNormalNegritaCursivandice"/>
      </w:pPr>
      <w:r>
        <w:t>Decreto de 8 de febrero de 1946. Texto refundido de la Ley hipotecaria</w:t>
      </w:r>
    </w:p>
    <w:p w:rsidR="007D461E" w:rsidRDefault="007D461E" w:rsidP="007D461E">
      <w:pPr>
        <w:pStyle w:val="SangriaFrancesaArticulo"/>
      </w:pPr>
      <w:r w:rsidRPr="007D461E">
        <w:rPr>
          <w:rStyle w:val="TextoNormalNegritaCaracter"/>
        </w:rPr>
        <w:t>Artículo 131.</w:t>
      </w:r>
      <w:r w:rsidRPr="007D461E">
        <w:rPr>
          <w:rStyle w:val="TextoNormalCaracter"/>
        </w:rPr>
        <w:t>-</w:t>
      </w:r>
      <w:r>
        <w:t xml:space="preserve"> Auto </w:t>
      </w:r>
      <w:hyperlink w:anchor="AUTO_1997_205" w:history="1">
        <w:r w:rsidRPr="007D461E">
          <w:rPr>
            <w:rStyle w:val="TextoNormalCaracter"/>
          </w:rPr>
          <w:t>205/1997</w:t>
        </w:r>
      </w:hyperlink>
      <w:r>
        <w:t>.</w:t>
      </w:r>
    </w:p>
    <w:p w:rsidR="007D461E" w:rsidRDefault="007D461E" w:rsidP="007D461E">
      <w:pPr>
        <w:pStyle w:val="SangriaFrancesaArticulo"/>
      </w:pPr>
    </w:p>
    <w:p w:rsidR="007D461E" w:rsidRDefault="007D461E" w:rsidP="007D461E">
      <w:pPr>
        <w:pStyle w:val="TextoNormalNegritaCursivandice"/>
      </w:pPr>
      <w:r>
        <w:t>Decreto de 14 de febrero de 1947. Reglamento hipotecario</w:t>
      </w:r>
    </w:p>
    <w:p w:rsidR="007D461E" w:rsidRDefault="007D461E" w:rsidP="007D461E">
      <w:pPr>
        <w:pStyle w:val="SangriaFrancesaArticulo"/>
      </w:pPr>
      <w:r w:rsidRPr="007D461E">
        <w:rPr>
          <w:rStyle w:val="TextoNormalNegritaCaracter"/>
        </w:rPr>
        <w:t>Artículo 416.</w:t>
      </w:r>
      <w:r w:rsidRPr="007D461E">
        <w:rPr>
          <w:rStyle w:val="TextoNormalCaracter"/>
        </w:rPr>
        <w:t>-</w:t>
      </w:r>
      <w:r>
        <w:t xml:space="preserve"> Auto </w:t>
      </w:r>
      <w:hyperlink w:anchor="AUTO_1997_148" w:history="1">
        <w:r w:rsidRPr="007D461E">
          <w:rPr>
            <w:rStyle w:val="TextoNormalCaracter"/>
          </w:rPr>
          <w:t>148/1997</w:t>
        </w:r>
      </w:hyperlink>
      <w:r>
        <w:t>.</w:t>
      </w:r>
    </w:p>
    <w:p w:rsidR="007D461E" w:rsidRDefault="007D461E" w:rsidP="007D461E">
      <w:pPr>
        <w:pStyle w:val="SangriaFrancesaArticulo"/>
      </w:pPr>
      <w:r w:rsidRPr="007D461E">
        <w:rPr>
          <w:rStyle w:val="TextoNormalNegritaCaracter"/>
        </w:rPr>
        <w:t>Artículo 416.4.</w:t>
      </w:r>
      <w:r w:rsidRPr="007D461E">
        <w:rPr>
          <w:rStyle w:val="TextoNormalCaracter"/>
        </w:rPr>
        <w:t>-</w:t>
      </w:r>
      <w:r>
        <w:t xml:space="preserve"> Auto </w:t>
      </w:r>
      <w:hyperlink w:anchor="AUTO_1997_148" w:history="1">
        <w:r w:rsidRPr="007D461E">
          <w:rPr>
            <w:rStyle w:val="TextoNormalCaracter"/>
          </w:rPr>
          <w:t>148/1997</w:t>
        </w:r>
      </w:hyperlink>
      <w:r>
        <w:t>.</w:t>
      </w:r>
    </w:p>
    <w:p w:rsidR="007D461E" w:rsidRDefault="007D461E" w:rsidP="007D461E">
      <w:pPr>
        <w:pStyle w:val="SangriaFrancesaArticulo"/>
      </w:pPr>
    </w:p>
    <w:p w:rsidR="007D461E" w:rsidRDefault="007D461E" w:rsidP="007D461E">
      <w:pPr>
        <w:pStyle w:val="TextoNormalNegritaCursivandice"/>
      </w:pPr>
      <w:r>
        <w:t>Ley de 4 de mayo de 1948. Derogando el Decreto de 1 de junio de 1931 y la Ley de 30 de diciembre del mismo año, que lo ratificó, y confiriendo al Jefe del Estado la tradicional prerrogativa de otorgar grandezas de España y títulos del Reino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26" w:history="1">
        <w:r w:rsidRPr="007D461E">
          <w:rPr>
            <w:rStyle w:val="TextoNormalCaracter"/>
          </w:rPr>
          <w:t>126/1997</w:t>
        </w:r>
      </w:hyperlink>
      <w:r>
        <w:t>, ff. 1, 6, 17, VP II.</w:t>
      </w:r>
    </w:p>
    <w:p w:rsidR="007D461E" w:rsidRDefault="007D461E" w:rsidP="007D461E">
      <w:pPr>
        <w:pStyle w:val="SangriaFrancesaArticulo"/>
      </w:pPr>
    </w:p>
    <w:p w:rsidR="007D461E" w:rsidRDefault="007D461E" w:rsidP="007D461E">
      <w:pPr>
        <w:pStyle w:val="TextoNormalNegritaCursivandice"/>
      </w:pPr>
      <w:r>
        <w:t>Decreto de 4 de junio de 1948. Dictando las oportunas normas introduciendo en la legislación sobre títulos y grandezas las modificaciones necesarias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26" w:history="1">
        <w:r w:rsidRPr="007D461E">
          <w:rPr>
            <w:rStyle w:val="TextoNormalCaracter"/>
          </w:rPr>
          <w:t>126/1997</w:t>
        </w:r>
      </w:hyperlink>
      <w:r>
        <w:t>, f. 6.</w:t>
      </w:r>
    </w:p>
    <w:p w:rsidR="007D461E" w:rsidRDefault="007D461E" w:rsidP="007D461E">
      <w:pPr>
        <w:pStyle w:val="SangriaFrancesaArticulo"/>
      </w:pPr>
      <w:r w:rsidRPr="007D461E">
        <w:rPr>
          <w:rStyle w:val="TextoNormalNegritaCaracter"/>
        </w:rPr>
        <w:t>Artículo 5.</w:t>
      </w:r>
      <w:r w:rsidRPr="007D461E">
        <w:rPr>
          <w:rStyle w:val="TextoNormalCaracter"/>
        </w:rPr>
        <w:t>-</w:t>
      </w:r>
      <w:r>
        <w:t xml:space="preserve"> Sentencia </w:t>
      </w:r>
      <w:hyperlink w:anchor="SENTENCIA_1997_126" w:history="1">
        <w:r w:rsidRPr="007D461E">
          <w:rPr>
            <w:rStyle w:val="TextoNormalCaracter"/>
          </w:rPr>
          <w:t>126/1997</w:t>
        </w:r>
      </w:hyperlink>
      <w:r>
        <w:t>, ff. 1, 6, VP II.</w:t>
      </w:r>
    </w:p>
    <w:p w:rsidR="007D461E" w:rsidRDefault="007D461E" w:rsidP="007D461E">
      <w:pPr>
        <w:pStyle w:val="SangriaFrancesaArticulo"/>
      </w:pPr>
    </w:p>
    <w:p w:rsidR="007D461E" w:rsidRDefault="007D461E" w:rsidP="007D461E">
      <w:pPr>
        <w:pStyle w:val="TextoNormalNegritaCursivandice"/>
      </w:pPr>
      <w:r>
        <w:t>Decreto de 21 de noviembre de 1952. Justicia municipal. Normas procesales</w:t>
      </w:r>
    </w:p>
    <w:p w:rsidR="007D461E" w:rsidRDefault="007D461E" w:rsidP="007D461E">
      <w:pPr>
        <w:pStyle w:val="SangriaFrancesaArticulo"/>
      </w:pPr>
      <w:r w:rsidRPr="007D461E">
        <w:rPr>
          <w:rStyle w:val="TextoNormalNegritaCaracter"/>
        </w:rPr>
        <w:t>Artículo 34.</w:t>
      </w:r>
      <w:r w:rsidRPr="007D461E">
        <w:rPr>
          <w:rStyle w:val="TextoNormalCaracter"/>
        </w:rPr>
        <w:t>-</w:t>
      </w:r>
      <w:r>
        <w:t xml:space="preserve"> Sentencia </w:t>
      </w:r>
      <w:hyperlink w:anchor="SENTENCIA_1997_101" w:history="1">
        <w:r w:rsidRPr="007D461E">
          <w:rPr>
            <w:rStyle w:val="TextoNormalCaracter"/>
          </w:rPr>
          <w:t>101/1997</w:t>
        </w:r>
      </w:hyperlink>
      <w:r>
        <w:t>, ff. 3, 5, 6.</w:t>
      </w:r>
    </w:p>
    <w:p w:rsidR="007D461E" w:rsidRDefault="007D461E" w:rsidP="007D461E">
      <w:pPr>
        <w:pStyle w:val="SangriaFrancesaArticulo"/>
      </w:pPr>
      <w:r w:rsidRPr="007D461E">
        <w:rPr>
          <w:rStyle w:val="TextoNormalNegritaCaracter"/>
        </w:rPr>
        <w:t>Artículo 63.</w:t>
      </w:r>
      <w:r w:rsidRPr="007D461E">
        <w:rPr>
          <w:rStyle w:val="TextoNormalCaracter"/>
        </w:rPr>
        <w:t>-</w:t>
      </w:r>
      <w:r>
        <w:t xml:space="preserve"> Sentencia </w:t>
      </w:r>
      <w:hyperlink w:anchor="SENTENCIA_1997_101" w:history="1">
        <w:r w:rsidRPr="007D461E">
          <w:rPr>
            <w:rStyle w:val="TextoNormalCaracter"/>
          </w:rPr>
          <w:t>101/1997</w:t>
        </w:r>
      </w:hyperlink>
      <w:r>
        <w:t>, ff. 3, 5, 6.</w:t>
      </w:r>
    </w:p>
    <w:p w:rsidR="007D461E" w:rsidRDefault="007D461E" w:rsidP="007D461E">
      <w:pPr>
        <w:pStyle w:val="SangriaFrancesaArticulo"/>
      </w:pPr>
    </w:p>
    <w:p w:rsidR="007D461E" w:rsidRDefault="007D461E" w:rsidP="007D461E">
      <w:pPr>
        <w:pStyle w:val="TextoNormalNegritaCursivandice"/>
      </w:pPr>
      <w:r>
        <w:t>Decreto de 22 de junio de 1956. Crea el diploma de óptico de anteojería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t>Orden del Ministerio de Educación Nacional, de 5 de diciembre de 1956. Regulación de la obtención del diploma de óptico de anteojería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lastRenderedPageBreak/>
        <w:t>Ley de 27 de diciembre de 1956. Jurisdicción contencioso-administrativa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95" w:history="1">
        <w:r w:rsidRPr="007D461E">
          <w:rPr>
            <w:rStyle w:val="TextoNormalCaracter"/>
          </w:rPr>
          <w:t>95/1997</w:t>
        </w:r>
      </w:hyperlink>
      <w:r>
        <w:t xml:space="preserve">, f. 3; </w:t>
      </w:r>
      <w:hyperlink w:anchor="SENTENCIA_1997_125" w:history="1">
        <w:r w:rsidRPr="007D461E">
          <w:rPr>
            <w:rStyle w:val="TextoNormalCaracter"/>
          </w:rPr>
          <w:t>125/1997</w:t>
        </w:r>
      </w:hyperlink>
      <w:r>
        <w:t>, VP II.</w:t>
      </w:r>
    </w:p>
    <w:p w:rsidR="007D461E" w:rsidRDefault="007D461E" w:rsidP="007D461E">
      <w:pPr>
        <w:pStyle w:val="SangriaFrancesaArticulo"/>
      </w:pPr>
      <w:r w:rsidRPr="007D461E">
        <w:rPr>
          <w:rStyle w:val="TextoNormalNegritaCaracter"/>
        </w:rPr>
        <w:t>Título IV, capítulo IV, sección primera.</w:t>
      </w:r>
      <w:r w:rsidRPr="007D461E">
        <w:rPr>
          <w:rStyle w:val="TextoNormalCaracter"/>
        </w:rPr>
        <w:t>-</w:t>
      </w:r>
      <w:r>
        <w:t xml:space="preserve"> Sentencia </w:t>
      </w:r>
      <w:hyperlink w:anchor="SENTENCIA_1997_125" w:history="1">
        <w:r w:rsidRPr="007D461E">
          <w:rPr>
            <w:rStyle w:val="TextoNormalCaracter"/>
          </w:rPr>
          <w:t>125/1997</w:t>
        </w:r>
      </w:hyperlink>
      <w:r>
        <w:t>, f. 4.</w:t>
      </w:r>
    </w:p>
    <w:p w:rsidR="007D461E" w:rsidRDefault="007D461E" w:rsidP="007D461E">
      <w:pPr>
        <w:pStyle w:val="SangriaFrancesaArticulo"/>
      </w:pPr>
      <w:r w:rsidRPr="007D461E">
        <w:rPr>
          <w:rStyle w:val="TextoNormalNegritaCaracter"/>
        </w:rPr>
        <w:t>Artículo 10.1 a).</w:t>
      </w:r>
      <w:r w:rsidRPr="007D461E">
        <w:rPr>
          <w:rStyle w:val="TextoNormalCaracter"/>
        </w:rPr>
        <w:t>-</w:t>
      </w:r>
      <w:r>
        <w:t xml:space="preserve"> Sentencia </w:t>
      </w:r>
      <w:hyperlink w:anchor="SENTENCIA_1997_136" w:history="1">
        <w:r w:rsidRPr="007D461E">
          <w:rPr>
            <w:rStyle w:val="TextoNormalCaracter"/>
          </w:rPr>
          <w:t>136/1997</w:t>
        </w:r>
      </w:hyperlink>
      <w:r>
        <w:t>, ff. 2, 4.</w:t>
      </w:r>
    </w:p>
    <w:p w:rsidR="007D461E" w:rsidRDefault="007D461E" w:rsidP="007D461E">
      <w:pPr>
        <w:pStyle w:val="SangriaFrancesaArticulo"/>
      </w:pPr>
      <w:r w:rsidRPr="007D461E">
        <w:rPr>
          <w:rStyle w:val="TextoNormalNegritaCaracter"/>
        </w:rPr>
        <w:t>Artículo 11.</w:t>
      </w:r>
      <w:r w:rsidRPr="007D461E">
        <w:rPr>
          <w:rStyle w:val="TextoNormalCaracter"/>
        </w:rPr>
        <w:t>-</w:t>
      </w:r>
      <w:r>
        <w:t xml:space="preserve"> Sentencia </w:t>
      </w:r>
      <w:hyperlink w:anchor="SENTENCIA_1997_136" w:history="1">
        <w:r w:rsidRPr="007D461E">
          <w:rPr>
            <w:rStyle w:val="TextoNormalCaracter"/>
          </w:rPr>
          <w:t>136/1997</w:t>
        </w:r>
      </w:hyperlink>
      <w:r>
        <w:t>, f. 4.</w:t>
      </w:r>
    </w:p>
    <w:p w:rsidR="007D461E" w:rsidRDefault="007D461E" w:rsidP="007D461E">
      <w:pPr>
        <w:pStyle w:val="SangriaFrancesaArticulo"/>
      </w:pPr>
      <w:r w:rsidRPr="007D461E">
        <w:rPr>
          <w:rStyle w:val="TextoNormalNegritaCaracter"/>
        </w:rPr>
        <w:t>Artículo 11.2.</w:t>
      </w:r>
      <w:r w:rsidRPr="007D461E">
        <w:rPr>
          <w:rStyle w:val="TextoNormalCaracter"/>
        </w:rPr>
        <w:t>-</w:t>
      </w:r>
      <w:r>
        <w:t xml:space="preserve"> Sentencia </w:t>
      </w:r>
      <w:hyperlink w:anchor="SENTENCIA_1997_136" w:history="1">
        <w:r w:rsidRPr="007D461E">
          <w:rPr>
            <w:rStyle w:val="TextoNormalCaracter"/>
          </w:rPr>
          <w:t>136/1997</w:t>
        </w:r>
      </w:hyperlink>
      <w:r>
        <w:t>, ff. 2, 4.</w:t>
      </w:r>
    </w:p>
    <w:p w:rsidR="007D461E" w:rsidRDefault="007D461E" w:rsidP="007D461E">
      <w:pPr>
        <w:pStyle w:val="SangriaFrancesaArticulo"/>
      </w:pPr>
      <w:r w:rsidRPr="007D461E">
        <w:rPr>
          <w:rStyle w:val="TextoNormalNegritaCaracter"/>
        </w:rPr>
        <w:t>Artículo 93.2.</w:t>
      </w:r>
      <w:r w:rsidRPr="007D461E">
        <w:rPr>
          <w:rStyle w:val="TextoNormalCaracter"/>
        </w:rPr>
        <w:t>-</w:t>
      </w:r>
      <w:r>
        <w:t xml:space="preserve"> Sentencia </w:t>
      </w:r>
      <w:hyperlink w:anchor="SENTENCIA_1997_136" w:history="1">
        <w:r w:rsidRPr="007D461E">
          <w:rPr>
            <w:rStyle w:val="TextoNormalCaracter"/>
          </w:rPr>
          <w:t>136/1997</w:t>
        </w:r>
      </w:hyperlink>
      <w:r>
        <w:t>, f. 2.</w:t>
      </w:r>
    </w:p>
    <w:p w:rsidR="007D461E" w:rsidRDefault="007D461E" w:rsidP="007D461E">
      <w:pPr>
        <w:pStyle w:val="SangriaFrancesaArticulo"/>
      </w:pPr>
      <w:r w:rsidRPr="007D461E">
        <w:rPr>
          <w:rStyle w:val="TextoNormalNegritaCaracter"/>
        </w:rPr>
        <w:t>Artículo 93.2 a).</w:t>
      </w:r>
      <w:r w:rsidRPr="007D461E">
        <w:rPr>
          <w:rStyle w:val="TextoNormalCaracter"/>
        </w:rPr>
        <w:t>-</w:t>
      </w:r>
      <w:r>
        <w:t xml:space="preserve"> Sentencia </w:t>
      </w:r>
      <w:hyperlink w:anchor="SENTENCIA_1997_125" w:history="1">
        <w:r w:rsidRPr="007D461E">
          <w:rPr>
            <w:rStyle w:val="TextoNormalCaracter"/>
          </w:rPr>
          <w:t>125/1997</w:t>
        </w:r>
      </w:hyperlink>
      <w:r>
        <w:t>, VP II.</w:t>
      </w:r>
    </w:p>
    <w:p w:rsidR="007D461E" w:rsidRDefault="007D461E" w:rsidP="007D461E">
      <w:pPr>
        <w:pStyle w:val="SangriaFrancesaArticulo"/>
      </w:pPr>
      <w:r w:rsidRPr="007D461E">
        <w:rPr>
          <w:rStyle w:val="TextoNormalNegritaCaracter"/>
        </w:rPr>
        <w:t>Artículo 93.2 b).</w:t>
      </w:r>
      <w:r w:rsidRPr="007D461E">
        <w:rPr>
          <w:rStyle w:val="TextoNormalCaracter"/>
        </w:rPr>
        <w:t>-</w:t>
      </w:r>
      <w:r>
        <w:t xml:space="preserve"> Sentencia </w:t>
      </w:r>
      <w:hyperlink w:anchor="SENTENCIA_1997_125" w:history="1">
        <w:r w:rsidRPr="007D461E">
          <w:rPr>
            <w:rStyle w:val="TextoNormalCaracter"/>
          </w:rPr>
          <w:t>125/1997</w:t>
        </w:r>
      </w:hyperlink>
      <w:r>
        <w:t>, f. 4, VP I, VP II.</w:t>
      </w:r>
    </w:p>
    <w:p w:rsidR="007D461E" w:rsidRDefault="007D461E" w:rsidP="007D461E">
      <w:pPr>
        <w:pStyle w:val="SangriaFrancesaArticulo"/>
      </w:pPr>
      <w:r w:rsidRPr="007D461E">
        <w:rPr>
          <w:rStyle w:val="TextoNormalNegritaCaracter"/>
        </w:rPr>
        <w:t>Artículo 93.2 c).</w:t>
      </w:r>
      <w:r w:rsidRPr="007D461E">
        <w:rPr>
          <w:rStyle w:val="TextoNormalCaracter"/>
        </w:rPr>
        <w:t>-</w:t>
      </w:r>
      <w:r>
        <w:t xml:space="preserve"> Sentencia </w:t>
      </w:r>
      <w:hyperlink w:anchor="SENTENCIA_1997_125" w:history="1">
        <w:r w:rsidRPr="007D461E">
          <w:rPr>
            <w:rStyle w:val="TextoNormalCaracter"/>
          </w:rPr>
          <w:t>125/1997</w:t>
        </w:r>
      </w:hyperlink>
      <w:r>
        <w:t>, VP II.</w:t>
      </w:r>
    </w:p>
    <w:p w:rsidR="007D461E" w:rsidRDefault="007D461E" w:rsidP="007D461E">
      <w:pPr>
        <w:pStyle w:val="SangriaFrancesaArticulo"/>
      </w:pPr>
      <w:r w:rsidRPr="007D461E">
        <w:rPr>
          <w:rStyle w:val="TextoNormalNegritaCaracter"/>
        </w:rPr>
        <w:t>Artículo 94.1 a).</w:t>
      </w:r>
      <w:r w:rsidRPr="007D461E">
        <w:rPr>
          <w:rStyle w:val="TextoNormalCaracter"/>
        </w:rPr>
        <w:t>-</w:t>
      </w:r>
      <w:r>
        <w:t xml:space="preserve"> Sentencia </w:t>
      </w:r>
      <w:hyperlink w:anchor="SENTENCIA_1997_136" w:history="1">
        <w:r w:rsidRPr="007D461E">
          <w:rPr>
            <w:rStyle w:val="TextoNormalCaracter"/>
          </w:rPr>
          <w:t>136/1997</w:t>
        </w:r>
      </w:hyperlink>
      <w:r>
        <w:t>, f. 2.</w:t>
      </w:r>
    </w:p>
    <w:p w:rsidR="007D461E" w:rsidRDefault="007D461E" w:rsidP="007D461E">
      <w:pPr>
        <w:pStyle w:val="SangriaFrancesaArticulo"/>
      </w:pPr>
      <w:r w:rsidRPr="007D461E">
        <w:rPr>
          <w:rStyle w:val="TextoNormalNegritaCaracter"/>
        </w:rPr>
        <w:t>Artículo 102 a).</w:t>
      </w:r>
      <w:r w:rsidRPr="007D461E">
        <w:rPr>
          <w:rStyle w:val="TextoNormalCaracter"/>
        </w:rPr>
        <w:t>-</w:t>
      </w:r>
      <w:r>
        <w:t xml:space="preserve"> Sentencia </w:t>
      </w:r>
      <w:hyperlink w:anchor="SENTENCIA_1997_132" w:history="1">
        <w:r w:rsidRPr="007D461E">
          <w:rPr>
            <w:rStyle w:val="TextoNormalCaracter"/>
          </w:rPr>
          <w:t>132/1997</w:t>
        </w:r>
      </w:hyperlink>
      <w:r>
        <w:t>, f. 5.</w:t>
      </w:r>
    </w:p>
    <w:p w:rsidR="007D461E" w:rsidRDefault="007D461E" w:rsidP="007D461E">
      <w:pPr>
        <w:pStyle w:val="SangriaFrancesaArticulo"/>
      </w:pPr>
      <w:r w:rsidRPr="007D461E">
        <w:rPr>
          <w:rStyle w:val="TextoNormalNegritaCaracter"/>
        </w:rPr>
        <w:t>Artículo 102.1 b).</w:t>
      </w:r>
      <w:r w:rsidRPr="007D461E">
        <w:rPr>
          <w:rStyle w:val="TextoNormalCaracter"/>
        </w:rPr>
        <w:t>-</w:t>
      </w:r>
      <w:r>
        <w:t xml:space="preserve"> Sentencia </w:t>
      </w:r>
      <w:hyperlink w:anchor="SENTENCIA_1997_132" w:history="1">
        <w:r w:rsidRPr="007D461E">
          <w:rPr>
            <w:rStyle w:val="TextoNormalCaracter"/>
          </w:rPr>
          <w:t>132/1997</w:t>
        </w:r>
      </w:hyperlink>
      <w:r>
        <w:t>, f. 5, VP.</w:t>
      </w:r>
    </w:p>
    <w:p w:rsidR="007D461E" w:rsidRDefault="007D461E" w:rsidP="007D461E">
      <w:pPr>
        <w:pStyle w:val="SangriaFrancesaArticulo"/>
      </w:pPr>
      <w:r w:rsidRPr="007D461E">
        <w:rPr>
          <w:rStyle w:val="TextoNormalNegritaCaracter"/>
        </w:rPr>
        <w:t>Artículo 122.1.</w:t>
      </w:r>
      <w:r w:rsidRPr="007D461E">
        <w:rPr>
          <w:rStyle w:val="TextoNormalCaracter"/>
        </w:rPr>
        <w:t>-</w:t>
      </w:r>
      <w:r>
        <w:t xml:space="preserve"> Auto </w:t>
      </w:r>
      <w:hyperlink w:anchor="AUTO_1997_141" w:history="1">
        <w:r w:rsidRPr="007D461E">
          <w:rPr>
            <w:rStyle w:val="TextoNormalCaracter"/>
          </w:rPr>
          <w:t>141/1997</w:t>
        </w:r>
      </w:hyperlink>
      <w:r>
        <w:t>.</w:t>
      </w:r>
    </w:p>
    <w:p w:rsidR="007D461E" w:rsidRDefault="007D461E" w:rsidP="007D461E">
      <w:pPr>
        <w:pStyle w:val="SangriaFrancesaArticulo"/>
      </w:pPr>
      <w:r w:rsidRPr="007D461E">
        <w:rPr>
          <w:rStyle w:val="TextoNormalNegritaCaracter"/>
        </w:rPr>
        <w:t>Disposición adicional sexta.</w:t>
      </w:r>
      <w:r w:rsidRPr="007D461E">
        <w:rPr>
          <w:rStyle w:val="TextoNormalCaracter"/>
        </w:rPr>
        <w:t>-</w:t>
      </w:r>
      <w:r>
        <w:t xml:space="preserve"> Sentencia </w:t>
      </w:r>
      <w:hyperlink w:anchor="SENTENCIA_1997_110" w:history="1">
        <w:r w:rsidRPr="007D461E">
          <w:rPr>
            <w:rStyle w:val="TextoNormalCaracter"/>
          </w:rPr>
          <w:t>110/1997</w:t>
        </w:r>
      </w:hyperlink>
      <w:r>
        <w:t>, f. 2.</w:t>
      </w:r>
    </w:p>
    <w:p w:rsidR="007D461E" w:rsidRDefault="007D461E" w:rsidP="007D461E">
      <w:pPr>
        <w:pStyle w:val="SangriaIzquierdaArticulo"/>
      </w:pPr>
      <w:r>
        <w:t xml:space="preserve">Auto </w:t>
      </w:r>
      <w:hyperlink w:anchor="AUTO_1997_294" w:history="1">
        <w:r w:rsidRPr="007D461E">
          <w:rPr>
            <w:rStyle w:val="TextoNormalCaracter"/>
          </w:rPr>
          <w:t>294/1997</w:t>
        </w:r>
      </w:hyperlink>
      <w:r>
        <w:t>.</w:t>
      </w:r>
    </w:p>
    <w:p w:rsidR="007D461E" w:rsidRDefault="007D461E" w:rsidP="007D461E">
      <w:pPr>
        <w:pStyle w:val="SangriaIzquierdaArticulo"/>
      </w:pPr>
    </w:p>
    <w:p w:rsidR="007D461E" w:rsidRDefault="007D461E" w:rsidP="007D461E">
      <w:pPr>
        <w:pStyle w:val="TextoNormalNegritaCursivandice"/>
      </w:pPr>
      <w:r>
        <w:t>Orden del Ministerio de Educación Nacional, de 25 de enero de 1957. Normas para diploma de óptico de anteojería</w:t>
      </w:r>
    </w:p>
    <w:p w:rsidR="007D461E" w:rsidRDefault="007D461E" w:rsidP="007D461E">
      <w:pPr>
        <w:pStyle w:val="SangriaFrancesaArticulo"/>
      </w:pPr>
      <w:r w:rsidRPr="007D461E">
        <w:rPr>
          <w:rStyle w:val="TextoNormalNegritaCaracter"/>
        </w:rPr>
        <w:t>Apartado 2.</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t>Decreto-ley de 22 de marzo de 1957. Añade un párrafo al artículo 503 de la Ley de Enjuiciamiento Criminal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f. 3.</w:t>
      </w:r>
    </w:p>
    <w:p w:rsidR="007D461E" w:rsidRDefault="007D461E" w:rsidP="007D461E">
      <w:pPr>
        <w:pStyle w:val="SangriaFrancesaArticulo"/>
      </w:pPr>
    </w:p>
    <w:p w:rsidR="007D461E" w:rsidRDefault="007D461E" w:rsidP="007D461E">
      <w:pPr>
        <w:pStyle w:val="TextoNormalNegritaCursivandice"/>
      </w:pPr>
      <w:r>
        <w:t>Ley de 17 de julio de 1958. Procedimiento administrativo</w:t>
      </w:r>
    </w:p>
    <w:p w:rsidR="007D461E" w:rsidRDefault="007D461E" w:rsidP="007D461E">
      <w:pPr>
        <w:pStyle w:val="SangriaFrancesaArticulo"/>
      </w:pPr>
      <w:r w:rsidRPr="007D461E">
        <w:rPr>
          <w:rStyle w:val="TextoNormalNegritaCaracter"/>
        </w:rPr>
        <w:t>Artículo 69.</w:t>
      </w:r>
      <w:r w:rsidRPr="007D461E">
        <w:rPr>
          <w:rStyle w:val="TextoNormalCaracter"/>
        </w:rPr>
        <w:t>-</w:t>
      </w:r>
      <w:r>
        <w:t xml:space="preserve"> Sentencia </w:t>
      </w:r>
      <w:hyperlink w:anchor="SENTENCIA_1997_104" w:history="1">
        <w:r w:rsidRPr="007D461E">
          <w:rPr>
            <w:rStyle w:val="TextoNormalCaracter"/>
          </w:rPr>
          <w:t>104/1997</w:t>
        </w:r>
      </w:hyperlink>
      <w:r>
        <w:t>, f. 3.</w:t>
      </w:r>
    </w:p>
    <w:p w:rsidR="007D461E" w:rsidRDefault="007D461E" w:rsidP="007D461E">
      <w:pPr>
        <w:pStyle w:val="SangriaFrancesaArticulo"/>
      </w:pPr>
      <w:r w:rsidRPr="007D461E">
        <w:rPr>
          <w:rStyle w:val="TextoNormalNegritaCaracter"/>
        </w:rPr>
        <w:t>Artículo 71.</w:t>
      </w:r>
      <w:r w:rsidRPr="007D461E">
        <w:rPr>
          <w:rStyle w:val="TextoNormalCaracter"/>
        </w:rPr>
        <w:t>-</w:t>
      </w:r>
      <w:r>
        <w:t xml:space="preserve"> Sentencia </w:t>
      </w:r>
      <w:hyperlink w:anchor="SENTENCIA_1997_104" w:history="1">
        <w:r w:rsidRPr="007D461E">
          <w:rPr>
            <w:rStyle w:val="TextoNormalCaracter"/>
          </w:rPr>
          <w:t>104/1997</w:t>
        </w:r>
      </w:hyperlink>
      <w:r>
        <w:t>, ff. 3 a 5.</w:t>
      </w:r>
    </w:p>
    <w:p w:rsidR="007D461E" w:rsidRDefault="007D461E" w:rsidP="007D461E">
      <w:pPr>
        <w:pStyle w:val="SangriaFrancesaArticulo"/>
      </w:pPr>
    </w:p>
    <w:p w:rsidR="007D461E" w:rsidRDefault="007D461E" w:rsidP="007D461E">
      <w:pPr>
        <w:pStyle w:val="TextoNormalNegritaCursivandice"/>
      </w:pPr>
      <w:r>
        <w:t>Decreto de 14 de noviembre de 1958. Reglamento del Registro Civil</w:t>
      </w:r>
    </w:p>
    <w:p w:rsidR="007D461E" w:rsidRDefault="007D461E" w:rsidP="007D461E">
      <w:pPr>
        <w:pStyle w:val="SangriaFrancesaArticulo"/>
      </w:pPr>
      <w:r w:rsidRPr="007D461E">
        <w:rPr>
          <w:rStyle w:val="TextoNormalNegritaCaracter"/>
        </w:rPr>
        <w:t>Artículo 130.</w:t>
      </w:r>
      <w:r w:rsidRPr="007D461E">
        <w:rPr>
          <w:rStyle w:val="TextoNormalCaracter"/>
        </w:rPr>
        <w:t>-</w:t>
      </w:r>
      <w:r>
        <w:t xml:space="preserve"> Sentencia </w:t>
      </w:r>
      <w:hyperlink w:anchor="SENTENCIA_1997_126" w:history="1">
        <w:r w:rsidRPr="007D461E">
          <w:rPr>
            <w:rStyle w:val="TextoNormalCaracter"/>
          </w:rPr>
          <w:t>126/1997</w:t>
        </w:r>
      </w:hyperlink>
      <w:r>
        <w:t>, f. 12, VP II.</w:t>
      </w:r>
    </w:p>
    <w:p w:rsidR="007D461E" w:rsidRDefault="007D461E" w:rsidP="007D461E">
      <w:pPr>
        <w:pStyle w:val="SangriaFrancesaArticulo"/>
      </w:pPr>
      <w:r w:rsidRPr="007D461E">
        <w:rPr>
          <w:rStyle w:val="TextoNormalNegritaCaracter"/>
        </w:rPr>
        <w:t>Artículo 135.</w:t>
      </w:r>
      <w:r w:rsidRPr="007D461E">
        <w:rPr>
          <w:rStyle w:val="TextoNormalCaracter"/>
        </w:rPr>
        <w:t>-</w:t>
      </w:r>
      <w:r>
        <w:t xml:space="preserve"> Sentencia </w:t>
      </w:r>
      <w:hyperlink w:anchor="SENTENCIA_1997_126" w:history="1">
        <w:r w:rsidRPr="007D461E">
          <w:rPr>
            <w:rStyle w:val="TextoNormalCaracter"/>
          </w:rPr>
          <w:t>126/1997</w:t>
        </w:r>
      </w:hyperlink>
      <w:r>
        <w:t>, VP II.</w:t>
      </w:r>
    </w:p>
    <w:p w:rsidR="007D461E" w:rsidRDefault="007D461E" w:rsidP="007D461E">
      <w:pPr>
        <w:pStyle w:val="SangriaFrancesaArticulo"/>
      </w:pPr>
      <w:r w:rsidRPr="007D461E">
        <w:rPr>
          <w:rStyle w:val="TextoNormalNegritaCaracter"/>
        </w:rPr>
        <w:t>Artículo 135.3.</w:t>
      </w:r>
      <w:r w:rsidRPr="007D461E">
        <w:rPr>
          <w:rStyle w:val="TextoNormalCaracter"/>
        </w:rPr>
        <w:t>-</w:t>
      </w:r>
      <w:r>
        <w:t xml:space="preserve"> Sentencia </w:t>
      </w:r>
      <w:hyperlink w:anchor="SENTENCIA_1997_126" w:history="1">
        <w:r w:rsidRPr="007D461E">
          <w:rPr>
            <w:rStyle w:val="TextoNormalCaracter"/>
          </w:rPr>
          <w:t>126/1997</w:t>
        </w:r>
      </w:hyperlink>
      <w:r>
        <w:t>, f. 12.</w:t>
      </w:r>
    </w:p>
    <w:p w:rsidR="007D461E" w:rsidRDefault="007D461E" w:rsidP="007D461E">
      <w:pPr>
        <w:pStyle w:val="SangriaFrancesaArticulo"/>
      </w:pPr>
    </w:p>
    <w:p w:rsidR="007D461E" w:rsidRDefault="007D461E" w:rsidP="007D461E">
      <w:pPr>
        <w:pStyle w:val="TextoNormalNegritaCursivandice"/>
      </w:pPr>
      <w:r>
        <w:t>Decreto 853/1959, de 27 de mayo. Reglamento de régimen interior de los colegios oficiales de corredores de comercio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 13.</w:t>
      </w:r>
    </w:p>
    <w:p w:rsidR="007D461E" w:rsidRDefault="007D461E" w:rsidP="007D461E">
      <w:pPr>
        <w:pStyle w:val="SangriaFrancesaArticulo"/>
      </w:pPr>
    </w:p>
    <w:p w:rsidR="007D461E" w:rsidRDefault="0084433F" w:rsidP="007D461E">
      <w:pPr>
        <w:pStyle w:val="TextoNormalNegritaCursivandice"/>
      </w:pPr>
      <w:r>
        <w:fldChar w:fldCharType="begin"/>
      </w:r>
      <w:r>
        <w:instrText xml:space="preserve"> PAGEREF SUMARIOSINDICES \h </w:instrText>
      </w:r>
      <w:r>
        <w:fldChar w:fldCharType="separate"/>
      </w:r>
      <w:r w:rsidR="00E14B47">
        <w:rPr>
          <w:noProof/>
        </w:rPr>
        <w:t>2</w:t>
      </w:r>
      <w:r>
        <w:fldChar w:fldCharType="end"/>
      </w:r>
      <w:r w:rsidR="007D461E">
        <w:t>Decreto 1387/1961, de 20 de julio. Regulación del ejercicio profesional de ópticos</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r w:rsidRPr="007D461E">
        <w:rPr>
          <w:rStyle w:val="TextoNormalNegritaCaracter"/>
        </w:rPr>
        <w:t>Artículo 2.</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r w:rsidRPr="007D461E">
        <w:rPr>
          <w:rStyle w:val="TextoNormalNegritaCaracter"/>
        </w:rPr>
        <w:t>Disposición transitoria.</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r w:rsidRPr="007D461E">
        <w:rPr>
          <w:rStyle w:val="TextoNormalNegritaCaracter"/>
        </w:rPr>
        <w:t>Disposición transitoria, apartado 2.</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r w:rsidRPr="007D461E">
        <w:rPr>
          <w:rStyle w:val="TextoNormalNegritaCaracter"/>
        </w:rPr>
        <w:t>Disposición transitoria, apartado 3.</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lastRenderedPageBreak/>
        <w:t>Decreto 424/1963, de 1 de marzo. Estatuto Orgánico de los Gestores Administrativos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r w:rsidRPr="007D461E">
        <w:rPr>
          <w:rStyle w:val="TextoNormalNegritaCaracter"/>
        </w:rPr>
        <w:t>Artículo 1.</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r w:rsidRPr="007D461E">
        <w:rPr>
          <w:rStyle w:val="TextoNormalNegritaCaracter"/>
        </w:rPr>
        <w:t>Artículo 6.</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r w:rsidRPr="007D461E">
        <w:rPr>
          <w:rStyle w:val="TextoNormalNegritaCaracter"/>
        </w:rPr>
        <w:t>Artículo 6 e).</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r w:rsidRPr="007D461E">
        <w:rPr>
          <w:rStyle w:val="TextoNormalNegritaCaracter"/>
        </w:rPr>
        <w:t>Artículo 6 f).</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r w:rsidRPr="007D461E">
        <w:rPr>
          <w:rStyle w:val="TextoNormalNegritaCaracter"/>
        </w:rPr>
        <w:t>Artículo 6 i).</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p>
    <w:p w:rsidR="007D461E" w:rsidRDefault="007D461E" w:rsidP="007D461E">
      <w:pPr>
        <w:pStyle w:val="TextoNormalNegritaCursivandice"/>
      </w:pPr>
      <w:r>
        <w:t>Ley 154/1963, de 2 de diciembre. Crea Juzgado y Tribunal de Orden Público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Decreto 356/1964, de 12 de febrero. Creación del Colegio nacional de ópticos</w:t>
      </w:r>
    </w:p>
    <w:p w:rsidR="007D461E" w:rsidRDefault="007D461E" w:rsidP="007D461E">
      <w:pPr>
        <w:pStyle w:val="SangriaFrancesaArticulo"/>
      </w:pPr>
      <w:r w:rsidRPr="007D461E">
        <w:rPr>
          <w:rStyle w:val="TextoNormalNegritaCaracter"/>
        </w:rPr>
        <w:t>Artículo 2.</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t>Acuerdo de la Delegación nacional de sindicatos, de 17 de agosto de 1964. Estatutos Generales del Colegio nacional de ópticos</w:t>
      </w:r>
    </w:p>
    <w:p w:rsidR="007D461E" w:rsidRDefault="007D461E" w:rsidP="007D461E">
      <w:pPr>
        <w:pStyle w:val="SangriaFrancesaArticulo"/>
      </w:pPr>
      <w:r w:rsidRPr="007D461E">
        <w:rPr>
          <w:rStyle w:val="TextoNormalNegritaCaracter"/>
        </w:rPr>
        <w:t>Artículo 4.</w:t>
      </w:r>
      <w:r w:rsidRPr="007D461E">
        <w:rPr>
          <w:rStyle w:val="TextoNormalCaracter"/>
        </w:rPr>
        <w:t>-</w:t>
      </w:r>
      <w:r>
        <w:t xml:space="preserve"> Auto </w:t>
      </w:r>
      <w:hyperlink w:anchor="AUTO_1997_275" w:history="1">
        <w:r w:rsidRPr="007D461E">
          <w:rPr>
            <w:rStyle w:val="TextoNormalCaracter"/>
          </w:rPr>
          <w:t>275/1997</w:t>
        </w:r>
      </w:hyperlink>
      <w:r>
        <w:t>.</w:t>
      </w:r>
    </w:p>
    <w:p w:rsidR="007D461E" w:rsidRDefault="007D461E" w:rsidP="007D461E">
      <w:pPr>
        <w:pStyle w:val="SangriaFrancesaArticulo"/>
      </w:pPr>
    </w:p>
    <w:p w:rsidR="007D461E" w:rsidRDefault="007D461E" w:rsidP="007D461E">
      <w:pPr>
        <w:pStyle w:val="TextoNormalNegritaCursivandice"/>
      </w:pPr>
      <w:r>
        <w:t>Decreto 1506/1967, de 30 de junio. Reglamento de las bolsas de comercio</w:t>
      </w:r>
    </w:p>
    <w:p w:rsidR="007D461E" w:rsidRDefault="007D461E" w:rsidP="007D461E">
      <w:pPr>
        <w:pStyle w:val="SangriaFrancesaArticulo"/>
      </w:pPr>
      <w:r w:rsidRPr="007D461E">
        <w:rPr>
          <w:rStyle w:val="TextoNormalNegritaCaracter"/>
        </w:rPr>
        <w:t>Artículo 56.</w:t>
      </w:r>
      <w:r w:rsidRPr="007D461E">
        <w:rPr>
          <w:rStyle w:val="TextoNormalCaracter"/>
        </w:rPr>
        <w:t>-</w:t>
      </w:r>
      <w:r>
        <w:t xml:space="preserve"> Sentencia </w:t>
      </w:r>
      <w:hyperlink w:anchor="SENTENCIA_1997_133" w:history="1">
        <w:r w:rsidRPr="007D461E">
          <w:rPr>
            <w:rStyle w:val="TextoNormalCaracter"/>
          </w:rPr>
          <w:t>133/1997</w:t>
        </w:r>
      </w:hyperlink>
      <w:r>
        <w:t>, ff. 9, 13.</w:t>
      </w:r>
    </w:p>
    <w:p w:rsidR="007D461E" w:rsidRDefault="007D461E" w:rsidP="007D461E">
      <w:pPr>
        <w:pStyle w:val="SangriaFrancesaArticulo"/>
      </w:pPr>
    </w:p>
    <w:p w:rsidR="007D461E" w:rsidRDefault="007D461E" w:rsidP="007D461E">
      <w:pPr>
        <w:pStyle w:val="TextoNormalNegritaCursivandice"/>
      </w:pPr>
      <w:r>
        <w:t>Decreto 2129/1970, de 9 de julio. Modifica determinados artículos del Estatuto de la Profesión de Gestor Administrativo y se unifica dicha profesión con la de Agente Comisionado de Negocios Privados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p>
    <w:p w:rsidR="007D461E" w:rsidRDefault="007D461E" w:rsidP="007D461E">
      <w:pPr>
        <w:pStyle w:val="TextoNormalNegritaCursivandice"/>
      </w:pPr>
      <w:r>
        <w:t>Orden del Ministerio de Trabajo, de 22 de enero de 1971. Reglamentación nacional de trabajo en RENFE</w:t>
      </w:r>
    </w:p>
    <w:p w:rsidR="007D461E" w:rsidRDefault="007D461E" w:rsidP="007D461E">
      <w:pPr>
        <w:pStyle w:val="SangriaFrancesaArticulo"/>
      </w:pPr>
      <w:r w:rsidRPr="007D461E">
        <w:rPr>
          <w:rStyle w:val="TextoNormalNegritaCaracter"/>
        </w:rPr>
        <w:t>Artículo 230.</w:t>
      </w:r>
      <w:r w:rsidRPr="007D461E">
        <w:rPr>
          <w:rStyle w:val="TextoNormalCaracter"/>
        </w:rPr>
        <w:t>-</w:t>
      </w:r>
      <w:r>
        <w:t xml:space="preserve"> Sentencia </w:t>
      </w:r>
      <w:hyperlink w:anchor="SENTENCIA_1997_93" w:history="1">
        <w:r w:rsidRPr="007D461E">
          <w:rPr>
            <w:rStyle w:val="TextoNormalCaracter"/>
          </w:rPr>
          <w:t>93/1997</w:t>
        </w:r>
      </w:hyperlink>
      <w:r>
        <w:t>, f. 4.</w:t>
      </w:r>
    </w:p>
    <w:p w:rsidR="007D461E" w:rsidRDefault="007D461E" w:rsidP="007D461E">
      <w:pPr>
        <w:pStyle w:val="SangriaFrancesaArticulo"/>
      </w:pPr>
    </w:p>
    <w:p w:rsidR="007D461E" w:rsidRDefault="007D461E" w:rsidP="007D461E">
      <w:pPr>
        <w:pStyle w:val="TextoNormalNegritaCursivandice"/>
      </w:pPr>
      <w:r>
        <w:t>Decreto 3598/1972, de 23 de diciembre. Modifica el contenido de determinados artículos del Estatuto de la Profesión de Gestor Administrativo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p>
    <w:p w:rsidR="007D461E" w:rsidRDefault="007D461E" w:rsidP="007D461E">
      <w:pPr>
        <w:pStyle w:val="TextoNormalNegritaCursivandice"/>
      </w:pPr>
      <w:r>
        <w:t>Decreto 3096/1973, de 14 de septiembre. Texto refundido del Código penal conforme a la Ley 44/1971, de 15 de noviembre</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Artículo 4.4.</w:t>
      </w:r>
      <w:r w:rsidRPr="007D461E">
        <w:rPr>
          <w:rStyle w:val="TextoNormalCaracter"/>
        </w:rPr>
        <w:t>-</w:t>
      </w:r>
      <w:r>
        <w:t xml:space="preserve"> Auto </w:t>
      </w:r>
      <w:hyperlink w:anchor="AUTO_1997_278" w:history="1">
        <w:r w:rsidRPr="007D461E">
          <w:rPr>
            <w:rStyle w:val="TextoNormalCaracter"/>
          </w:rPr>
          <w:t>278/1997</w:t>
        </w:r>
      </w:hyperlink>
      <w:r>
        <w:t>.</w:t>
      </w:r>
    </w:p>
    <w:p w:rsidR="007D461E" w:rsidRDefault="007D461E" w:rsidP="007D461E">
      <w:pPr>
        <w:pStyle w:val="SangriaFrancesaArticulo"/>
      </w:pPr>
      <w:r w:rsidRPr="007D461E">
        <w:rPr>
          <w:rStyle w:val="TextoNormalNegritaCaracter"/>
        </w:rPr>
        <w:t>Artículo 27.</w:t>
      </w:r>
      <w:r w:rsidRPr="007D461E">
        <w:rPr>
          <w:rStyle w:val="TextoNormalCaracter"/>
        </w:rPr>
        <w:t>-</w:t>
      </w:r>
      <w:r>
        <w:t xml:space="preserve"> Sentencia </w:t>
      </w:r>
      <w:hyperlink w:anchor="SENTENCIA_1997_92" w:history="1">
        <w:r w:rsidRPr="007D461E">
          <w:rPr>
            <w:rStyle w:val="TextoNormalCaracter"/>
          </w:rPr>
          <w:t>92/1997</w:t>
        </w:r>
      </w:hyperlink>
      <w:r>
        <w:t>, f. 3.</w:t>
      </w:r>
    </w:p>
    <w:p w:rsidR="007D461E" w:rsidRDefault="007D461E" w:rsidP="007D461E">
      <w:pPr>
        <w:pStyle w:val="SangriaFrancesaArticulo"/>
      </w:pPr>
      <w:r w:rsidRPr="007D461E">
        <w:rPr>
          <w:rStyle w:val="TextoNormalNegritaCaracter"/>
        </w:rPr>
        <w:t>Artículo 30.</w:t>
      </w:r>
      <w:r w:rsidRPr="007D461E">
        <w:rPr>
          <w:rStyle w:val="TextoNormalCaracter"/>
        </w:rPr>
        <w:t>-</w:t>
      </w:r>
      <w:r>
        <w:t xml:space="preserve"> Sentencia </w:t>
      </w:r>
      <w:hyperlink w:anchor="SENTENCIA_1997_115" w:history="1">
        <w:r w:rsidRPr="007D461E">
          <w:rPr>
            <w:rStyle w:val="TextoNormalCaracter"/>
          </w:rPr>
          <w:t>115/1997</w:t>
        </w:r>
      </w:hyperlink>
      <w:r>
        <w:t>, f. 2.</w:t>
      </w:r>
    </w:p>
    <w:p w:rsidR="007D461E" w:rsidRDefault="007D461E" w:rsidP="007D461E">
      <w:pPr>
        <w:pStyle w:val="SangriaFrancesaArticulo"/>
      </w:pPr>
      <w:r w:rsidRPr="007D461E">
        <w:rPr>
          <w:rStyle w:val="TextoNormalNegritaCaracter"/>
        </w:rPr>
        <w:t>Artículo 85.</w:t>
      </w:r>
      <w:r w:rsidRPr="007D461E">
        <w:rPr>
          <w:rStyle w:val="TextoNormalCaracter"/>
        </w:rPr>
        <w:t>-</w:t>
      </w:r>
      <w:r>
        <w:t xml:space="preserve"> Sentencia </w:t>
      </w:r>
      <w:hyperlink w:anchor="SENTENCIA_1997_115" w:history="1">
        <w:r w:rsidRPr="007D461E">
          <w:rPr>
            <w:rStyle w:val="TextoNormalCaracter"/>
          </w:rPr>
          <w:t>115/1997</w:t>
        </w:r>
      </w:hyperlink>
      <w:r>
        <w:t>, f. 2.</w:t>
      </w:r>
    </w:p>
    <w:p w:rsidR="007D461E" w:rsidRDefault="007D461E" w:rsidP="007D461E">
      <w:pPr>
        <w:pStyle w:val="SangriaFrancesaArticulo"/>
      </w:pPr>
      <w:r w:rsidRPr="007D461E">
        <w:rPr>
          <w:rStyle w:val="TextoNormalNegritaCaracter"/>
        </w:rPr>
        <w:t>Artículo 92.1.</w:t>
      </w:r>
      <w:r w:rsidRPr="007D461E">
        <w:rPr>
          <w:rStyle w:val="TextoNormalCaracter"/>
        </w:rPr>
        <w:t>-</w:t>
      </w:r>
      <w:r>
        <w:t xml:space="preserve"> Sentencia </w:t>
      </w:r>
      <w:hyperlink w:anchor="SENTENCIA_1997_115" w:history="1">
        <w:r w:rsidRPr="007D461E">
          <w:rPr>
            <w:rStyle w:val="TextoNormalCaracter"/>
          </w:rPr>
          <w:t>115/1997</w:t>
        </w:r>
      </w:hyperlink>
      <w:r>
        <w:t>, f. 2.</w:t>
      </w:r>
    </w:p>
    <w:p w:rsidR="007D461E" w:rsidRDefault="007D461E" w:rsidP="007D461E">
      <w:pPr>
        <w:pStyle w:val="SangriaFrancesaArticulo"/>
      </w:pPr>
      <w:r w:rsidRPr="007D461E">
        <w:rPr>
          <w:rStyle w:val="TextoNormalNegritaCaracter"/>
        </w:rPr>
        <w:t>Artículo 108.</w:t>
      </w:r>
      <w:r w:rsidRPr="007D461E">
        <w:rPr>
          <w:rStyle w:val="TextoNormalCaracter"/>
        </w:rPr>
        <w:t>-</w:t>
      </w:r>
      <w:r>
        <w:t xml:space="preserve"> Sentencia </w:t>
      </w:r>
      <w:hyperlink w:anchor="SENTENCIA_1997_89" w:history="1">
        <w:r w:rsidRPr="007D461E">
          <w:rPr>
            <w:rStyle w:val="TextoNormalCaracter"/>
          </w:rPr>
          <w:t>89/1997</w:t>
        </w:r>
      </w:hyperlink>
      <w:r>
        <w:t>, f. 2.</w:t>
      </w:r>
    </w:p>
    <w:p w:rsidR="007D461E" w:rsidRDefault="007D461E" w:rsidP="007D461E">
      <w:pPr>
        <w:pStyle w:val="SangriaFrancesaArticulo"/>
      </w:pPr>
      <w:r w:rsidRPr="007D461E">
        <w:rPr>
          <w:rStyle w:val="TextoNormalNegritaCaracter"/>
        </w:rPr>
        <w:t>Artículo 191.</w:t>
      </w:r>
      <w:r w:rsidRPr="007D461E">
        <w:rPr>
          <w:rStyle w:val="TextoNormalCaracter"/>
        </w:rPr>
        <w:t>-</w:t>
      </w:r>
      <w:r>
        <w:t xml:space="preserve"> Auto </w:t>
      </w:r>
      <w:hyperlink w:anchor="AUTO_1997_175" w:history="1">
        <w:r w:rsidRPr="007D461E">
          <w:rPr>
            <w:rStyle w:val="TextoNormalCaracter"/>
          </w:rPr>
          <w:t>175/1997</w:t>
        </w:r>
      </w:hyperlink>
      <w:r>
        <w:t>.</w:t>
      </w:r>
    </w:p>
    <w:p w:rsidR="007D461E" w:rsidRDefault="007D461E" w:rsidP="007D461E">
      <w:pPr>
        <w:pStyle w:val="SangriaFrancesaArticulo"/>
      </w:pPr>
      <w:r w:rsidRPr="007D461E">
        <w:rPr>
          <w:rStyle w:val="TextoNormalNegritaCaracter"/>
        </w:rPr>
        <w:t>Artículo 321.</w:t>
      </w:r>
      <w:r w:rsidRPr="007D461E">
        <w:rPr>
          <w:rStyle w:val="TextoNormalCaracter"/>
        </w:rPr>
        <w:t>-</w:t>
      </w:r>
      <w:r>
        <w:t xml:space="preserve"> Sentencia </w:t>
      </w:r>
      <w:hyperlink w:anchor="SENTENCIA_1997_130" w:history="1">
        <w:r w:rsidRPr="007D461E">
          <w:rPr>
            <w:rStyle w:val="TextoNormalCaracter"/>
          </w:rPr>
          <w:t>130/1997</w:t>
        </w:r>
      </w:hyperlink>
      <w:r>
        <w:t>, ff. 3, 4.</w:t>
      </w:r>
    </w:p>
    <w:p w:rsidR="007D461E" w:rsidRDefault="007D461E" w:rsidP="007D461E">
      <w:pPr>
        <w:pStyle w:val="SangriaIzquierdaArticulo"/>
      </w:pPr>
      <w:r>
        <w:lastRenderedPageBreak/>
        <w:t xml:space="preserve">Auto </w:t>
      </w:r>
      <w:hyperlink w:anchor="AUTO_1997_275" w:history="1">
        <w:r w:rsidRPr="007D461E">
          <w:rPr>
            <w:rStyle w:val="TextoNormalCaracter"/>
          </w:rPr>
          <w:t>275/1997</w:t>
        </w:r>
      </w:hyperlink>
      <w:r>
        <w:t>.</w:t>
      </w:r>
    </w:p>
    <w:p w:rsidR="007D461E" w:rsidRDefault="007D461E" w:rsidP="007D461E">
      <w:pPr>
        <w:pStyle w:val="SangriaFrancesaArticulo"/>
      </w:pPr>
      <w:r w:rsidRPr="007D461E">
        <w:rPr>
          <w:rStyle w:val="TextoNormalNegritaCaracter"/>
        </w:rPr>
        <w:t>Artículo 329.</w:t>
      </w:r>
      <w:r w:rsidRPr="007D461E">
        <w:rPr>
          <w:rStyle w:val="TextoNormalCaracter"/>
        </w:rPr>
        <w:t>-</w:t>
      </w:r>
      <w:r>
        <w:t xml:space="preserve"> Auto </w:t>
      </w:r>
      <w:hyperlink w:anchor="AUTO_1997_158" w:history="1">
        <w:r w:rsidRPr="007D461E">
          <w:rPr>
            <w:rStyle w:val="TextoNormalCaracter"/>
          </w:rPr>
          <w:t>158/1997</w:t>
        </w:r>
      </w:hyperlink>
      <w:r>
        <w:t>.</w:t>
      </w:r>
    </w:p>
    <w:p w:rsidR="007D461E" w:rsidRDefault="007D461E" w:rsidP="007D461E">
      <w:pPr>
        <w:pStyle w:val="SangriaFrancesaArticulo"/>
      </w:pPr>
      <w:r w:rsidRPr="007D461E">
        <w:rPr>
          <w:rStyle w:val="TextoNormalNegritaCaracter"/>
        </w:rPr>
        <w:t>Artículo 453.</w:t>
      </w:r>
      <w:r w:rsidRPr="007D461E">
        <w:rPr>
          <w:rStyle w:val="TextoNormalCaracter"/>
        </w:rPr>
        <w:t>-</w:t>
      </w:r>
      <w:r>
        <w:t xml:space="preserve"> Sentencia </w:t>
      </w:r>
      <w:hyperlink w:anchor="SENTENCIA_1997_116" w:history="1">
        <w:r w:rsidRPr="007D461E">
          <w:rPr>
            <w:rStyle w:val="TextoNormalCaracter"/>
          </w:rPr>
          <w:t>116/1997</w:t>
        </w:r>
      </w:hyperlink>
      <w:r>
        <w:t>, f. 1.</w:t>
      </w:r>
    </w:p>
    <w:p w:rsidR="007D461E" w:rsidRDefault="007D461E" w:rsidP="007D461E">
      <w:pPr>
        <w:pStyle w:val="SangriaFrancesaArticulo"/>
      </w:pPr>
      <w:r w:rsidRPr="007D461E">
        <w:rPr>
          <w:rStyle w:val="TextoNormalNegritaCaracter"/>
        </w:rPr>
        <w:t>Artículo 457.</w:t>
      </w:r>
      <w:r w:rsidRPr="007D461E">
        <w:rPr>
          <w:rStyle w:val="TextoNormalCaracter"/>
        </w:rPr>
        <w:t>-</w:t>
      </w:r>
      <w:r>
        <w:t xml:space="preserve"> Sentencia </w:t>
      </w:r>
      <w:hyperlink w:anchor="SENTENCIA_1997_116" w:history="1">
        <w:r w:rsidRPr="007D461E">
          <w:rPr>
            <w:rStyle w:val="TextoNormalCaracter"/>
          </w:rPr>
          <w:t>116/1997</w:t>
        </w:r>
      </w:hyperlink>
      <w:r>
        <w:t>, f. 1.</w:t>
      </w:r>
    </w:p>
    <w:p w:rsidR="007D461E" w:rsidRDefault="007D461E" w:rsidP="007D461E">
      <w:pPr>
        <w:pStyle w:val="SangriaFrancesaArticulo"/>
      </w:pPr>
      <w:r w:rsidRPr="007D461E">
        <w:rPr>
          <w:rStyle w:val="TextoNormalNegritaCaracter"/>
        </w:rPr>
        <w:t>Artículo 487 bis.</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Artículo 496.</w:t>
      </w:r>
      <w:r w:rsidRPr="007D461E">
        <w:rPr>
          <w:rStyle w:val="TextoNormalCaracter"/>
        </w:rPr>
        <w:t>-</w:t>
      </w:r>
      <w:r>
        <w:t xml:space="preserve"> Sentencia </w:t>
      </w:r>
      <w:hyperlink w:anchor="SENTENCIA_1997_137" w:history="1">
        <w:r w:rsidRPr="007D461E">
          <w:rPr>
            <w:rStyle w:val="TextoNormalCaracter"/>
          </w:rPr>
          <w:t>137/1997</w:t>
        </w:r>
      </w:hyperlink>
      <w:r>
        <w:t>, f. 3.</w:t>
      </w:r>
    </w:p>
    <w:p w:rsidR="007D461E" w:rsidRDefault="007D461E" w:rsidP="007D461E">
      <w:pPr>
        <w:pStyle w:val="SangriaFrancesaArticulo"/>
      </w:pPr>
      <w:r w:rsidRPr="007D461E">
        <w:rPr>
          <w:rStyle w:val="TextoNormalNegritaCaracter"/>
        </w:rPr>
        <w:t>Artículo 528.</w:t>
      </w:r>
      <w:r w:rsidRPr="007D461E">
        <w:rPr>
          <w:rStyle w:val="TextoNormalCaracter"/>
        </w:rPr>
        <w:t>-</w:t>
      </w:r>
      <w:r>
        <w:t xml:space="preserve"> Auto </w:t>
      </w:r>
      <w:hyperlink w:anchor="AUTO_1997_158" w:history="1">
        <w:r w:rsidRPr="007D461E">
          <w:rPr>
            <w:rStyle w:val="TextoNormalCaracter"/>
          </w:rPr>
          <w:t>158/1997</w:t>
        </w:r>
      </w:hyperlink>
      <w:r>
        <w:t>.</w:t>
      </w:r>
    </w:p>
    <w:p w:rsidR="007D461E" w:rsidRDefault="007D461E" w:rsidP="007D461E">
      <w:pPr>
        <w:pStyle w:val="SangriaFrancesaArticulo"/>
      </w:pPr>
      <w:r w:rsidRPr="007D461E">
        <w:rPr>
          <w:rStyle w:val="TextoNormalNegritaCaracter"/>
        </w:rPr>
        <w:t>Artículo 529.7.</w:t>
      </w:r>
      <w:r w:rsidRPr="007D461E">
        <w:rPr>
          <w:rStyle w:val="TextoNormalCaracter"/>
        </w:rPr>
        <w:t>-</w:t>
      </w:r>
      <w:r>
        <w:t xml:space="preserve"> Auto </w:t>
      </w:r>
      <w:hyperlink w:anchor="AUTO_1997_158" w:history="1">
        <w:r w:rsidRPr="007D461E">
          <w:rPr>
            <w:rStyle w:val="TextoNormalCaracter"/>
          </w:rPr>
          <w:t>158/1997</w:t>
        </w:r>
      </w:hyperlink>
      <w:r>
        <w:t>.</w:t>
      </w:r>
    </w:p>
    <w:p w:rsidR="007D461E" w:rsidRDefault="007D461E" w:rsidP="007D461E">
      <w:pPr>
        <w:pStyle w:val="SangriaFrancesaArticulo"/>
      </w:pPr>
      <w:r w:rsidRPr="007D461E">
        <w:rPr>
          <w:rStyle w:val="TextoNormalNegritaCaracter"/>
        </w:rPr>
        <w:t>Artículo 565.</w:t>
      </w:r>
      <w:r w:rsidRPr="007D461E">
        <w:rPr>
          <w:rStyle w:val="TextoNormalCaracter"/>
        </w:rPr>
        <w:t>-</w:t>
      </w:r>
      <w:r>
        <w:t xml:space="preserve"> Auto </w:t>
      </w:r>
      <w:hyperlink w:anchor="AUTO_1997_285" w:history="1">
        <w:r w:rsidRPr="007D461E">
          <w:rPr>
            <w:rStyle w:val="TextoNormalCaracter"/>
          </w:rPr>
          <w:t>285/1997</w:t>
        </w:r>
      </w:hyperlink>
      <w:r>
        <w:t>.</w:t>
      </w:r>
    </w:p>
    <w:p w:rsidR="007D461E" w:rsidRDefault="007D461E" w:rsidP="007D461E">
      <w:pPr>
        <w:pStyle w:val="SangriaFrancesaArticulo"/>
      </w:pPr>
      <w:r w:rsidRPr="007D461E">
        <w:rPr>
          <w:rStyle w:val="TextoNormalNegritaCaracter"/>
        </w:rPr>
        <w:t>Artículo 565.1.</w:t>
      </w:r>
      <w:r w:rsidRPr="007D461E">
        <w:rPr>
          <w:rStyle w:val="TextoNormalCaracter"/>
        </w:rPr>
        <w:t>-</w:t>
      </w:r>
      <w:r>
        <w:t xml:space="preserve"> Auto </w:t>
      </w:r>
      <w:hyperlink w:anchor="AUTO_1997_285" w:history="1">
        <w:r w:rsidRPr="007D461E">
          <w:rPr>
            <w:rStyle w:val="TextoNormalCaracter"/>
          </w:rPr>
          <w:t>285/1997</w:t>
        </w:r>
      </w:hyperlink>
      <w:r>
        <w:t>.</w:t>
      </w:r>
    </w:p>
    <w:p w:rsidR="007D461E" w:rsidRDefault="007D461E" w:rsidP="007D461E">
      <w:pPr>
        <w:pStyle w:val="SangriaFrancesaArticulo"/>
      </w:pPr>
      <w:r w:rsidRPr="007D461E">
        <w:rPr>
          <w:rStyle w:val="TextoNormalNegritaCaracter"/>
        </w:rPr>
        <w:t>Artículo 565.3.</w:t>
      </w:r>
      <w:r w:rsidRPr="007D461E">
        <w:rPr>
          <w:rStyle w:val="TextoNormalCaracter"/>
        </w:rPr>
        <w:t>-</w:t>
      </w:r>
      <w:r>
        <w:t xml:space="preserve"> Auto </w:t>
      </w:r>
      <w:hyperlink w:anchor="AUTO_1997_285" w:history="1">
        <w:r w:rsidRPr="007D461E">
          <w:rPr>
            <w:rStyle w:val="TextoNormalCaracter"/>
          </w:rPr>
          <w:t>285/1997</w:t>
        </w:r>
      </w:hyperlink>
      <w:r>
        <w:t>.</w:t>
      </w:r>
    </w:p>
    <w:p w:rsidR="007D461E" w:rsidRDefault="007D461E" w:rsidP="007D461E">
      <w:pPr>
        <w:pStyle w:val="SangriaFrancesaArticulo"/>
      </w:pPr>
      <w:r w:rsidRPr="007D461E">
        <w:rPr>
          <w:rStyle w:val="TextoNormalNegritaCaracter"/>
        </w:rPr>
        <w:t>Artículo 570.2.</w:t>
      </w:r>
      <w:r w:rsidRPr="007D461E">
        <w:rPr>
          <w:rStyle w:val="TextoNormalCaracter"/>
        </w:rPr>
        <w:t>-</w:t>
      </w:r>
      <w:r>
        <w:t xml:space="preserve"> Sentencia </w:t>
      </w:r>
      <w:hyperlink w:anchor="SENTENCIA_1997_135" w:history="1">
        <w:r w:rsidRPr="007D461E">
          <w:rPr>
            <w:rStyle w:val="TextoNormalCaracter"/>
          </w:rPr>
          <w:t>135/1997</w:t>
        </w:r>
      </w:hyperlink>
      <w:r>
        <w:t>, f. 1.</w:t>
      </w:r>
    </w:p>
    <w:p w:rsidR="007D461E" w:rsidRDefault="007D461E" w:rsidP="007D461E">
      <w:pPr>
        <w:pStyle w:val="SangriaFrancesaArticulo"/>
      </w:pPr>
      <w:r w:rsidRPr="007D461E">
        <w:rPr>
          <w:rStyle w:val="TextoNormalNegritaCaracter"/>
        </w:rPr>
        <w:t>Artículo 572.</w:t>
      </w:r>
      <w:r w:rsidRPr="007D461E">
        <w:rPr>
          <w:rStyle w:val="TextoNormalCaracter"/>
        </w:rPr>
        <w:t>-</w:t>
      </w:r>
      <w:r>
        <w:t xml:space="preserve"> Sentencia </w:t>
      </w:r>
      <w:hyperlink w:anchor="SENTENCIA_1997_130" w:history="1">
        <w:r w:rsidRPr="007D461E">
          <w:rPr>
            <w:rStyle w:val="TextoNormalCaracter"/>
          </w:rPr>
          <w:t>130/1997</w:t>
        </w:r>
      </w:hyperlink>
      <w:r>
        <w:t>, f. 4.</w:t>
      </w:r>
    </w:p>
    <w:p w:rsidR="007D461E" w:rsidRDefault="007D461E" w:rsidP="007D461E">
      <w:pPr>
        <w:pStyle w:val="SangriaFrancesaArticulo"/>
      </w:pPr>
      <w:r w:rsidRPr="007D461E">
        <w:rPr>
          <w:rStyle w:val="TextoNormalNegritaCaracter"/>
        </w:rPr>
        <w:t>Artículo 585.4.</w:t>
      </w:r>
      <w:r w:rsidRPr="007D461E">
        <w:rPr>
          <w:rStyle w:val="TextoNormalCaracter"/>
        </w:rPr>
        <w:t>-</w:t>
      </w:r>
      <w:r>
        <w:t xml:space="preserve"> Sentencia </w:t>
      </w:r>
      <w:hyperlink w:anchor="SENTENCIA_1997_137" w:history="1">
        <w:r w:rsidRPr="007D461E">
          <w:rPr>
            <w:rStyle w:val="TextoNormalCaracter"/>
          </w:rPr>
          <w:t>137/1997</w:t>
        </w:r>
      </w:hyperlink>
      <w:r>
        <w:t>, ff. 1, 3, 8.</w:t>
      </w:r>
    </w:p>
    <w:p w:rsidR="007D461E" w:rsidRDefault="007D461E" w:rsidP="007D461E">
      <w:pPr>
        <w:pStyle w:val="SangriaFrancesaArticulo"/>
      </w:pPr>
      <w:r w:rsidRPr="007D461E">
        <w:rPr>
          <w:rStyle w:val="TextoNormalNegritaCaracter"/>
        </w:rPr>
        <w:t>Artículo 597.</w:t>
      </w:r>
      <w:r w:rsidRPr="007D461E">
        <w:rPr>
          <w:rStyle w:val="TextoNormalCaracter"/>
        </w:rPr>
        <w:t>-</w:t>
      </w:r>
      <w:r>
        <w:t xml:space="preserve"> Sentencia </w:t>
      </w:r>
      <w:hyperlink w:anchor="SENTENCIA_1997_131" w:history="1">
        <w:r w:rsidRPr="007D461E">
          <w:rPr>
            <w:rStyle w:val="TextoNormalCaracter"/>
          </w:rPr>
          <w:t>131/1997</w:t>
        </w:r>
      </w:hyperlink>
      <w:r>
        <w:t>, f. 4.</w:t>
      </w:r>
    </w:p>
    <w:p w:rsidR="007D461E" w:rsidRDefault="007D461E" w:rsidP="007D461E">
      <w:pPr>
        <w:pStyle w:val="SangriaFrancesaArticulo"/>
      </w:pPr>
    </w:p>
    <w:p w:rsidR="007D461E" w:rsidRDefault="007D461E" w:rsidP="007D461E">
      <w:pPr>
        <w:pStyle w:val="TextoNormalNegritaCursivandice"/>
      </w:pPr>
      <w:r>
        <w:t>Decreto 1128/1974, de 25 de abril. Establece un sistema de liquidación y compensación de operaciones en Bolsa y de depósito de valores mobiliarios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 9.</w:t>
      </w:r>
    </w:p>
    <w:p w:rsidR="007D461E" w:rsidRDefault="007D461E" w:rsidP="007D461E">
      <w:pPr>
        <w:pStyle w:val="SangriaFrancesaArticulo"/>
      </w:pPr>
    </w:p>
    <w:p w:rsidR="007D461E" w:rsidRDefault="007D461E" w:rsidP="007D461E">
      <w:pPr>
        <w:pStyle w:val="TextoNormalNegritaCursivandice"/>
      </w:pPr>
      <w:r>
        <w:t>Orden del Ministerio de Justicia, de 19 de junio de 1974. Prestación del servicio de guardia en los Juzgados de instrucción de Madrid y Barcelona</w:t>
      </w:r>
    </w:p>
    <w:p w:rsidR="007D461E" w:rsidRDefault="007D461E" w:rsidP="007D461E">
      <w:pPr>
        <w:pStyle w:val="SangriaFrancesaArticulo"/>
      </w:pPr>
      <w:r w:rsidRPr="007D461E">
        <w:rPr>
          <w:rStyle w:val="TextoNormalNegritaCaracter"/>
        </w:rPr>
        <w:t>Número 12.</w:t>
      </w:r>
      <w:r w:rsidRPr="007D461E">
        <w:rPr>
          <w:rStyle w:val="TextoNormalCaracter"/>
        </w:rPr>
        <w:t>-</w:t>
      </w:r>
      <w:r>
        <w:t xml:space="preserve"> Auto </w:t>
      </w:r>
      <w:hyperlink w:anchor="AUTO_1997_134" w:history="1">
        <w:r w:rsidRPr="007D461E">
          <w:rPr>
            <w:rStyle w:val="TextoNormalCaracter"/>
          </w:rPr>
          <w:t>134/1997</w:t>
        </w:r>
      </w:hyperlink>
      <w:r>
        <w:t>.</w:t>
      </w:r>
    </w:p>
    <w:p w:rsidR="007D461E" w:rsidRDefault="007D461E" w:rsidP="007D461E">
      <w:pPr>
        <w:pStyle w:val="SangriaFrancesaArticulo"/>
      </w:pPr>
      <w:r w:rsidRPr="007D461E">
        <w:rPr>
          <w:rStyle w:val="TextoNormalNegritaCaracter"/>
        </w:rPr>
        <w:t>Número 13.</w:t>
      </w:r>
      <w:r w:rsidRPr="007D461E">
        <w:rPr>
          <w:rStyle w:val="TextoNormalCaracter"/>
        </w:rPr>
        <w:t>-</w:t>
      </w:r>
      <w:r>
        <w:t xml:space="preserve"> Auto </w:t>
      </w:r>
      <w:hyperlink w:anchor="AUTO_1997_134" w:history="1">
        <w:r w:rsidRPr="007D461E">
          <w:rPr>
            <w:rStyle w:val="TextoNormalCaracter"/>
          </w:rPr>
          <w:t>134/1997</w:t>
        </w:r>
      </w:hyperlink>
      <w:r>
        <w:t>.</w:t>
      </w:r>
    </w:p>
    <w:p w:rsidR="007D461E" w:rsidRDefault="007D461E" w:rsidP="007D461E">
      <w:pPr>
        <w:pStyle w:val="SangriaFrancesaArticulo"/>
      </w:pPr>
    </w:p>
    <w:p w:rsidR="007D461E" w:rsidRDefault="007D461E" w:rsidP="007D461E">
      <w:pPr>
        <w:pStyle w:val="TextoNormalNegritaCursivandice"/>
      </w:pPr>
      <w:r>
        <w:t>Real Decreto-ley 16/1977, de 25 de febrero. Aspectos penales, administrativos y fiscales de los juegos de suerte, envite o azar y apuestas</w:t>
      </w:r>
    </w:p>
    <w:p w:rsidR="007D461E" w:rsidRDefault="007D461E" w:rsidP="007D461E">
      <w:pPr>
        <w:pStyle w:val="SangriaFrancesaArticulo"/>
      </w:pPr>
      <w:r w:rsidRPr="007D461E">
        <w:rPr>
          <w:rStyle w:val="TextoNormalNegritaCaracter"/>
        </w:rPr>
        <w:t>Artículo 3.4.Dos A).</w:t>
      </w:r>
      <w:r w:rsidRPr="007D461E">
        <w:rPr>
          <w:rStyle w:val="TextoNormalCaracter"/>
        </w:rPr>
        <w:t>-</w:t>
      </w:r>
      <w:r>
        <w:t xml:space="preserve"> Sentencia </w:t>
      </w:r>
      <w:hyperlink w:anchor="SENTENCIA_1997_91" w:history="1">
        <w:r w:rsidRPr="007D461E">
          <w:rPr>
            <w:rStyle w:val="TextoNormalCaracter"/>
          </w:rPr>
          <w:t>91/1997</w:t>
        </w:r>
      </w:hyperlink>
      <w:r>
        <w:t>, f. 1.</w:t>
      </w:r>
    </w:p>
    <w:p w:rsidR="007D461E" w:rsidRDefault="007D461E" w:rsidP="007D461E">
      <w:pPr>
        <w:pStyle w:val="SangriaFrancesaArticulo"/>
      </w:pPr>
    </w:p>
    <w:p w:rsidR="007D461E" w:rsidRDefault="007D461E" w:rsidP="007D461E">
      <w:pPr>
        <w:pStyle w:val="TextoNormalNegritaCursivandice"/>
      </w:pPr>
      <w:r>
        <w:t>Real Decreto-ley 17/1977, de 4 de marzo. Normativa sobre relaciones de trabajo</w:t>
      </w:r>
    </w:p>
    <w:p w:rsidR="007D461E" w:rsidRDefault="007D461E" w:rsidP="007D461E">
      <w:pPr>
        <w:pStyle w:val="SangriaFrancesaArticulo"/>
      </w:pPr>
      <w:r w:rsidRPr="007D461E">
        <w:rPr>
          <w:rStyle w:val="TextoNormalNegritaCaracter"/>
        </w:rPr>
        <w:t>Artículo 6.6.</w:t>
      </w:r>
      <w:r w:rsidRPr="007D461E">
        <w:rPr>
          <w:rStyle w:val="TextoNormalCaracter"/>
        </w:rPr>
        <w:t>-</w:t>
      </w:r>
      <w:r>
        <w:t xml:space="preserve"> Sentencia </w:t>
      </w:r>
      <w:hyperlink w:anchor="SENTENCIA_1997_137" w:history="1">
        <w:r w:rsidRPr="007D461E">
          <w:rPr>
            <w:rStyle w:val="TextoNormalCaracter"/>
          </w:rPr>
          <w:t>137/1997</w:t>
        </w:r>
      </w:hyperlink>
      <w:r>
        <w:t>, f. 3.</w:t>
      </w:r>
    </w:p>
    <w:p w:rsidR="007D461E" w:rsidRDefault="007D461E" w:rsidP="007D461E">
      <w:pPr>
        <w:pStyle w:val="SangriaFrancesaArticulo"/>
      </w:pPr>
    </w:p>
    <w:p w:rsidR="007D461E" w:rsidRDefault="007D461E" w:rsidP="007D461E">
      <w:pPr>
        <w:pStyle w:val="TextoNormalNegritaCursivandice"/>
      </w:pPr>
      <w:r>
        <w:t>Real Decreto 606/1977, de 24 de marzo. Adapta el Estatuto orgánico de la profesión de gestor administrativo a la Ley de colegios profesionales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0" w:history="1">
        <w:r w:rsidRPr="007D461E">
          <w:rPr>
            <w:rStyle w:val="TextoNormalCaracter"/>
          </w:rPr>
          <w:t>130/1997</w:t>
        </w:r>
      </w:hyperlink>
      <w:r>
        <w:t>, f. 3.</w:t>
      </w:r>
    </w:p>
    <w:p w:rsidR="007D461E" w:rsidRDefault="007D461E" w:rsidP="007D461E">
      <w:pPr>
        <w:pStyle w:val="SangriaFrancesaArticulo"/>
      </w:pPr>
    </w:p>
    <w:p w:rsidR="007D461E" w:rsidRDefault="007D461E" w:rsidP="007D461E">
      <w:pPr>
        <w:pStyle w:val="TextoNormalNegritaCursivandice"/>
      </w:pPr>
      <w:r>
        <w:t>Ley 19/1977, de 1 de abril. Derecho de asociación sindical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1" w:history="1">
        <w:r w:rsidRPr="007D461E">
          <w:rPr>
            <w:rStyle w:val="TextoNormalCaracter"/>
          </w:rPr>
          <w:t>121/1997</w:t>
        </w:r>
      </w:hyperlink>
      <w:r>
        <w:t>, f. 9.</w:t>
      </w:r>
    </w:p>
    <w:p w:rsidR="007D461E" w:rsidRDefault="007D461E" w:rsidP="007D461E">
      <w:pPr>
        <w:pStyle w:val="SangriaFrancesaArticulo"/>
      </w:pPr>
      <w:r w:rsidRPr="007D461E">
        <w:rPr>
          <w:rStyle w:val="TextoNormalNegritaCaracter"/>
        </w:rPr>
        <w:t>Artículo 3.</w:t>
      </w:r>
      <w:r w:rsidRPr="007D461E">
        <w:rPr>
          <w:rStyle w:val="TextoNormalCaracter"/>
        </w:rPr>
        <w:t>-</w:t>
      </w:r>
      <w:r>
        <w:t xml:space="preserve"> Sentencia </w:t>
      </w:r>
      <w:hyperlink w:anchor="SENTENCIA_1997_121" w:history="1">
        <w:r w:rsidRPr="007D461E">
          <w:rPr>
            <w:rStyle w:val="TextoNormalCaracter"/>
          </w:rPr>
          <w:t>121/1997</w:t>
        </w:r>
      </w:hyperlink>
      <w:r>
        <w:t>, f. 7.</w:t>
      </w:r>
    </w:p>
    <w:p w:rsidR="007D461E" w:rsidRDefault="007D461E" w:rsidP="007D461E">
      <w:pPr>
        <w:pStyle w:val="SangriaFrancesaArticulo"/>
      </w:pPr>
    </w:p>
    <w:p w:rsidR="007D461E" w:rsidRDefault="007D461E" w:rsidP="007D461E">
      <w:pPr>
        <w:pStyle w:val="TextoNormalNegritaCursivandice"/>
      </w:pPr>
      <w:r>
        <w:t>Ley 10/1978, de 20 de febrero. Derogación de la circunstancia cuarta del artículo 503 de la Ley de Enjuiciamiento Criminal</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Real Decreto 1851/1978, de 10 de julio. Anuncio y emisión de títulos de renta fija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ff. 4, 8.</w:t>
      </w:r>
    </w:p>
    <w:p w:rsidR="007D461E" w:rsidRDefault="007D461E" w:rsidP="007D461E">
      <w:pPr>
        <w:pStyle w:val="SangriaFrancesaArticulo"/>
      </w:pPr>
      <w:r w:rsidRPr="007D461E">
        <w:rPr>
          <w:rStyle w:val="TextoNormalNegritaCaracter"/>
        </w:rPr>
        <w:t>Exposición de motivos.</w:t>
      </w:r>
      <w:r w:rsidRPr="007D461E">
        <w:rPr>
          <w:rStyle w:val="TextoNormalCaracter"/>
        </w:rPr>
        <w:t>-</w:t>
      </w:r>
      <w:r>
        <w:t xml:space="preserve"> Sentencia </w:t>
      </w:r>
      <w:hyperlink w:anchor="SENTENCIA_1997_133" w:history="1">
        <w:r w:rsidRPr="007D461E">
          <w:rPr>
            <w:rStyle w:val="TextoNormalCaracter"/>
          </w:rPr>
          <w:t>133/1997</w:t>
        </w:r>
      </w:hyperlink>
      <w:r>
        <w:t>, f. 4.</w:t>
      </w:r>
    </w:p>
    <w:p w:rsidR="007D461E" w:rsidRDefault="007D461E" w:rsidP="007D461E">
      <w:pPr>
        <w:pStyle w:val="SangriaFrancesaArticulo"/>
      </w:pPr>
    </w:p>
    <w:p w:rsidR="007D461E" w:rsidRDefault="007D461E" w:rsidP="007D461E">
      <w:pPr>
        <w:pStyle w:val="TextoNormalNegritaCursivandice"/>
      </w:pPr>
      <w:r>
        <w:t>Ley 62/1978, de 26 de diciembre. Protección jurisdiccional de los derechos fundamentales de la persona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5" w:history="1">
        <w:r w:rsidRPr="007D461E">
          <w:rPr>
            <w:rStyle w:val="TextoNormalCaracter"/>
          </w:rPr>
          <w:t>95/1997</w:t>
        </w:r>
      </w:hyperlink>
      <w:r>
        <w:t>, ff. 1 a 5.</w:t>
      </w:r>
    </w:p>
    <w:p w:rsidR="007D461E" w:rsidRDefault="007D461E" w:rsidP="007D461E">
      <w:pPr>
        <w:pStyle w:val="SangriaFrancesaArticulo"/>
      </w:pPr>
      <w:r w:rsidRPr="007D461E">
        <w:rPr>
          <w:rStyle w:val="TextoNormalNegritaCaracter"/>
        </w:rPr>
        <w:t>Sección segunda.</w:t>
      </w:r>
      <w:r w:rsidRPr="007D461E">
        <w:rPr>
          <w:rStyle w:val="TextoNormalCaracter"/>
        </w:rPr>
        <w:t>-</w:t>
      </w:r>
      <w:r>
        <w:t xml:space="preserve"> Sentencia </w:t>
      </w:r>
      <w:hyperlink w:anchor="SENTENCIA_1997_125" w:history="1">
        <w:r w:rsidRPr="007D461E">
          <w:rPr>
            <w:rStyle w:val="TextoNormalCaracter"/>
          </w:rPr>
          <w:t>125/1997</w:t>
        </w:r>
      </w:hyperlink>
      <w:r>
        <w:t>, f. 3.</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5" w:history="1">
        <w:r w:rsidRPr="007D461E">
          <w:rPr>
            <w:rStyle w:val="TextoNormalCaracter"/>
          </w:rPr>
          <w:t>125/1997</w:t>
        </w:r>
      </w:hyperlink>
      <w:r>
        <w:t>, f. 4, VP II.</w:t>
      </w:r>
    </w:p>
    <w:p w:rsidR="007D461E" w:rsidRDefault="007D461E" w:rsidP="007D461E">
      <w:pPr>
        <w:pStyle w:val="SangriaFrancesaArticulo"/>
      </w:pPr>
      <w:r w:rsidRPr="007D461E">
        <w:rPr>
          <w:rStyle w:val="TextoNormalNegritaCaracter"/>
        </w:rPr>
        <w:t>Artículo 1.2.</w:t>
      </w:r>
      <w:r w:rsidRPr="007D461E">
        <w:rPr>
          <w:rStyle w:val="TextoNormalCaracter"/>
        </w:rPr>
        <w:t>-</w:t>
      </w:r>
      <w:r>
        <w:t xml:space="preserve"> Sentencia </w:t>
      </w:r>
      <w:hyperlink w:anchor="SENTENCIA_1997_125" w:history="1">
        <w:r w:rsidRPr="007D461E">
          <w:rPr>
            <w:rStyle w:val="TextoNormalCaracter"/>
          </w:rPr>
          <w:t>125/1997</w:t>
        </w:r>
      </w:hyperlink>
      <w:r>
        <w:t>, f. 4.</w:t>
      </w:r>
    </w:p>
    <w:p w:rsidR="007D461E" w:rsidRDefault="007D461E" w:rsidP="007D461E">
      <w:pPr>
        <w:pStyle w:val="SangriaFrancesaArticulo"/>
      </w:pPr>
      <w:r w:rsidRPr="007D461E">
        <w:rPr>
          <w:rStyle w:val="TextoNormalNegritaCaracter"/>
        </w:rPr>
        <w:t>Artículo 6.</w:t>
      </w:r>
      <w:r w:rsidRPr="007D461E">
        <w:rPr>
          <w:rStyle w:val="TextoNormalCaracter"/>
        </w:rPr>
        <w:t>-</w:t>
      </w:r>
      <w:r>
        <w:t xml:space="preserve"> Sentencia </w:t>
      </w:r>
      <w:hyperlink w:anchor="SENTENCIA_1997_125" w:history="1">
        <w:r w:rsidRPr="007D461E">
          <w:rPr>
            <w:rStyle w:val="TextoNormalCaracter"/>
          </w:rPr>
          <w:t>125/1997</w:t>
        </w:r>
      </w:hyperlink>
      <w:r>
        <w:t>, VP II.</w:t>
      </w:r>
    </w:p>
    <w:p w:rsidR="007D461E" w:rsidRDefault="007D461E" w:rsidP="007D461E">
      <w:pPr>
        <w:pStyle w:val="SangriaFrancesaArticulo"/>
      </w:pPr>
      <w:r w:rsidRPr="007D461E">
        <w:rPr>
          <w:rStyle w:val="TextoNormalNegritaCaracter"/>
        </w:rPr>
        <w:t>Artículo 7.1.</w:t>
      </w:r>
      <w:r w:rsidRPr="007D461E">
        <w:rPr>
          <w:rStyle w:val="TextoNormalCaracter"/>
        </w:rPr>
        <w:t>-</w:t>
      </w:r>
      <w:r>
        <w:t xml:space="preserve"> Sentencia </w:t>
      </w:r>
      <w:hyperlink w:anchor="SENTENCIA_1997_95" w:history="1">
        <w:r w:rsidRPr="007D461E">
          <w:rPr>
            <w:rStyle w:val="TextoNormalCaracter"/>
          </w:rPr>
          <w:t>95/1997</w:t>
        </w:r>
      </w:hyperlink>
      <w:r>
        <w:t>, f. 3.</w:t>
      </w:r>
    </w:p>
    <w:p w:rsidR="007D461E" w:rsidRDefault="007D461E" w:rsidP="007D461E">
      <w:pPr>
        <w:pStyle w:val="SangriaFrancesaArticulo"/>
      </w:pPr>
      <w:r w:rsidRPr="007D461E">
        <w:rPr>
          <w:rStyle w:val="TextoNormalNegritaCaracter"/>
        </w:rPr>
        <w:t>Artículo 7.6.</w:t>
      </w:r>
      <w:r w:rsidRPr="007D461E">
        <w:rPr>
          <w:rStyle w:val="TextoNormalCaracter"/>
        </w:rPr>
        <w:t>-</w:t>
      </w:r>
      <w:r>
        <w:t xml:space="preserve"> Sentencia </w:t>
      </w:r>
      <w:hyperlink w:anchor="SENTENCIA_1997_125" w:history="1">
        <w:r w:rsidRPr="007D461E">
          <w:rPr>
            <w:rStyle w:val="TextoNormalCaracter"/>
          </w:rPr>
          <w:t>125/1997</w:t>
        </w:r>
      </w:hyperlink>
      <w:r>
        <w:t>, VP II.</w:t>
      </w:r>
    </w:p>
    <w:p w:rsidR="007D461E" w:rsidRDefault="007D461E" w:rsidP="007D461E">
      <w:pPr>
        <w:pStyle w:val="SangriaFrancesaArticulo"/>
      </w:pPr>
      <w:r w:rsidRPr="007D461E">
        <w:rPr>
          <w:rStyle w:val="TextoNormalNegritaCaracter"/>
        </w:rPr>
        <w:t>Artículo 9.1.</w:t>
      </w:r>
      <w:r w:rsidRPr="007D461E">
        <w:rPr>
          <w:rStyle w:val="TextoNormalCaracter"/>
        </w:rPr>
        <w:t>-</w:t>
      </w:r>
      <w:r>
        <w:t xml:space="preserve"> Sentencia </w:t>
      </w:r>
      <w:hyperlink w:anchor="SENTENCIA_1997_125" w:history="1">
        <w:r w:rsidRPr="007D461E">
          <w:rPr>
            <w:rStyle w:val="TextoNormalCaracter"/>
          </w:rPr>
          <w:t>125/1997</w:t>
        </w:r>
      </w:hyperlink>
      <w:r>
        <w:t>, VP II.</w:t>
      </w:r>
    </w:p>
    <w:p w:rsidR="007D461E" w:rsidRDefault="007D461E" w:rsidP="007D461E">
      <w:pPr>
        <w:pStyle w:val="TextoNormal"/>
      </w:pPr>
    </w:p>
    <w:p w:rsidR="007D461E" w:rsidRDefault="007D461E" w:rsidP="007D461E">
      <w:pPr>
        <w:pStyle w:val="SangriaFrancesaArticulo"/>
      </w:pPr>
      <w:bookmarkStart w:id="242" w:name="INDICE22851"/>
    </w:p>
    <w:bookmarkEnd w:id="242"/>
    <w:p w:rsidR="007D461E" w:rsidRDefault="007D461E" w:rsidP="007D461E">
      <w:pPr>
        <w:pStyle w:val="TextoIndiceNivel2"/>
        <w:suppressAutoHyphens/>
      </w:pPr>
      <w:r>
        <w:t>J) Comunidades y Ciudades Autónomas</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J.1) Asturias</w:t>
      </w:r>
    </w:p>
    <w:p w:rsidR="007D461E" w:rsidRDefault="007D461E" w:rsidP="007D461E">
      <w:pPr>
        <w:pStyle w:val="TextoNormal"/>
      </w:pPr>
    </w:p>
    <w:p w:rsidR="007D461E" w:rsidRDefault="007D461E" w:rsidP="007D461E">
      <w:pPr>
        <w:pStyle w:val="TextoNormalNegritaCentradoSubrayado"/>
        <w:suppressAutoHyphens/>
      </w:pPr>
      <w:r>
        <w:t>J.1.b) Leyes y disposiciones con fuerza de Ley</w:t>
      </w:r>
    </w:p>
    <w:p w:rsidR="007D461E" w:rsidRDefault="007D461E" w:rsidP="007D461E">
      <w:pPr>
        <w:pStyle w:val="TextoNormalNegritaCentradoSubrayado"/>
      </w:pPr>
    </w:p>
    <w:p w:rsidR="007D461E" w:rsidRDefault="007D461E" w:rsidP="007D461E">
      <w:pPr>
        <w:pStyle w:val="TextoNormalNegritaCursivandice"/>
      </w:pPr>
      <w:r>
        <w:t>Ley de la Junta General del Principado de Asturias 4/1996, de 13 de diciembre. Modifica la Ley 3/1985, de 26 de diciembre, de ordenación de la función pública de la Administración del Principado de Asturias</w:t>
      </w:r>
    </w:p>
    <w:p w:rsidR="007D461E" w:rsidRDefault="007D461E" w:rsidP="007D461E">
      <w:pPr>
        <w:pStyle w:val="SangriaFrancesaArticulo"/>
      </w:pPr>
      <w:r w:rsidRPr="007D461E">
        <w:rPr>
          <w:rStyle w:val="TextoNormalNegritaCaracter"/>
        </w:rPr>
        <w:t>Artículo único.</w:t>
      </w:r>
      <w:r w:rsidRPr="007D461E">
        <w:rPr>
          <w:rStyle w:val="TextoNormalCaracter"/>
        </w:rPr>
        <w:t>-</w:t>
      </w:r>
      <w:r>
        <w:t xml:space="preserve"> Auto </w:t>
      </w:r>
      <w:hyperlink w:anchor="AUTO_1997_231" w:history="1">
        <w:r w:rsidRPr="007D461E">
          <w:rPr>
            <w:rStyle w:val="TextoNormalCaracter"/>
          </w:rPr>
          <w:t>231/1997</w:t>
        </w:r>
      </w:hyperlink>
      <w:r>
        <w:t>.</w:t>
      </w:r>
    </w:p>
    <w:p w:rsidR="007D461E" w:rsidRDefault="007D461E" w:rsidP="007D461E">
      <w:pPr>
        <w:pStyle w:val="SangriaFrancesaArticulo"/>
      </w:pPr>
    </w:p>
    <w:p w:rsidR="007D461E" w:rsidRDefault="007D461E" w:rsidP="007D461E">
      <w:pPr>
        <w:pStyle w:val="TextoNormalNegritaCursivandice"/>
      </w:pPr>
      <w:r>
        <w:t>Ley de la Junta General del Principado de Asturias 10/1996, de 31 de diciembre. Presupuestos generales del Principado de Asturias para 1997</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33" w:history="1">
        <w:r w:rsidRPr="007D461E">
          <w:rPr>
            <w:rStyle w:val="TextoNormalCaracter"/>
          </w:rPr>
          <w:t>233/1997</w:t>
        </w:r>
      </w:hyperlink>
      <w:r>
        <w:t>.</w:t>
      </w:r>
    </w:p>
    <w:p w:rsidR="007D461E" w:rsidRDefault="007D461E" w:rsidP="007D461E">
      <w:pPr>
        <w:pStyle w:val="SangriaFrancesaArticulo"/>
      </w:pPr>
      <w:r w:rsidRPr="007D461E">
        <w:rPr>
          <w:rStyle w:val="TextoNormalNegritaCaracter"/>
        </w:rPr>
        <w:t>Artículo 32.</w:t>
      </w:r>
      <w:r w:rsidRPr="007D461E">
        <w:rPr>
          <w:rStyle w:val="TextoNormalCaracter"/>
        </w:rPr>
        <w:t>-</w:t>
      </w:r>
      <w:r>
        <w:t xml:space="preserve"> Auto </w:t>
      </w:r>
      <w:hyperlink w:anchor="AUTO_1997_233" w:history="1">
        <w:r w:rsidRPr="007D461E">
          <w:rPr>
            <w:rStyle w:val="TextoNormalCaracter"/>
          </w:rPr>
          <w:t>233/1997</w:t>
        </w:r>
      </w:hyperlink>
      <w:r>
        <w:t>.</w:t>
      </w:r>
    </w:p>
    <w:p w:rsidR="007D461E" w:rsidRDefault="007D461E" w:rsidP="007D461E">
      <w:pPr>
        <w:pStyle w:val="TextoNormal"/>
      </w:pPr>
    </w:p>
    <w:p w:rsidR="007D461E" w:rsidRDefault="007D461E" w:rsidP="007D461E">
      <w:pPr>
        <w:pStyle w:val="TextoNormalNegritaCentradoSubrayado"/>
        <w:suppressAutoHyphens/>
      </w:pPr>
      <w:r>
        <w:t>J.1.c) Decretos y otras disposiciones reglamentarias</w:t>
      </w:r>
    </w:p>
    <w:p w:rsidR="007D461E" w:rsidRDefault="007D461E" w:rsidP="007D461E">
      <w:pPr>
        <w:pStyle w:val="TextoNormalNegritaCentradoSubrayado"/>
      </w:pPr>
    </w:p>
    <w:p w:rsidR="007D461E" w:rsidRDefault="007D461E" w:rsidP="007D461E">
      <w:pPr>
        <w:pStyle w:val="TextoNormalNegritaCursivandice"/>
      </w:pPr>
      <w:r>
        <w:t>Decreto del Consejo de Gobierno del Principado de Asturias 4/1997, de 30 de enero. Retribuciones del personal funcionario de la Comunidad Autónoma incluido en las relaciones de puestos de trabajo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33" w:history="1">
        <w:r w:rsidRPr="007D461E">
          <w:rPr>
            <w:rStyle w:val="TextoNormalCaracter"/>
          </w:rPr>
          <w:t>233/1997</w:t>
        </w:r>
      </w:hyperlink>
      <w:r>
        <w:t>.</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J.2) Baleares</w:t>
      </w:r>
    </w:p>
    <w:p w:rsidR="007D461E" w:rsidRDefault="007D461E" w:rsidP="007D461E">
      <w:pPr>
        <w:pStyle w:val="TextoNormal"/>
      </w:pPr>
    </w:p>
    <w:p w:rsidR="007D461E" w:rsidRDefault="007D461E" w:rsidP="007D461E">
      <w:pPr>
        <w:pStyle w:val="TextoNormalNegritaCentradoSubrayado"/>
        <w:suppressAutoHyphens/>
      </w:pPr>
      <w:r>
        <w:t>J.2.a) Estatuto de Autonomía</w:t>
      </w:r>
    </w:p>
    <w:p w:rsidR="007D461E" w:rsidRDefault="007D461E" w:rsidP="007D461E">
      <w:pPr>
        <w:pStyle w:val="TextoNormalNegritaCentradoSubrayado"/>
      </w:pPr>
    </w:p>
    <w:p w:rsidR="007D461E" w:rsidRDefault="007D461E" w:rsidP="007D461E">
      <w:pPr>
        <w:pStyle w:val="TextoNormalNegritaCursivandice"/>
      </w:pPr>
      <w:r>
        <w:t>Ley Orgánica 2/1983, de 25 de febrero. Estatuto de Autonomía de las Illes Balears</w:t>
      </w:r>
    </w:p>
    <w:p w:rsidR="007D461E" w:rsidRDefault="007D461E" w:rsidP="007D461E">
      <w:pPr>
        <w:pStyle w:val="SangriaFrancesaArticulo"/>
      </w:pPr>
      <w:r w:rsidRPr="007D461E">
        <w:rPr>
          <w:rStyle w:val="TextoNormalNegritaCaracter"/>
        </w:rPr>
        <w:lastRenderedPageBreak/>
        <w:t>Artículo 3.</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SangriaFrancesaArticulo"/>
      </w:pPr>
      <w:r w:rsidRPr="007D461E">
        <w:rPr>
          <w:rStyle w:val="TextoNormalNegritaCaracter"/>
        </w:rPr>
        <w:t>Artículo 10.20.</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SangriaFrancesaArticulo"/>
      </w:pPr>
      <w:r w:rsidRPr="007D461E">
        <w:rPr>
          <w:rStyle w:val="TextoNormalNegritaCaracter"/>
        </w:rPr>
        <w:t>Artículo 10.21.</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SangriaFrancesaArticulo"/>
      </w:pPr>
      <w:r w:rsidRPr="007D461E">
        <w:rPr>
          <w:rStyle w:val="TextoNormalNegritaCaracter"/>
        </w:rPr>
        <w:t>Artículo 14.</w:t>
      </w:r>
      <w:r w:rsidRPr="007D461E">
        <w:rPr>
          <w:rStyle w:val="TextoNormalCaracter"/>
        </w:rPr>
        <w:t>-</w:t>
      </w:r>
      <w:r>
        <w:t xml:space="preserve"> Sentencia </w:t>
      </w:r>
      <w:hyperlink w:anchor="SENTENCIA_1997_134" w:history="1">
        <w:r w:rsidRPr="007D461E">
          <w:rPr>
            <w:rStyle w:val="TextoNormalCaracter"/>
          </w:rPr>
          <w:t>134/1997</w:t>
        </w:r>
      </w:hyperlink>
      <w:r>
        <w:t>, ff. 1, 2, 5.</w:t>
      </w:r>
    </w:p>
    <w:p w:rsidR="007D461E" w:rsidRDefault="007D461E" w:rsidP="007D461E">
      <w:pPr>
        <w:pStyle w:val="SangriaFrancesaArticulo"/>
      </w:pPr>
    </w:p>
    <w:p w:rsidR="007D461E" w:rsidRDefault="007D461E" w:rsidP="007D461E">
      <w:pPr>
        <w:pStyle w:val="TextoNormalNegritaCursivandice"/>
      </w:pPr>
      <w:r>
        <w:t>Ley Orgánica 9/1994, de 24 de marzo. Reforma del Estatuto de Autonomía de las Illes Balears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TextoNormal"/>
      </w:pPr>
    </w:p>
    <w:p w:rsidR="007D461E" w:rsidRDefault="007D461E" w:rsidP="007D461E">
      <w:pPr>
        <w:pStyle w:val="TextoNormalNegritaCentradoSubrayado"/>
        <w:suppressAutoHyphens/>
      </w:pPr>
      <w:r>
        <w:t>J.2.b) Leyes y disposiciones con fuerza de Ley</w:t>
      </w:r>
    </w:p>
    <w:p w:rsidR="007D461E" w:rsidRDefault="007D461E" w:rsidP="007D461E">
      <w:pPr>
        <w:pStyle w:val="TextoNormalNegritaCentradoSubrayado"/>
      </w:pPr>
    </w:p>
    <w:p w:rsidR="007D461E" w:rsidRDefault="007D461E" w:rsidP="007D461E">
      <w:pPr>
        <w:pStyle w:val="TextoNormalNegritaCursivandice"/>
      </w:pPr>
      <w:r>
        <w:t>Ley del Parlamento de las Illes Balears 3/1986, de 19 de abril. Normalización lingüística en la Comunidad Autónoma de las Illes Balears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4" w:history="1">
        <w:r w:rsidRPr="007D461E">
          <w:rPr>
            <w:rStyle w:val="TextoNormalCaracter"/>
          </w:rPr>
          <w:t>134/1997</w:t>
        </w:r>
      </w:hyperlink>
      <w:r>
        <w:t>, f. 5.</w:t>
      </w:r>
    </w:p>
    <w:p w:rsidR="007D461E" w:rsidRDefault="007D461E" w:rsidP="007D461E">
      <w:pPr>
        <w:pStyle w:val="SangriaFrancesaArticulo"/>
      </w:pPr>
      <w:r w:rsidRPr="007D461E">
        <w:rPr>
          <w:rStyle w:val="TextoNormalNegritaCaracter"/>
        </w:rPr>
        <w:t>Artículo 13.</w:t>
      </w:r>
      <w:r w:rsidRPr="007D461E">
        <w:rPr>
          <w:rStyle w:val="TextoNormalCaracter"/>
        </w:rPr>
        <w:t>-</w:t>
      </w:r>
      <w:r>
        <w:t xml:space="preserve"> Sentencia </w:t>
      </w:r>
      <w:hyperlink w:anchor="SENTENCIA_1997_134" w:history="1">
        <w:r w:rsidRPr="007D461E">
          <w:rPr>
            <w:rStyle w:val="TextoNormalCaracter"/>
          </w:rPr>
          <w:t>134/1997</w:t>
        </w:r>
      </w:hyperlink>
      <w:r>
        <w:t>, f. 3.</w:t>
      </w:r>
    </w:p>
    <w:p w:rsidR="007D461E" w:rsidRDefault="007D461E" w:rsidP="007D461E">
      <w:pPr>
        <w:pStyle w:val="SangriaFrancesaArticulo"/>
      </w:pPr>
      <w:r w:rsidRPr="007D461E">
        <w:rPr>
          <w:rStyle w:val="TextoNormalNegritaCaracter"/>
        </w:rPr>
        <w:t>Artículo 19.1.</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SangriaFrancesaArticulo"/>
      </w:pPr>
      <w:r w:rsidRPr="007D461E">
        <w:rPr>
          <w:rStyle w:val="TextoNormalNegritaCaracter"/>
        </w:rPr>
        <w:t>Disposición adicional cuarta.</w:t>
      </w:r>
      <w:r w:rsidRPr="007D461E">
        <w:rPr>
          <w:rStyle w:val="TextoNormalCaracter"/>
        </w:rPr>
        <w:t>-</w:t>
      </w:r>
      <w:r>
        <w:t xml:space="preserve"> Sentencia </w:t>
      </w:r>
      <w:hyperlink w:anchor="SENTENCIA_1997_134" w:history="1">
        <w:r w:rsidRPr="007D461E">
          <w:rPr>
            <w:rStyle w:val="TextoNormalCaracter"/>
          </w:rPr>
          <w:t>134/1997</w:t>
        </w:r>
      </w:hyperlink>
      <w:r>
        <w:t>, f. 2.</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J.3) Canarias</w:t>
      </w:r>
    </w:p>
    <w:p w:rsidR="007D461E" w:rsidRDefault="007D461E" w:rsidP="007D461E">
      <w:pPr>
        <w:pStyle w:val="TextoNormal"/>
      </w:pPr>
    </w:p>
    <w:p w:rsidR="007D461E" w:rsidRDefault="007D461E" w:rsidP="007D461E">
      <w:pPr>
        <w:pStyle w:val="TextoNormalNegritaCentradoSubrayado"/>
        <w:suppressAutoHyphens/>
      </w:pPr>
      <w:r>
        <w:t>J.3.b) Leyes y disposiciones con fuerza de Ley</w:t>
      </w:r>
    </w:p>
    <w:p w:rsidR="007D461E" w:rsidRDefault="007D461E" w:rsidP="007D461E">
      <w:pPr>
        <w:pStyle w:val="TextoNormalNegritaCentradoSubrayado"/>
      </w:pPr>
    </w:p>
    <w:p w:rsidR="007D461E" w:rsidRDefault="007D461E" w:rsidP="007D461E">
      <w:pPr>
        <w:pStyle w:val="TextoNormalNegritaCursivandice"/>
      </w:pPr>
      <w:r>
        <w:t>Ley del Parlamento de Canarias 5/1996, de 27 de diciembre. Presupuestos generales de la Comunidad Autónoma de Canarias para 1997</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70" w:history="1">
        <w:r w:rsidRPr="007D461E">
          <w:rPr>
            <w:rStyle w:val="TextoNormalCaracter"/>
          </w:rPr>
          <w:t>270/1997</w:t>
        </w:r>
      </w:hyperlink>
      <w:r>
        <w:t>.</w:t>
      </w:r>
    </w:p>
    <w:p w:rsidR="007D461E" w:rsidRDefault="007D461E" w:rsidP="007D461E">
      <w:pPr>
        <w:pStyle w:val="SangriaFrancesaArticulo"/>
      </w:pPr>
      <w:r w:rsidRPr="007D461E">
        <w:rPr>
          <w:rStyle w:val="TextoNormalNegritaCaracter"/>
        </w:rPr>
        <w:t>Artículo 51.</w:t>
      </w:r>
      <w:r w:rsidRPr="007D461E">
        <w:rPr>
          <w:rStyle w:val="TextoNormalCaracter"/>
        </w:rPr>
        <w:t>-</w:t>
      </w:r>
      <w:r>
        <w:t xml:space="preserve"> Auto </w:t>
      </w:r>
      <w:hyperlink w:anchor="AUTO_1997_270" w:history="1">
        <w:r w:rsidRPr="007D461E">
          <w:rPr>
            <w:rStyle w:val="TextoNormalCaracter"/>
          </w:rPr>
          <w:t>270/1997</w:t>
        </w:r>
      </w:hyperlink>
      <w:r>
        <w:t>.</w:t>
      </w:r>
    </w:p>
    <w:p w:rsidR="007D461E" w:rsidRDefault="007D461E" w:rsidP="007D461E">
      <w:pPr>
        <w:pStyle w:val="SangriaFrancesaArticulo"/>
      </w:pPr>
      <w:r w:rsidRPr="007D461E">
        <w:rPr>
          <w:rStyle w:val="TextoNormalNegritaCaracter"/>
        </w:rPr>
        <w:t>Artículo 51.1.</w:t>
      </w:r>
      <w:r w:rsidRPr="007D461E">
        <w:rPr>
          <w:rStyle w:val="TextoNormalCaracter"/>
        </w:rPr>
        <w:t>-</w:t>
      </w:r>
      <w:r>
        <w:t xml:space="preserve"> Auto </w:t>
      </w:r>
      <w:hyperlink w:anchor="AUTO_1997_270" w:history="1">
        <w:r w:rsidRPr="007D461E">
          <w:rPr>
            <w:rStyle w:val="TextoNormalCaracter"/>
          </w:rPr>
          <w:t>270/1997</w:t>
        </w:r>
      </w:hyperlink>
      <w:r>
        <w:t>.</w:t>
      </w:r>
    </w:p>
    <w:p w:rsidR="007D461E" w:rsidRDefault="007D461E" w:rsidP="007D461E">
      <w:pPr>
        <w:pStyle w:val="SangriaFrancesaArticulo"/>
      </w:pPr>
      <w:r w:rsidRPr="007D461E">
        <w:rPr>
          <w:rStyle w:val="TextoNormalNegritaCaracter"/>
        </w:rPr>
        <w:t>Artículo 51.2.</w:t>
      </w:r>
      <w:r w:rsidRPr="007D461E">
        <w:rPr>
          <w:rStyle w:val="TextoNormalCaracter"/>
        </w:rPr>
        <w:t>-</w:t>
      </w:r>
      <w:r>
        <w:t xml:space="preserve"> Auto </w:t>
      </w:r>
      <w:hyperlink w:anchor="AUTO_1997_270" w:history="1">
        <w:r w:rsidRPr="007D461E">
          <w:rPr>
            <w:rStyle w:val="TextoNormalCaracter"/>
          </w:rPr>
          <w:t>270/1997</w:t>
        </w:r>
      </w:hyperlink>
      <w:r>
        <w:t>.</w:t>
      </w:r>
    </w:p>
    <w:p w:rsidR="007D461E" w:rsidRDefault="007D461E" w:rsidP="007D461E">
      <w:pPr>
        <w:pStyle w:val="SangriaFrancesaArticulo"/>
      </w:pPr>
      <w:r w:rsidRPr="007D461E">
        <w:rPr>
          <w:rStyle w:val="TextoNormalNegritaCaracter"/>
        </w:rPr>
        <w:t>Disposición adicional vigesimoquinta.</w:t>
      </w:r>
      <w:r w:rsidRPr="007D461E">
        <w:rPr>
          <w:rStyle w:val="TextoNormalCaracter"/>
        </w:rPr>
        <w:t>-</w:t>
      </w:r>
      <w:r>
        <w:t xml:space="preserve"> Auto </w:t>
      </w:r>
      <w:hyperlink w:anchor="AUTO_1997_173" w:history="1">
        <w:r w:rsidRPr="007D461E">
          <w:rPr>
            <w:rStyle w:val="TextoNormalCaracter"/>
          </w:rPr>
          <w:t>173/1997</w:t>
        </w:r>
      </w:hyperlink>
      <w:r>
        <w:t>.</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J.4) Cataluña</w:t>
      </w:r>
    </w:p>
    <w:p w:rsidR="007D461E" w:rsidRDefault="007D461E" w:rsidP="007D461E">
      <w:pPr>
        <w:pStyle w:val="TextoNormal"/>
      </w:pPr>
    </w:p>
    <w:p w:rsidR="007D461E" w:rsidRDefault="007D461E" w:rsidP="007D461E">
      <w:pPr>
        <w:pStyle w:val="TextoNormalNegritaCentradoSubrayado"/>
        <w:suppressAutoHyphens/>
      </w:pPr>
      <w:r>
        <w:t>J.4.a) Estatuto de Autonomía</w:t>
      </w:r>
    </w:p>
    <w:p w:rsidR="007D461E" w:rsidRDefault="007D461E" w:rsidP="007D461E">
      <w:pPr>
        <w:pStyle w:val="TextoNormalNegritaCentradoSubrayado"/>
      </w:pPr>
    </w:p>
    <w:p w:rsidR="007D461E" w:rsidRDefault="007D461E" w:rsidP="007D461E">
      <w:pPr>
        <w:pStyle w:val="TextoNormalNegritaCursivandice"/>
      </w:pPr>
      <w:r>
        <w:t>Ley Orgánica 4/1979, de 18 de diciembre. Estatuto de Autonomía de Cataluña</w:t>
      </w:r>
    </w:p>
    <w:p w:rsidR="007D461E" w:rsidRDefault="007D461E" w:rsidP="007D461E">
      <w:pPr>
        <w:pStyle w:val="SangriaFrancesaArticulo"/>
      </w:pPr>
      <w:r w:rsidRPr="007D461E">
        <w:rPr>
          <w:rStyle w:val="TextoNormalNegritaCaracter"/>
        </w:rPr>
        <w:t>Artículo 9.20.</w:t>
      </w:r>
      <w:r w:rsidRPr="007D461E">
        <w:rPr>
          <w:rStyle w:val="TextoNormalCaracter"/>
        </w:rPr>
        <w:t>-</w:t>
      </w:r>
      <w:r>
        <w:t xml:space="preserve"> Sentencia </w:t>
      </w:r>
      <w:hyperlink w:anchor="SENTENCIA_1997_133" w:history="1">
        <w:r w:rsidRPr="007D461E">
          <w:rPr>
            <w:rStyle w:val="TextoNormalCaracter"/>
          </w:rPr>
          <w:t>133/1997</w:t>
        </w:r>
      </w:hyperlink>
      <w:r>
        <w:t>, ff. 2, 3, 5, 7, 9 a 11.</w:t>
      </w:r>
    </w:p>
    <w:p w:rsidR="007D461E" w:rsidRDefault="007D461E" w:rsidP="007D461E">
      <w:pPr>
        <w:pStyle w:val="SangriaFrancesaArticulo"/>
      </w:pPr>
      <w:r w:rsidRPr="007D461E">
        <w:rPr>
          <w:rStyle w:val="TextoNormalNegritaCaracter"/>
        </w:rPr>
        <w:t>Artículo 9.23.</w:t>
      </w:r>
      <w:r w:rsidRPr="007D461E">
        <w:rPr>
          <w:rStyle w:val="TextoNormalCaracter"/>
        </w:rPr>
        <w:t>-</w:t>
      </w:r>
      <w:r>
        <w:t xml:space="preserve"> Sentencia </w:t>
      </w:r>
      <w:hyperlink w:anchor="SENTENCIA_1997_133" w:history="1">
        <w:r w:rsidRPr="007D461E">
          <w:rPr>
            <w:rStyle w:val="TextoNormalCaracter"/>
          </w:rPr>
          <w:t>133/1997</w:t>
        </w:r>
      </w:hyperlink>
      <w:r>
        <w:t>, ff. 10, 13.</w:t>
      </w:r>
    </w:p>
    <w:p w:rsidR="007D461E" w:rsidRDefault="007D461E" w:rsidP="007D461E">
      <w:pPr>
        <w:pStyle w:val="SangriaFrancesaArticulo"/>
      </w:pPr>
      <w:r w:rsidRPr="007D461E">
        <w:rPr>
          <w:rStyle w:val="TextoNormalNegritaCaracter"/>
        </w:rPr>
        <w:t>Artículo 10.4.</w:t>
      </w:r>
      <w:r w:rsidRPr="007D461E">
        <w:rPr>
          <w:rStyle w:val="TextoNormalCaracter"/>
        </w:rPr>
        <w:t>-</w:t>
      </w:r>
      <w:r>
        <w:t xml:space="preserve"> Sentencia </w:t>
      </w:r>
      <w:hyperlink w:anchor="SENTENCIA_1997_133" w:history="1">
        <w:r w:rsidRPr="007D461E">
          <w:rPr>
            <w:rStyle w:val="TextoNormalCaracter"/>
          </w:rPr>
          <w:t>133/1997</w:t>
        </w:r>
      </w:hyperlink>
      <w:r>
        <w:t>, f. 5.</w:t>
      </w:r>
    </w:p>
    <w:p w:rsidR="007D461E" w:rsidRDefault="007D461E" w:rsidP="007D461E">
      <w:pPr>
        <w:pStyle w:val="SangriaFrancesaArticulo"/>
      </w:pPr>
      <w:r w:rsidRPr="007D461E">
        <w:rPr>
          <w:rStyle w:val="TextoNormalNegritaCaracter"/>
        </w:rPr>
        <w:t>Artículo 11.4.</w:t>
      </w:r>
      <w:r w:rsidRPr="007D461E">
        <w:rPr>
          <w:rStyle w:val="TextoNormalCaracter"/>
        </w:rPr>
        <w:t>-</w:t>
      </w:r>
      <w:r>
        <w:t xml:space="preserve"> Sentencia </w:t>
      </w:r>
      <w:hyperlink w:anchor="SENTENCIA_1997_133" w:history="1">
        <w:r w:rsidRPr="007D461E">
          <w:rPr>
            <w:rStyle w:val="TextoNormalCaracter"/>
          </w:rPr>
          <w:t>133/1997</w:t>
        </w:r>
      </w:hyperlink>
      <w:r>
        <w:t>, ff. 2, 5, 9, 10, 13.</w:t>
      </w:r>
    </w:p>
    <w:p w:rsidR="007D461E" w:rsidRDefault="007D461E" w:rsidP="007D461E">
      <w:pPr>
        <w:pStyle w:val="SangriaFrancesaArticulo"/>
      </w:pPr>
      <w:r w:rsidRPr="007D461E">
        <w:rPr>
          <w:rStyle w:val="TextoNormalNegritaCaracter"/>
        </w:rPr>
        <w:t>Artículo 12.1.1.</w:t>
      </w:r>
      <w:r w:rsidRPr="007D461E">
        <w:rPr>
          <w:rStyle w:val="TextoNormalCaracter"/>
        </w:rPr>
        <w:t>-</w:t>
      </w:r>
      <w:r>
        <w:t xml:space="preserve"> Sentencia </w:t>
      </w:r>
      <w:hyperlink w:anchor="SENTENCIA_1997_133" w:history="1">
        <w:r w:rsidRPr="007D461E">
          <w:rPr>
            <w:rStyle w:val="TextoNormalCaracter"/>
          </w:rPr>
          <w:t>133/1997</w:t>
        </w:r>
      </w:hyperlink>
      <w:r>
        <w:t>, f. 5.</w:t>
      </w:r>
    </w:p>
    <w:p w:rsidR="007D461E" w:rsidRDefault="007D461E" w:rsidP="007D461E">
      <w:pPr>
        <w:pStyle w:val="SangriaFrancesaArticulo"/>
      </w:pPr>
      <w:r w:rsidRPr="007D461E">
        <w:rPr>
          <w:rStyle w:val="TextoNormalNegritaCaracter"/>
        </w:rPr>
        <w:t>Artículo 24.1.</w:t>
      </w:r>
      <w:r w:rsidRPr="007D461E">
        <w:rPr>
          <w:rStyle w:val="TextoNormalCaracter"/>
        </w:rPr>
        <w:t>-</w:t>
      </w:r>
      <w:r>
        <w:t xml:space="preserve"> Sentencia </w:t>
      </w:r>
      <w:hyperlink w:anchor="SENTENCIA_1997_133" w:history="1">
        <w:r w:rsidRPr="007D461E">
          <w:rPr>
            <w:rStyle w:val="TextoNormalCaracter"/>
          </w:rPr>
          <w:t>133/1997</w:t>
        </w:r>
      </w:hyperlink>
      <w:r>
        <w:t>, f. 10.</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J.5) Extremadura</w:t>
      </w:r>
    </w:p>
    <w:p w:rsidR="007D461E" w:rsidRDefault="007D461E" w:rsidP="007D461E">
      <w:pPr>
        <w:pStyle w:val="TextoNormal"/>
      </w:pPr>
    </w:p>
    <w:p w:rsidR="007D461E" w:rsidRDefault="007D461E" w:rsidP="007D461E">
      <w:pPr>
        <w:pStyle w:val="TextoNormalNegritaCentradoSubrayado"/>
        <w:suppressAutoHyphens/>
      </w:pPr>
      <w:r>
        <w:t>J.5.a) Estatuto de Autonomía</w:t>
      </w:r>
    </w:p>
    <w:p w:rsidR="007D461E" w:rsidRDefault="007D461E" w:rsidP="007D461E">
      <w:pPr>
        <w:pStyle w:val="TextoNormalNegritaCentradoSubrayado"/>
      </w:pPr>
    </w:p>
    <w:p w:rsidR="007D461E" w:rsidRDefault="007D461E" w:rsidP="007D461E">
      <w:pPr>
        <w:pStyle w:val="TextoNormalNegritaCursivandice"/>
      </w:pPr>
      <w:r>
        <w:t>Ley Orgánica 1/1983, de 25 de febrero. Estatuto de Autonomía de Extremadura</w:t>
      </w:r>
    </w:p>
    <w:p w:rsidR="007D461E" w:rsidRDefault="007D461E" w:rsidP="007D461E">
      <w:pPr>
        <w:pStyle w:val="SangriaFrancesaArticulo"/>
      </w:pPr>
      <w:r w:rsidRPr="007D461E">
        <w:rPr>
          <w:rStyle w:val="TextoNormalNegritaCaracter"/>
        </w:rPr>
        <w:t>Artículo 61 b).</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TextoNormal"/>
      </w:pPr>
    </w:p>
    <w:p w:rsidR="007D461E" w:rsidRDefault="007D461E" w:rsidP="007D461E">
      <w:pPr>
        <w:pStyle w:val="TextoNormalNegritaCentradoSubrayado"/>
        <w:suppressAutoHyphens/>
      </w:pPr>
      <w:r>
        <w:t>J.5.d) Normas parlamentarias autonómicas</w:t>
      </w:r>
    </w:p>
    <w:p w:rsidR="007D461E" w:rsidRDefault="007D461E" w:rsidP="007D461E">
      <w:pPr>
        <w:pStyle w:val="TextoNormalNegritaCentradoSubrayado"/>
      </w:pPr>
    </w:p>
    <w:p w:rsidR="007D461E" w:rsidRDefault="007D461E" w:rsidP="007D461E">
      <w:pPr>
        <w:pStyle w:val="TextoNormalNegritaCursivandice"/>
      </w:pPr>
      <w:r>
        <w:t>Reglamento de la Asamblea de Extremadura, de 7 de septiembre de 1983</w:t>
      </w:r>
    </w:p>
    <w:p w:rsidR="007D461E" w:rsidRDefault="007D461E" w:rsidP="007D461E">
      <w:pPr>
        <w:pStyle w:val="SangriaFrancesaArticulo"/>
      </w:pPr>
      <w:r w:rsidRPr="007D461E">
        <w:rPr>
          <w:rStyle w:val="TextoNormalNegritaCaracter"/>
        </w:rPr>
        <w:t>Artículo 27.1.5.</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SangriaFrancesaArticulo"/>
      </w:pPr>
      <w:r w:rsidRPr="007D461E">
        <w:rPr>
          <w:rStyle w:val="TextoNormalNegritaCaracter"/>
        </w:rPr>
        <w:t>Artículo 73.</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SangriaFrancesaArticulo"/>
      </w:pPr>
      <w:r w:rsidRPr="007D461E">
        <w:rPr>
          <w:rStyle w:val="TextoNormalNegritaCaracter"/>
        </w:rPr>
        <w:t>Artículo 121.</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SangriaFrancesaArticulo"/>
      </w:pPr>
      <w:r w:rsidRPr="007D461E">
        <w:rPr>
          <w:rStyle w:val="TextoNormalNegritaCaracter"/>
        </w:rPr>
        <w:t>Artículo 121.2.</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SangriaFrancesaArticulo"/>
      </w:pPr>
      <w:r w:rsidRPr="007D461E">
        <w:rPr>
          <w:rStyle w:val="TextoNormalNegritaCaracter"/>
        </w:rPr>
        <w:t>Artículo 121.3.</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SangriaFrancesaArticulo"/>
      </w:pPr>
      <w:r w:rsidRPr="007D461E">
        <w:rPr>
          <w:rStyle w:val="TextoNormalNegritaCaracter"/>
        </w:rPr>
        <w:t>Artículo 121.4.</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SangriaFrancesaArticulo"/>
      </w:pPr>
      <w:r w:rsidRPr="007D461E">
        <w:rPr>
          <w:rStyle w:val="TextoNormalNegritaCaracter"/>
        </w:rPr>
        <w:t>Artículo 122.</w:t>
      </w:r>
      <w:r w:rsidRPr="007D461E">
        <w:rPr>
          <w:rStyle w:val="TextoNormalCaracter"/>
        </w:rPr>
        <w:t>-</w:t>
      </w:r>
      <w:r>
        <w:t xml:space="preserve"> Auto </w:t>
      </w:r>
      <w:hyperlink w:anchor="AUTO_1997_240" w:history="1">
        <w:r w:rsidRPr="007D461E">
          <w:rPr>
            <w:rStyle w:val="TextoNormalCaracter"/>
          </w:rPr>
          <w:t>240/1997</w:t>
        </w:r>
      </w:hyperlink>
      <w:r>
        <w:t>.</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J.6) Galicia</w:t>
      </w:r>
    </w:p>
    <w:p w:rsidR="007D461E" w:rsidRDefault="007D461E" w:rsidP="007D461E">
      <w:pPr>
        <w:pStyle w:val="TextoNormal"/>
      </w:pPr>
    </w:p>
    <w:p w:rsidR="007D461E" w:rsidRDefault="007D461E" w:rsidP="007D461E">
      <w:pPr>
        <w:pStyle w:val="TextoNormalNegritaCentradoSubrayado"/>
        <w:suppressAutoHyphens/>
      </w:pPr>
      <w:r>
        <w:t>J.6.c) Decretos y otras disposiciones reglamentarias</w:t>
      </w:r>
    </w:p>
    <w:p w:rsidR="007D461E" w:rsidRDefault="007D461E" w:rsidP="007D461E">
      <w:pPr>
        <w:pStyle w:val="TextoNormalNegritaCentradoSubrayado"/>
      </w:pPr>
    </w:p>
    <w:p w:rsidR="007D461E" w:rsidRDefault="007D461E" w:rsidP="007D461E">
      <w:pPr>
        <w:pStyle w:val="TextoNormalNegritaCursivandice"/>
      </w:pPr>
      <w:r>
        <w:t>Orden de la Consejería de Educación de la Junta de Galicia, de 31 de agosto de 1987. Desarrolla el Decreto 135/1983, de 8 de septiembre, sobre aplicación de la Ley 3/1983, de 15 de junio, de normalización lingüística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189" w:history="1">
        <w:r w:rsidRPr="007D461E">
          <w:rPr>
            <w:rStyle w:val="TextoNormalCaracter"/>
          </w:rPr>
          <w:t>189/1997</w:t>
        </w:r>
      </w:hyperlink>
      <w:r>
        <w:t>.</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J.7) Madrid</w:t>
      </w:r>
    </w:p>
    <w:p w:rsidR="007D461E" w:rsidRDefault="007D461E" w:rsidP="007D461E">
      <w:pPr>
        <w:pStyle w:val="TextoNormal"/>
      </w:pPr>
    </w:p>
    <w:p w:rsidR="007D461E" w:rsidRDefault="007D461E" w:rsidP="007D461E">
      <w:pPr>
        <w:pStyle w:val="TextoNormalNegritaCentradoSubrayado"/>
        <w:suppressAutoHyphens/>
      </w:pPr>
      <w:r>
        <w:t>J.7.a) Estatuto de Autonomía</w:t>
      </w:r>
    </w:p>
    <w:p w:rsidR="007D461E" w:rsidRDefault="007D461E" w:rsidP="007D461E">
      <w:pPr>
        <w:pStyle w:val="TextoNormalNegritaCentradoSubrayado"/>
      </w:pPr>
    </w:p>
    <w:p w:rsidR="007D461E" w:rsidRDefault="007D461E" w:rsidP="007D461E">
      <w:pPr>
        <w:pStyle w:val="TextoNormalNegritaCursivandice"/>
      </w:pPr>
      <w:r>
        <w:t>Ley Orgánica 3/1983, de 25 de febrero. Estatuto de Autonomía de la Comunidad de Madrid</w:t>
      </w:r>
    </w:p>
    <w:p w:rsidR="007D461E" w:rsidRDefault="007D461E" w:rsidP="007D461E">
      <w:pPr>
        <w:pStyle w:val="SangriaFrancesaArticulo"/>
      </w:pPr>
      <w:r w:rsidRPr="007D461E">
        <w:rPr>
          <w:rStyle w:val="TextoNormalNegritaCaracter"/>
        </w:rPr>
        <w:t>Artículo 38.</w:t>
      </w:r>
      <w:r w:rsidRPr="007D461E">
        <w:rPr>
          <w:rStyle w:val="TextoNormalCaracter"/>
        </w:rPr>
        <w:t>-</w:t>
      </w:r>
      <w:r>
        <w:t xml:space="preserve"> Sentencia </w:t>
      </w:r>
      <w:hyperlink w:anchor="SENTENCIA_1997_103" w:history="1">
        <w:r w:rsidRPr="007D461E">
          <w:rPr>
            <w:rStyle w:val="TextoNormalCaracter"/>
          </w:rPr>
          <w:t>103/1997</w:t>
        </w:r>
      </w:hyperlink>
      <w:r>
        <w:t>, f. 2.</w:t>
      </w:r>
    </w:p>
    <w:p w:rsidR="007D461E" w:rsidRDefault="007D461E" w:rsidP="007D461E">
      <w:pPr>
        <w:pStyle w:val="TextoNormal"/>
      </w:pPr>
    </w:p>
    <w:p w:rsidR="007D461E" w:rsidRDefault="007D461E" w:rsidP="007D461E">
      <w:pPr>
        <w:pStyle w:val="TextoNormalNegritaCentradoSubrayado"/>
        <w:suppressAutoHyphens/>
      </w:pPr>
      <w:r>
        <w:t>J.7.b) Leyes y disposiciones con fuerza de Ley</w:t>
      </w:r>
    </w:p>
    <w:p w:rsidR="007D461E" w:rsidRDefault="007D461E" w:rsidP="007D461E">
      <w:pPr>
        <w:pStyle w:val="TextoNormalNegritaCentradoSubrayado"/>
      </w:pPr>
    </w:p>
    <w:p w:rsidR="007D461E" w:rsidRDefault="007D461E" w:rsidP="007D461E">
      <w:pPr>
        <w:pStyle w:val="TextoNormalNegritaCursivandice"/>
      </w:pPr>
      <w:r>
        <w:t>Ley de la Asamblea de Madrid 1/1986, de 10 de abril. Regulación de la función pública</w:t>
      </w:r>
    </w:p>
    <w:p w:rsidR="007D461E" w:rsidRDefault="007D461E" w:rsidP="007D461E">
      <w:pPr>
        <w:pStyle w:val="SangriaFrancesaArticulo"/>
      </w:pPr>
      <w:r w:rsidRPr="007D461E">
        <w:rPr>
          <w:rStyle w:val="TextoNormalNegritaCaracter"/>
        </w:rPr>
        <w:t>Artículo 73 c).</w:t>
      </w:r>
      <w:r w:rsidRPr="007D461E">
        <w:rPr>
          <w:rStyle w:val="TextoNormalCaracter"/>
        </w:rPr>
        <w:t>-</w:t>
      </w:r>
      <w:r>
        <w:t xml:space="preserve"> Sentencia </w:t>
      </w:r>
      <w:hyperlink w:anchor="SENTENCIA_1997_103" w:history="1">
        <w:r w:rsidRPr="007D461E">
          <w:rPr>
            <w:rStyle w:val="TextoNormalCaracter"/>
          </w:rPr>
          <w:t>103/1997</w:t>
        </w:r>
      </w:hyperlink>
      <w:r>
        <w:t>, f. 30.</w:t>
      </w:r>
    </w:p>
    <w:p w:rsidR="007D461E" w:rsidRDefault="007D461E" w:rsidP="007D461E">
      <w:pPr>
        <w:pStyle w:val="SangriaFrancesaArticulo"/>
      </w:pPr>
    </w:p>
    <w:p w:rsidR="007D461E" w:rsidRDefault="007D461E" w:rsidP="007D461E">
      <w:pPr>
        <w:pStyle w:val="TextoNormalNegritaCursivandice"/>
      </w:pPr>
      <w:r>
        <w:t>Ley de la Asamblea de Madrid 4/1987, de 23 de diciembre. Presupuestos generales de la Comunidad de Madrid para 1988</w:t>
      </w:r>
    </w:p>
    <w:p w:rsidR="007D461E" w:rsidRDefault="007D461E" w:rsidP="007D461E">
      <w:pPr>
        <w:pStyle w:val="SangriaFrancesaArticulo"/>
      </w:pPr>
      <w:r w:rsidRPr="007D461E">
        <w:rPr>
          <w:rStyle w:val="TextoNormalNegritaCaracter"/>
        </w:rPr>
        <w:lastRenderedPageBreak/>
        <w:t>Artículo 12.</w:t>
      </w:r>
      <w:r w:rsidRPr="007D461E">
        <w:rPr>
          <w:rStyle w:val="TextoNormalCaracter"/>
        </w:rPr>
        <w:t>-</w:t>
      </w:r>
      <w:r>
        <w:t xml:space="preserve"> Sentencia </w:t>
      </w:r>
      <w:hyperlink w:anchor="SENTENCIA_1997_103" w:history="1">
        <w:r w:rsidRPr="007D461E">
          <w:rPr>
            <w:rStyle w:val="TextoNormalCaracter"/>
          </w:rPr>
          <w:t>103/1997</w:t>
        </w:r>
      </w:hyperlink>
      <w:r>
        <w:t>, f. 1.</w:t>
      </w:r>
    </w:p>
    <w:p w:rsidR="007D461E" w:rsidRDefault="007D461E" w:rsidP="007D461E">
      <w:pPr>
        <w:pStyle w:val="SangriaFrancesaArticulo"/>
      </w:pPr>
      <w:r w:rsidRPr="007D461E">
        <w:rPr>
          <w:rStyle w:val="TextoNormalNegritaCaracter"/>
        </w:rPr>
        <w:t>Artículo 13.1 a).</w:t>
      </w:r>
      <w:r w:rsidRPr="007D461E">
        <w:rPr>
          <w:rStyle w:val="TextoNormalCaracter"/>
        </w:rPr>
        <w:t>-</w:t>
      </w:r>
      <w:r>
        <w:t xml:space="preserve"> Sentencia </w:t>
      </w:r>
      <w:hyperlink w:anchor="SENTENCIA_1997_103" w:history="1">
        <w:r w:rsidRPr="007D461E">
          <w:rPr>
            <w:rStyle w:val="TextoNormalCaracter"/>
          </w:rPr>
          <w:t>103/1997</w:t>
        </w:r>
      </w:hyperlink>
      <w:r>
        <w:t>, ff. 1 a 3.</w:t>
      </w:r>
    </w:p>
    <w:p w:rsidR="007D461E" w:rsidRDefault="007D461E" w:rsidP="007D461E">
      <w:pPr>
        <w:pStyle w:val="SangriaFrancesaArticulo"/>
      </w:pPr>
      <w:r w:rsidRPr="007D461E">
        <w:rPr>
          <w:rStyle w:val="TextoNormalNegritaCaracter"/>
        </w:rPr>
        <w:t>Artículo 13.1 b).</w:t>
      </w:r>
      <w:r w:rsidRPr="007D461E">
        <w:rPr>
          <w:rStyle w:val="TextoNormalCaracter"/>
        </w:rPr>
        <w:t>-</w:t>
      </w:r>
      <w:r>
        <w:t xml:space="preserve"> Sentencia </w:t>
      </w:r>
      <w:hyperlink w:anchor="SENTENCIA_1997_103" w:history="1">
        <w:r w:rsidRPr="007D461E">
          <w:rPr>
            <w:rStyle w:val="TextoNormalCaracter"/>
          </w:rPr>
          <w:t>103/1997</w:t>
        </w:r>
      </w:hyperlink>
      <w:r>
        <w:t>, ff. 1, 3.</w:t>
      </w:r>
    </w:p>
    <w:p w:rsidR="007D461E" w:rsidRDefault="007D461E" w:rsidP="007D461E">
      <w:pPr>
        <w:pStyle w:val="SangriaFrancesaArticulo"/>
      </w:pPr>
      <w:r w:rsidRPr="007D461E">
        <w:rPr>
          <w:rStyle w:val="TextoNormalNegritaCaracter"/>
        </w:rPr>
        <w:t>Artículo 13.1 d).</w:t>
      </w:r>
      <w:r w:rsidRPr="007D461E">
        <w:rPr>
          <w:rStyle w:val="TextoNormalCaracter"/>
        </w:rPr>
        <w:t>-</w:t>
      </w:r>
      <w:r>
        <w:t xml:space="preserve"> Sentencia </w:t>
      </w:r>
      <w:hyperlink w:anchor="SENTENCIA_1997_103" w:history="1">
        <w:r w:rsidRPr="007D461E">
          <w:rPr>
            <w:rStyle w:val="TextoNormalCaracter"/>
          </w:rPr>
          <w:t>103/1997</w:t>
        </w:r>
      </w:hyperlink>
      <w:r>
        <w:t>, ff. 1, 4.</w:t>
      </w:r>
    </w:p>
    <w:p w:rsidR="007D461E" w:rsidRDefault="007D461E" w:rsidP="007D461E">
      <w:pPr>
        <w:pStyle w:val="TextoNormal"/>
      </w:pPr>
    </w:p>
    <w:p w:rsidR="007D461E" w:rsidRDefault="007D461E" w:rsidP="007D461E">
      <w:pPr>
        <w:pStyle w:val="TextoNormalNegritaCentrado"/>
        <w:suppressAutoHyphens/>
      </w:pPr>
      <w:r w:rsidRPr="007D461E">
        <w:rPr>
          <w:rStyle w:val="TextoNormalNegritaCentradoSombreado"/>
        </w:rPr>
        <w:t>J.8) País Vasco</w:t>
      </w:r>
    </w:p>
    <w:p w:rsidR="007D461E" w:rsidRDefault="007D461E" w:rsidP="007D461E">
      <w:pPr>
        <w:pStyle w:val="TextoNormal"/>
      </w:pPr>
    </w:p>
    <w:p w:rsidR="007D461E" w:rsidRDefault="007D461E" w:rsidP="007D461E">
      <w:pPr>
        <w:pStyle w:val="TextoNormalNegritaCentradoSubrayado"/>
        <w:suppressAutoHyphens/>
      </w:pPr>
      <w:r>
        <w:t>J.8.a) Estatuto de Autonomía</w:t>
      </w:r>
    </w:p>
    <w:p w:rsidR="007D461E" w:rsidRDefault="007D461E" w:rsidP="007D461E">
      <w:pPr>
        <w:pStyle w:val="TextoNormalNegritaCentradoSubrayado"/>
      </w:pPr>
    </w:p>
    <w:p w:rsidR="007D461E" w:rsidRDefault="007D461E" w:rsidP="007D461E">
      <w:pPr>
        <w:pStyle w:val="TextoNormalNegritaCursivandice"/>
      </w:pPr>
      <w:r>
        <w:t>Ley Orgánica 3/1979, de 18 de diciembre. Estatuto de Autonomía del País Vasco</w:t>
      </w:r>
    </w:p>
    <w:p w:rsidR="007D461E" w:rsidRDefault="007D461E" w:rsidP="007D461E">
      <w:pPr>
        <w:pStyle w:val="SangriaFrancesaArticulo"/>
      </w:pPr>
      <w:r w:rsidRPr="007D461E">
        <w:rPr>
          <w:rStyle w:val="TextoNormalNegritaCaracter"/>
        </w:rPr>
        <w:t>Artículo 10.25.</w:t>
      </w:r>
      <w:r w:rsidRPr="007D461E">
        <w:rPr>
          <w:rStyle w:val="TextoNormalCaracter"/>
        </w:rPr>
        <w:t>-</w:t>
      </w:r>
      <w:r>
        <w:t xml:space="preserve"> Sentencia </w:t>
      </w:r>
      <w:hyperlink w:anchor="SENTENCIA_1997_133" w:history="1">
        <w:r w:rsidRPr="007D461E">
          <w:rPr>
            <w:rStyle w:val="TextoNormalCaracter"/>
          </w:rPr>
          <w:t>133/1997</w:t>
        </w:r>
      </w:hyperlink>
      <w:r>
        <w:t>, f. 5.</w:t>
      </w:r>
    </w:p>
    <w:p w:rsidR="007D461E" w:rsidRDefault="007D461E" w:rsidP="007D461E">
      <w:pPr>
        <w:pStyle w:val="SangriaFrancesaArticulo"/>
      </w:pPr>
      <w:r w:rsidRPr="007D461E">
        <w:rPr>
          <w:rStyle w:val="TextoNormalNegritaCaracter"/>
        </w:rPr>
        <w:t>Artículo 10.29.</w:t>
      </w:r>
      <w:r w:rsidRPr="007D461E">
        <w:rPr>
          <w:rStyle w:val="TextoNormalCaracter"/>
        </w:rPr>
        <w:t>-</w:t>
      </w:r>
      <w:r>
        <w:t xml:space="preserve"> Sentencia </w:t>
      </w:r>
      <w:hyperlink w:anchor="SENTENCIA_1997_133" w:history="1">
        <w:r w:rsidRPr="007D461E">
          <w:rPr>
            <w:rStyle w:val="TextoNormalCaracter"/>
          </w:rPr>
          <w:t>133/1997</w:t>
        </w:r>
      </w:hyperlink>
      <w:r>
        <w:t>, ff. 2, 3, 5, 7 a 10, 12, 14, 15, 17, 18.</w:t>
      </w:r>
    </w:p>
    <w:p w:rsidR="007D461E" w:rsidRDefault="007D461E" w:rsidP="007D461E">
      <w:pPr>
        <w:pStyle w:val="SangriaFrancesaArticulo"/>
      </w:pPr>
      <w:r w:rsidRPr="007D461E">
        <w:rPr>
          <w:rStyle w:val="TextoNormalNegritaCaracter"/>
        </w:rPr>
        <w:t>Artículo 11.2 a).</w:t>
      </w:r>
      <w:r w:rsidRPr="007D461E">
        <w:rPr>
          <w:rStyle w:val="TextoNormalCaracter"/>
        </w:rPr>
        <w:t>-</w:t>
      </w:r>
      <w:r>
        <w:t xml:space="preserve"> Sentencia </w:t>
      </w:r>
      <w:hyperlink w:anchor="SENTENCIA_1997_133" w:history="1">
        <w:r w:rsidRPr="007D461E">
          <w:rPr>
            <w:rStyle w:val="TextoNormalCaracter"/>
          </w:rPr>
          <w:t>133/1997</w:t>
        </w:r>
      </w:hyperlink>
      <w:r>
        <w:t>, ff. 5, 12.</w:t>
      </w:r>
    </w:p>
    <w:p w:rsidR="007D461E" w:rsidRDefault="007D461E" w:rsidP="007D461E">
      <w:pPr>
        <w:pStyle w:val="SangriaFrancesaArticulo"/>
      </w:pPr>
      <w:r w:rsidRPr="007D461E">
        <w:rPr>
          <w:rStyle w:val="TextoNormalNegritaCaracter"/>
        </w:rPr>
        <w:t>Artículo 12.3.</w:t>
      </w:r>
      <w:r w:rsidRPr="007D461E">
        <w:rPr>
          <w:rStyle w:val="TextoNormalCaracter"/>
        </w:rPr>
        <w:t>-</w:t>
      </w:r>
      <w:r>
        <w:t xml:space="preserve"> Sentencia </w:t>
      </w:r>
      <w:hyperlink w:anchor="SENTENCIA_1997_133" w:history="1">
        <w:r w:rsidRPr="007D461E">
          <w:rPr>
            <w:rStyle w:val="TextoNormalCaracter"/>
          </w:rPr>
          <w:t>133/1997</w:t>
        </w:r>
      </w:hyperlink>
      <w:r>
        <w:t>, ff. 2, 5, 14.</w:t>
      </w:r>
    </w:p>
    <w:p w:rsidR="007D461E" w:rsidRDefault="007D461E" w:rsidP="007D461E">
      <w:pPr>
        <w:pStyle w:val="TextoNormal"/>
      </w:pPr>
    </w:p>
    <w:p w:rsidR="007D461E" w:rsidRDefault="007D461E" w:rsidP="007D461E">
      <w:pPr>
        <w:pStyle w:val="TextoNormalNegritaCentradoSubrayado"/>
        <w:suppressAutoHyphens/>
      </w:pPr>
      <w:r>
        <w:t>J.8.b) Leyes y disposiciones con fuerza de Ley</w:t>
      </w:r>
    </w:p>
    <w:p w:rsidR="007D461E" w:rsidRDefault="007D461E" w:rsidP="007D461E">
      <w:pPr>
        <w:pStyle w:val="TextoNormalNegritaCentradoSubrayado"/>
      </w:pPr>
    </w:p>
    <w:p w:rsidR="007D461E" w:rsidRDefault="007D461E" w:rsidP="007D461E">
      <w:pPr>
        <w:pStyle w:val="TextoNormalNegritaCursivandice"/>
      </w:pPr>
      <w:r>
        <w:t>Ley del Parlamento Vasco 6/1989, de 6 de julio. Función pública vasca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71" w:history="1">
        <w:r w:rsidRPr="007D461E">
          <w:rPr>
            <w:rStyle w:val="TextoNormalCaracter"/>
          </w:rPr>
          <w:t>271/1997</w:t>
        </w:r>
      </w:hyperlink>
      <w:r>
        <w:t>.</w:t>
      </w:r>
    </w:p>
    <w:p w:rsidR="007D461E" w:rsidRDefault="007D461E" w:rsidP="007D461E">
      <w:pPr>
        <w:pStyle w:val="SangriaFrancesaArticulo"/>
      </w:pPr>
    </w:p>
    <w:p w:rsidR="007D461E" w:rsidRDefault="007D461E" w:rsidP="007D461E">
      <w:pPr>
        <w:pStyle w:val="TextoNormalNegritaCursivandice"/>
      </w:pPr>
      <w:r>
        <w:t>Ley del Parlamento Vasco 10/1996, de 27 de diciembre. Presupuestos generales de la Comunidad Autónoma del País Vasco para 1997</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Auto </w:t>
      </w:r>
      <w:hyperlink w:anchor="AUTO_1997_271" w:history="1">
        <w:r w:rsidRPr="007D461E">
          <w:rPr>
            <w:rStyle w:val="TextoNormalCaracter"/>
          </w:rPr>
          <w:t>271/1997</w:t>
        </w:r>
      </w:hyperlink>
      <w:r>
        <w:t>.</w:t>
      </w:r>
    </w:p>
    <w:p w:rsidR="007D461E" w:rsidRDefault="007D461E" w:rsidP="007D461E">
      <w:pPr>
        <w:pStyle w:val="SangriaFrancesaArticulo"/>
      </w:pPr>
      <w:r w:rsidRPr="007D461E">
        <w:rPr>
          <w:rStyle w:val="TextoNormalNegritaCaracter"/>
        </w:rPr>
        <w:t>Artículo 17.</w:t>
      </w:r>
      <w:r w:rsidRPr="007D461E">
        <w:rPr>
          <w:rStyle w:val="TextoNormalCaracter"/>
        </w:rPr>
        <w:t>-</w:t>
      </w:r>
      <w:r>
        <w:t xml:space="preserve"> Auto </w:t>
      </w:r>
      <w:hyperlink w:anchor="AUTO_1997_271" w:history="1">
        <w:r w:rsidRPr="007D461E">
          <w:rPr>
            <w:rStyle w:val="TextoNormalCaracter"/>
          </w:rPr>
          <w:t>271/1997</w:t>
        </w:r>
      </w:hyperlink>
      <w:r>
        <w:t>.</w:t>
      </w:r>
    </w:p>
    <w:p w:rsidR="007D461E" w:rsidRDefault="007D461E" w:rsidP="007D461E">
      <w:pPr>
        <w:pStyle w:val="SangriaFrancesaArticulo"/>
      </w:pPr>
      <w:r w:rsidRPr="007D461E">
        <w:rPr>
          <w:rStyle w:val="TextoNormalNegritaCaracter"/>
        </w:rPr>
        <w:t>Artículo 17.4.</w:t>
      </w:r>
      <w:r w:rsidRPr="007D461E">
        <w:rPr>
          <w:rStyle w:val="TextoNormalCaracter"/>
        </w:rPr>
        <w:t>-</w:t>
      </w:r>
      <w:r>
        <w:t xml:space="preserve"> Auto </w:t>
      </w:r>
      <w:hyperlink w:anchor="AUTO_1997_271" w:history="1">
        <w:r w:rsidRPr="007D461E">
          <w:rPr>
            <w:rStyle w:val="TextoNormalCaracter"/>
          </w:rPr>
          <w:t>271/1997</w:t>
        </w:r>
      </w:hyperlink>
      <w:r>
        <w:t>.</w:t>
      </w:r>
    </w:p>
    <w:p w:rsidR="007D461E" w:rsidRDefault="007D461E" w:rsidP="007D461E">
      <w:pPr>
        <w:pStyle w:val="SangriaFrancesaArticulo"/>
      </w:pPr>
      <w:r w:rsidRPr="007D461E">
        <w:rPr>
          <w:rStyle w:val="TextoNormalNegritaCaracter"/>
        </w:rPr>
        <w:t>Artículo 17.9.</w:t>
      </w:r>
      <w:r w:rsidRPr="007D461E">
        <w:rPr>
          <w:rStyle w:val="TextoNormalCaracter"/>
        </w:rPr>
        <w:t>-</w:t>
      </w:r>
      <w:r>
        <w:t xml:space="preserve"> Auto </w:t>
      </w:r>
      <w:hyperlink w:anchor="AUTO_1997_271" w:history="1">
        <w:r w:rsidRPr="007D461E">
          <w:rPr>
            <w:rStyle w:val="TextoNormalCaracter"/>
          </w:rPr>
          <w:t>271/1997</w:t>
        </w:r>
      </w:hyperlink>
      <w:r>
        <w:t>.</w:t>
      </w:r>
    </w:p>
    <w:p w:rsidR="007D461E" w:rsidRDefault="007D461E" w:rsidP="007D461E">
      <w:pPr>
        <w:pStyle w:val="TextoNormal"/>
      </w:pPr>
    </w:p>
    <w:p w:rsidR="007D461E" w:rsidRDefault="007D461E" w:rsidP="007D461E">
      <w:pPr>
        <w:pStyle w:val="SangriaFrancesaArticulo"/>
      </w:pPr>
      <w:bookmarkStart w:id="243" w:name="INDICE22870"/>
    </w:p>
    <w:bookmarkEnd w:id="243"/>
    <w:p w:rsidR="007D461E" w:rsidRDefault="007D461E" w:rsidP="007D461E">
      <w:pPr>
        <w:pStyle w:val="TextoIndiceNivel2"/>
        <w:suppressAutoHyphens/>
      </w:pPr>
      <w:r>
        <w:t>L) Tratados y acuerdos internacionales</w:t>
      </w:r>
    </w:p>
    <w:p w:rsidR="007D461E" w:rsidRDefault="007D461E" w:rsidP="007D461E">
      <w:pPr>
        <w:pStyle w:val="TextoIndiceNivel2"/>
      </w:pPr>
    </w:p>
    <w:p w:rsidR="007D461E" w:rsidRDefault="007D461E" w:rsidP="007D461E">
      <w:pPr>
        <w:pStyle w:val="TextoNormalNegritaCursivandice"/>
      </w:pPr>
      <w:r>
        <w:t>Convenio de la Organización Internacional del Trabajo (núm. 87), de 9 de julio de 1948. Libertad sindical y protección del derecho de sindicación</w:t>
      </w:r>
    </w:p>
    <w:p w:rsidR="007D461E" w:rsidRDefault="007D461E" w:rsidP="007D461E">
      <w:pPr>
        <w:pStyle w:val="SangriaFrancesaArticulo"/>
      </w:pPr>
      <w:r w:rsidRPr="007D461E">
        <w:rPr>
          <w:rStyle w:val="TextoNormalNegritaCaracter"/>
        </w:rPr>
        <w:t>Artículo 2.</w:t>
      </w:r>
      <w:r w:rsidRPr="007D461E">
        <w:rPr>
          <w:rStyle w:val="TextoNormalCaracter"/>
        </w:rPr>
        <w:t>-</w:t>
      </w:r>
      <w:r>
        <w:t xml:space="preserve"> Sentencia </w:t>
      </w:r>
      <w:hyperlink w:anchor="SENTENCIA_1997_121" w:history="1">
        <w:r w:rsidRPr="007D461E">
          <w:rPr>
            <w:rStyle w:val="TextoNormalCaracter"/>
          </w:rPr>
          <w:t>121/1997</w:t>
        </w:r>
      </w:hyperlink>
      <w:r>
        <w:t>, f. 9.</w:t>
      </w:r>
    </w:p>
    <w:p w:rsidR="007D461E" w:rsidRDefault="007D461E" w:rsidP="007D461E">
      <w:pPr>
        <w:pStyle w:val="SangriaFrancesaArticulo"/>
      </w:pPr>
    </w:p>
    <w:p w:rsidR="007D461E" w:rsidRDefault="007D461E" w:rsidP="007D461E">
      <w:pPr>
        <w:pStyle w:val="TextoNormalNegritaCursivandice"/>
      </w:pPr>
      <w:r>
        <w:t>Declaración universal de derechos humanos de 10 de diciembre de 1948</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3" w:history="1">
        <w:r w:rsidRPr="007D461E">
          <w:rPr>
            <w:rStyle w:val="TextoNormalCaracter"/>
          </w:rPr>
          <w:t>123/1997</w:t>
        </w:r>
      </w:hyperlink>
      <w:r>
        <w:t>, ff. 4, 6.</w:t>
      </w:r>
    </w:p>
    <w:p w:rsidR="007D461E" w:rsidRDefault="007D461E" w:rsidP="007D461E">
      <w:pPr>
        <w:pStyle w:val="SangriaFrancesaArticulo"/>
      </w:pPr>
      <w:r w:rsidRPr="007D461E">
        <w:rPr>
          <w:rStyle w:val="TextoNormalNegritaCaracter"/>
        </w:rPr>
        <w:t>Artículo 11.2.</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p>
    <w:p w:rsidR="007D461E" w:rsidRDefault="007D461E" w:rsidP="007D461E">
      <w:pPr>
        <w:pStyle w:val="TextoNormalNegritaCursivandice"/>
      </w:pPr>
      <w:r>
        <w:t>Pacto internacional de derechos civiles y políticos. Nueva York, 16 de diciembre de 1966, ratificado por Instrumento de 13 de abril de 1977</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109" w:history="1">
        <w:r w:rsidRPr="007D461E">
          <w:rPr>
            <w:rStyle w:val="TextoNormalCaracter"/>
          </w:rPr>
          <w:t>109/1997</w:t>
        </w:r>
      </w:hyperlink>
      <w:r>
        <w:t xml:space="preserve">, f. 1; </w:t>
      </w:r>
      <w:hyperlink w:anchor="SENTENCIA_1997_123" w:history="1">
        <w:r w:rsidRPr="007D461E">
          <w:rPr>
            <w:rStyle w:val="TextoNormalCaracter"/>
          </w:rPr>
          <w:t>123/1997</w:t>
        </w:r>
      </w:hyperlink>
      <w:r>
        <w:t>, f. 6.</w:t>
      </w:r>
    </w:p>
    <w:p w:rsidR="007D461E" w:rsidRDefault="007D461E" w:rsidP="007D461E">
      <w:pPr>
        <w:pStyle w:val="SangriaFrancesaArticulo"/>
      </w:pPr>
      <w:r w:rsidRPr="007D461E">
        <w:rPr>
          <w:rStyle w:val="TextoNormalNegritaCaracter"/>
        </w:rPr>
        <w:t>Artículo 15.1.</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TextoNormal"/>
      </w:pPr>
    </w:p>
    <w:p w:rsidR="007D461E" w:rsidRDefault="007D461E" w:rsidP="007D461E">
      <w:pPr>
        <w:pStyle w:val="SangriaFrancesaArticulo"/>
      </w:pPr>
      <w:bookmarkStart w:id="244" w:name="INDICE22871"/>
    </w:p>
    <w:bookmarkEnd w:id="244"/>
    <w:p w:rsidR="007D461E" w:rsidRDefault="007D461E" w:rsidP="007D461E">
      <w:pPr>
        <w:pStyle w:val="TextoIndiceNivel2"/>
        <w:suppressAutoHyphens/>
      </w:pPr>
      <w:r>
        <w:t>M) Unión Europea</w:t>
      </w:r>
    </w:p>
    <w:p w:rsidR="007D461E" w:rsidRDefault="007D461E" w:rsidP="007D461E">
      <w:pPr>
        <w:pStyle w:val="TextoIndiceNivel2"/>
      </w:pPr>
    </w:p>
    <w:p w:rsidR="007D461E" w:rsidRDefault="007D461E" w:rsidP="007D461E">
      <w:pPr>
        <w:pStyle w:val="TextoNormalNegritaCursivandice"/>
      </w:pPr>
      <w:r>
        <w:t>Directiva 89/298/CEE del Consejo, de 17 de abril de 1989. Coordinación de las condiciones de elaboración, control y difusión del folleto que debe publicarse en caso de oferta pública de valores negociables</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3" w:history="1">
        <w:r w:rsidRPr="007D461E">
          <w:rPr>
            <w:rStyle w:val="TextoNormalCaracter"/>
          </w:rPr>
          <w:t>133/1997</w:t>
        </w:r>
      </w:hyperlink>
      <w:r>
        <w:t>, f. 8.</w:t>
      </w:r>
    </w:p>
    <w:p w:rsidR="007D461E" w:rsidRDefault="007D461E" w:rsidP="007D461E">
      <w:pPr>
        <w:pStyle w:val="TextoNormal"/>
      </w:pPr>
    </w:p>
    <w:p w:rsidR="007D461E" w:rsidRDefault="007D461E" w:rsidP="007D461E">
      <w:pPr>
        <w:pStyle w:val="SangriaFrancesaArticulo"/>
      </w:pPr>
      <w:bookmarkStart w:id="245" w:name="INDICE27994"/>
    </w:p>
    <w:bookmarkEnd w:id="245"/>
    <w:p w:rsidR="007D461E" w:rsidRDefault="007D461E" w:rsidP="007D461E">
      <w:pPr>
        <w:pStyle w:val="TextoIndiceNivel2"/>
        <w:suppressAutoHyphens/>
      </w:pPr>
      <w:r>
        <w:t>N) Consejo de Europa</w:t>
      </w:r>
    </w:p>
    <w:p w:rsidR="007D461E" w:rsidRDefault="007D461E" w:rsidP="007D461E">
      <w:pPr>
        <w:pStyle w:val="TextoIndiceNivel2"/>
      </w:pPr>
    </w:p>
    <w:p w:rsidR="007D461E" w:rsidRDefault="007D461E" w:rsidP="007D461E">
      <w:pPr>
        <w:pStyle w:val="TextoNormalNegritaCursivandice"/>
      </w:pPr>
      <w:r>
        <w:t>Convenio europeo para la protección de los derechos humanos y de las libertades fundamentales. Hecho en Roma el 4 de noviembre de 1950, ratificado por Instrumento de 26 de septiembre de 1979</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Sentencias </w:t>
      </w:r>
      <w:hyperlink w:anchor="SENTENCIA_1997_109" w:history="1">
        <w:r w:rsidRPr="007D461E">
          <w:rPr>
            <w:rStyle w:val="TextoNormalCaracter"/>
          </w:rPr>
          <w:t>109/1997</w:t>
        </w:r>
      </w:hyperlink>
      <w:r>
        <w:t xml:space="preserve">, f. 2; </w:t>
      </w:r>
      <w:hyperlink w:anchor="SENTENCIA_1997_123" w:history="1">
        <w:r w:rsidRPr="007D461E">
          <w:rPr>
            <w:rStyle w:val="TextoNormalCaracter"/>
          </w:rPr>
          <w:t>123/1997</w:t>
        </w:r>
      </w:hyperlink>
      <w:r>
        <w:t>, ff. 4, 6.</w:t>
      </w:r>
    </w:p>
    <w:p w:rsidR="007D461E" w:rsidRDefault="007D461E" w:rsidP="007D461E">
      <w:pPr>
        <w:pStyle w:val="SangriaFrancesaArticulo"/>
      </w:pPr>
      <w:r w:rsidRPr="007D461E">
        <w:rPr>
          <w:rStyle w:val="TextoNormalNegritaCaracter"/>
        </w:rPr>
        <w:t>Artículo 5.</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r w:rsidRPr="007D461E">
        <w:rPr>
          <w:rStyle w:val="TextoNormalNegritaCaracter"/>
        </w:rPr>
        <w:t>Artículo 6.</w:t>
      </w:r>
      <w:r w:rsidRPr="007D461E">
        <w:rPr>
          <w:rStyle w:val="TextoNormalCaracter"/>
        </w:rPr>
        <w:t>-</w:t>
      </w:r>
      <w:r>
        <w:t xml:space="preserve"> Sentencia </w:t>
      </w:r>
      <w:hyperlink w:anchor="SENTENCIA_1997_131" w:history="1">
        <w:r w:rsidRPr="007D461E">
          <w:rPr>
            <w:rStyle w:val="TextoNormalCaracter"/>
          </w:rPr>
          <w:t>131/1997</w:t>
        </w:r>
      </w:hyperlink>
      <w:r>
        <w:t>, f. 2.</w:t>
      </w:r>
    </w:p>
    <w:p w:rsidR="007D461E" w:rsidRDefault="007D461E" w:rsidP="007D461E">
      <w:pPr>
        <w:pStyle w:val="SangriaFrancesaArticulo"/>
      </w:pPr>
      <w:r w:rsidRPr="007D461E">
        <w:rPr>
          <w:rStyle w:val="TextoNormalNegritaCaracter"/>
        </w:rPr>
        <w:t>Artículo 6.1.</w:t>
      </w:r>
      <w:r w:rsidRPr="007D461E">
        <w:rPr>
          <w:rStyle w:val="TextoNormalCaracter"/>
        </w:rPr>
        <w:t>-</w:t>
      </w:r>
      <w:r>
        <w:t xml:space="preserve"> Sentencias </w:t>
      </w:r>
      <w:hyperlink w:anchor="SENTENCIA_1997_123" w:history="1">
        <w:r w:rsidRPr="007D461E">
          <w:rPr>
            <w:rStyle w:val="TextoNormalCaracter"/>
          </w:rPr>
          <w:t>123/1997</w:t>
        </w:r>
      </w:hyperlink>
      <w:r>
        <w:t xml:space="preserve">, f. 6; </w:t>
      </w:r>
      <w:hyperlink w:anchor="SENTENCIA_1997_135" w:history="1">
        <w:r w:rsidRPr="007D461E">
          <w:rPr>
            <w:rStyle w:val="TextoNormalCaracter"/>
          </w:rPr>
          <w:t>135/1997</w:t>
        </w:r>
      </w:hyperlink>
      <w:r>
        <w:t>, f. 3.</w:t>
      </w:r>
    </w:p>
    <w:p w:rsidR="007D461E" w:rsidRDefault="007D461E" w:rsidP="007D461E">
      <w:pPr>
        <w:pStyle w:val="SangriaFrancesaArticulo"/>
      </w:pPr>
      <w:r w:rsidRPr="007D461E">
        <w:rPr>
          <w:rStyle w:val="TextoNormalNegritaCaracter"/>
        </w:rPr>
        <w:t>Artículo 6.2.</w:t>
      </w:r>
      <w:r w:rsidRPr="007D461E">
        <w:rPr>
          <w:rStyle w:val="TextoNormalCaracter"/>
        </w:rPr>
        <w:t>-</w:t>
      </w:r>
      <w:r>
        <w:t xml:space="preserve"> Sentencia </w:t>
      </w:r>
      <w:hyperlink w:anchor="SENTENCIA_1997_123" w:history="1">
        <w:r w:rsidRPr="007D461E">
          <w:rPr>
            <w:rStyle w:val="TextoNormalCaracter"/>
          </w:rPr>
          <w:t>123/1997</w:t>
        </w:r>
      </w:hyperlink>
      <w:r>
        <w:t>, f. 6.</w:t>
      </w:r>
    </w:p>
    <w:p w:rsidR="007D461E" w:rsidRDefault="007D461E" w:rsidP="007D461E">
      <w:pPr>
        <w:pStyle w:val="SangriaFrancesaArticulo"/>
      </w:pPr>
      <w:r w:rsidRPr="007D461E">
        <w:rPr>
          <w:rStyle w:val="TextoNormalNegritaCaracter"/>
        </w:rPr>
        <w:t>Artículo 6.3.</w:t>
      </w:r>
      <w:r w:rsidRPr="007D461E">
        <w:rPr>
          <w:rStyle w:val="TextoNormalCaracter"/>
        </w:rPr>
        <w:t>-</w:t>
      </w:r>
      <w:r>
        <w:t xml:space="preserve"> Sentencia </w:t>
      </w:r>
      <w:hyperlink w:anchor="SENTENCIA_1997_114" w:history="1">
        <w:r w:rsidRPr="007D461E">
          <w:rPr>
            <w:rStyle w:val="TextoNormalCaracter"/>
          </w:rPr>
          <w:t>114/1997</w:t>
        </w:r>
      </w:hyperlink>
      <w:r>
        <w:t>, f. 8.</w:t>
      </w:r>
    </w:p>
    <w:p w:rsidR="007D461E" w:rsidRDefault="007D461E" w:rsidP="007D461E">
      <w:pPr>
        <w:pStyle w:val="SangriaFrancesaArticulo"/>
      </w:pPr>
      <w:r w:rsidRPr="007D461E">
        <w:rPr>
          <w:rStyle w:val="TextoNormalNegritaCaracter"/>
        </w:rPr>
        <w:t>Artículo 7.1.</w:t>
      </w:r>
      <w:r w:rsidRPr="007D461E">
        <w:rPr>
          <w:rStyle w:val="TextoNormalCaracter"/>
        </w:rPr>
        <w:t>-</w:t>
      </w:r>
      <w:r>
        <w:t xml:space="preserve"> Auto </w:t>
      </w:r>
      <w:hyperlink w:anchor="AUTO_1997_154" w:history="1">
        <w:r w:rsidRPr="007D461E">
          <w:rPr>
            <w:rStyle w:val="TextoNormalCaracter"/>
          </w:rPr>
          <w:t>154/1997</w:t>
        </w:r>
      </w:hyperlink>
      <w:r>
        <w:t>.</w:t>
      </w:r>
    </w:p>
    <w:p w:rsidR="007D461E" w:rsidRDefault="007D461E" w:rsidP="007D461E">
      <w:pPr>
        <w:pStyle w:val="SangriaFrancesaArticulo"/>
      </w:pPr>
      <w:r w:rsidRPr="007D461E">
        <w:rPr>
          <w:rStyle w:val="TextoNormalNegritaCaracter"/>
        </w:rPr>
        <w:t>Artículo 8.</w:t>
      </w:r>
      <w:r w:rsidRPr="007D461E">
        <w:rPr>
          <w:rStyle w:val="TextoNormalCaracter"/>
        </w:rPr>
        <w:t>-</w:t>
      </w:r>
      <w:r>
        <w:t xml:space="preserve"> Sentencia </w:t>
      </w:r>
      <w:hyperlink w:anchor="SENTENCIA_1997_123" w:history="1">
        <w:r w:rsidRPr="007D461E">
          <w:rPr>
            <w:rStyle w:val="TextoNormalCaracter"/>
          </w:rPr>
          <w:t>123/1997</w:t>
        </w:r>
      </w:hyperlink>
      <w:r>
        <w:t>, f. 4.</w:t>
      </w:r>
    </w:p>
    <w:p w:rsidR="007D461E" w:rsidRDefault="007D461E" w:rsidP="007D461E">
      <w:pPr>
        <w:pStyle w:val="SangriaFrancesaArticulo"/>
      </w:pPr>
      <w:r w:rsidRPr="007D461E">
        <w:rPr>
          <w:rStyle w:val="TextoNormalNegritaCaracter"/>
        </w:rPr>
        <w:t>Artículo 10.1.</w:t>
      </w:r>
      <w:r w:rsidRPr="007D461E">
        <w:rPr>
          <w:rStyle w:val="TextoNormalCaracter"/>
        </w:rPr>
        <w:t>-</w:t>
      </w:r>
      <w:r>
        <w:t xml:space="preserve"> Auto </w:t>
      </w:r>
      <w:hyperlink w:anchor="AUTO_1997_291" w:history="1">
        <w:r w:rsidRPr="007D461E">
          <w:rPr>
            <w:rStyle w:val="TextoNormalCaracter"/>
          </w:rPr>
          <w:t>291/1997</w:t>
        </w:r>
      </w:hyperlink>
      <w:r>
        <w:t>.</w:t>
      </w:r>
    </w:p>
    <w:p w:rsidR="007D461E" w:rsidRDefault="007D461E" w:rsidP="007D461E">
      <w:pPr>
        <w:pStyle w:val="SangriaFrancesaArticulo"/>
      </w:pPr>
    </w:p>
    <w:p w:rsidR="007D461E" w:rsidRDefault="007D461E" w:rsidP="007D461E">
      <w:pPr>
        <w:pStyle w:val="TextoNormalNegritaCursivandice"/>
      </w:pPr>
      <w:r>
        <w:t>Resolución (75) 11, del Comité de Ministros del Consejo de Europa, de 21 de mayo de 1975. Criterios aplicables en los juicios de rebeldía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5" w:history="1">
        <w:r w:rsidRPr="007D461E">
          <w:rPr>
            <w:rStyle w:val="TextoNormalCaracter"/>
          </w:rPr>
          <w:t>135/1997</w:t>
        </w:r>
      </w:hyperlink>
      <w:r>
        <w:t>, f. 4.</w:t>
      </w:r>
    </w:p>
    <w:p w:rsidR="007D461E" w:rsidRDefault="007D461E" w:rsidP="007D461E">
      <w:pPr>
        <w:pStyle w:val="TextoNormal"/>
      </w:pPr>
    </w:p>
    <w:p w:rsidR="007D461E" w:rsidRDefault="007D461E" w:rsidP="007D461E">
      <w:pPr>
        <w:pStyle w:val="SangriaFrancesaArticulo"/>
      </w:pPr>
      <w:bookmarkStart w:id="246" w:name="INDICE22872"/>
    </w:p>
    <w:bookmarkEnd w:id="246"/>
    <w:p w:rsidR="007D461E" w:rsidRDefault="007D461E" w:rsidP="007D461E">
      <w:pPr>
        <w:pStyle w:val="TextoIndiceNivel2"/>
        <w:suppressAutoHyphens/>
      </w:pPr>
      <w:r>
        <w:t>Ñ) Legislación extranjera</w:t>
      </w:r>
    </w:p>
    <w:p w:rsidR="007D461E" w:rsidRDefault="007D461E" w:rsidP="007D461E">
      <w:pPr>
        <w:pStyle w:val="TextoIndiceNivel2"/>
      </w:pPr>
    </w:p>
    <w:p w:rsidR="007D461E" w:rsidRDefault="007D461E" w:rsidP="007D461E">
      <w:pPr>
        <w:pStyle w:val="TextoNormalNegritaCursivandice"/>
      </w:pPr>
      <w:r>
        <w:t>Carta francesa de 14 de agosto de 1830</w:t>
      </w:r>
    </w:p>
    <w:p w:rsidR="007D461E" w:rsidRDefault="007D461E" w:rsidP="007D461E">
      <w:pPr>
        <w:pStyle w:val="SangriaFrancesaArticulo"/>
      </w:pPr>
      <w:r w:rsidRPr="007D461E">
        <w:rPr>
          <w:rStyle w:val="TextoNormalNegritaCaracter"/>
        </w:rPr>
        <w:t>Artículo 62.</w:t>
      </w:r>
      <w:r w:rsidRPr="007D461E">
        <w:rPr>
          <w:rStyle w:val="TextoNormalCaracter"/>
        </w:rPr>
        <w:t>-</w:t>
      </w:r>
      <w:r>
        <w:t xml:space="preserve"> Sentencia </w:t>
      </w:r>
      <w:hyperlink w:anchor="SENTENCIA_1997_126" w:history="1">
        <w:r w:rsidRPr="007D461E">
          <w:rPr>
            <w:rStyle w:val="TextoNormalCaracter"/>
          </w:rPr>
          <w:t>126/1997</w:t>
        </w:r>
      </w:hyperlink>
      <w:r>
        <w:t>, f. 10.</w:t>
      </w:r>
    </w:p>
    <w:p w:rsidR="007D461E" w:rsidRDefault="007D461E">
      <w:pPr>
        <w:rPr>
          <w:rFonts w:ascii="Times New Roman" w:eastAsia="Times New Roman" w:hAnsi="Times New Roman" w:cs="Times New Roman"/>
          <w:sz w:val="24"/>
          <w:szCs w:val="24"/>
          <w:lang w:eastAsia="es-ES"/>
        </w:rPr>
      </w:pPr>
      <w:r>
        <w:br w:type="page"/>
      </w:r>
    </w:p>
    <w:p w:rsidR="007D461E" w:rsidRDefault="007D461E" w:rsidP="007D461E">
      <w:pPr>
        <w:pStyle w:val="SangriaFrancesaArticulo"/>
      </w:pPr>
    </w:p>
    <w:p w:rsidR="007D461E" w:rsidRDefault="007D461E" w:rsidP="007D461E">
      <w:pPr>
        <w:pStyle w:val="TextoNormal"/>
      </w:pPr>
    </w:p>
    <w:p w:rsidR="007D461E" w:rsidRDefault="007D461E" w:rsidP="007D461E">
      <w:pPr>
        <w:pStyle w:val="TextoNormal"/>
      </w:pPr>
    </w:p>
    <w:p w:rsidR="007D461E" w:rsidRDefault="007D461E" w:rsidP="007D461E">
      <w:pPr>
        <w:pStyle w:val="TextoNormal"/>
      </w:pPr>
    </w:p>
    <w:p w:rsidR="007D461E" w:rsidRDefault="00505D04" w:rsidP="007D461E">
      <w:pPr>
        <w:pStyle w:val="Ttulondice"/>
        <w:suppressAutoHyphens/>
      </w:pPr>
      <w:r>
        <w:t>6.</w:t>
      </w:r>
      <w:r w:rsidR="000A58FE">
        <w:t xml:space="preserve"> ÍNDICE DE RESOLUCIONES JUDICIALES DE OTROS TRIBUNALES CITADAS</w:t>
      </w: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suppressAutoHyphens/>
      </w:pPr>
    </w:p>
    <w:p w:rsidR="007D461E" w:rsidRDefault="007D461E" w:rsidP="007D461E">
      <w:pPr>
        <w:pStyle w:val="TextoNormal"/>
      </w:pPr>
    </w:p>
    <w:p w:rsidR="007D461E" w:rsidRDefault="007D461E" w:rsidP="007D461E">
      <w:pPr>
        <w:pStyle w:val="TextoNormal"/>
      </w:pPr>
      <w:bookmarkStart w:id="247" w:name="INDICE22805"/>
      <w:bookmarkEnd w:id="247"/>
    </w:p>
    <w:p w:rsidR="007D461E" w:rsidRDefault="007D461E" w:rsidP="007D461E">
      <w:pPr>
        <w:pStyle w:val="TextoIndiceNivel2"/>
        <w:suppressAutoHyphens/>
      </w:pPr>
      <w:r>
        <w:t>A) Tribunal Europeo de Derechos Humanos</w:t>
      </w:r>
    </w:p>
    <w:p w:rsidR="007D461E" w:rsidRDefault="007D461E" w:rsidP="007D461E">
      <w:pPr>
        <w:pStyle w:val="TextoIndiceNivel2"/>
      </w:pPr>
    </w:p>
    <w:p w:rsidR="007D461E" w:rsidRDefault="007D461E" w:rsidP="007D461E">
      <w:pPr>
        <w:pStyle w:val="TextoNormalNegritaCursivandice"/>
      </w:pPr>
      <w:r>
        <w:t>Sentencia del Tribunal Europeo de Derechos Humanos de 6 de septiembre de 1978 (Klass y otros c. Alemania)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3" w:history="1">
        <w:r w:rsidRPr="007D461E">
          <w:rPr>
            <w:rStyle w:val="TextoNormalCaracter"/>
          </w:rPr>
          <w:t>123/1997</w:t>
        </w:r>
      </w:hyperlink>
      <w:r>
        <w:t>, f. 4.</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2 de agosto de 1984 (Malone c. Reino Unido)</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23" w:history="1">
        <w:r w:rsidRPr="007D461E">
          <w:rPr>
            <w:rStyle w:val="TextoNormalCaracter"/>
          </w:rPr>
          <w:t>123/1997</w:t>
        </w:r>
      </w:hyperlink>
      <w:r>
        <w:t>, f. 4.</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7 de julio de 1989 (Unión Alimentaria Sanders, S.A. c. España)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09" w:history="1">
        <w:r w:rsidRPr="007D461E">
          <w:rPr>
            <w:rStyle w:val="TextoNormalCaracter"/>
          </w:rPr>
          <w:t>109/1997</w:t>
        </w:r>
      </w:hyperlink>
      <w:r>
        <w:t>, f. 2.</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27 de septiembre de 1990 (Windisch c. Austria)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1" w:history="1">
        <w:r w:rsidRPr="007D461E">
          <w:rPr>
            <w:rStyle w:val="TextoNormalCaracter"/>
          </w:rPr>
          <w:t>131/1997</w:t>
        </w:r>
      </w:hyperlink>
      <w:r>
        <w:t>, f. 2.</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19 de diciembre de 1990 (Delta c. Francia)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1" w:history="1">
        <w:r w:rsidRPr="007D461E">
          <w:rPr>
            <w:rStyle w:val="TextoNormalCaracter"/>
          </w:rPr>
          <w:t>131/1997</w:t>
        </w:r>
      </w:hyperlink>
      <w:r>
        <w:t>, f. 2.</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19 de febrero de 1991 (Isgrò c. Italia)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1" w:history="1">
        <w:r w:rsidRPr="007D461E">
          <w:rPr>
            <w:rStyle w:val="TextoNormalCaracter"/>
          </w:rPr>
          <w:t>131/1997</w:t>
        </w:r>
      </w:hyperlink>
      <w:r>
        <w:t>, f. 2.</w:t>
      </w:r>
    </w:p>
    <w:p w:rsidR="007D461E" w:rsidRDefault="007D461E" w:rsidP="007D461E">
      <w:pPr>
        <w:pStyle w:val="SangriaFrancesaArticulo"/>
      </w:pPr>
    </w:p>
    <w:p w:rsidR="007D461E" w:rsidRDefault="007D461E" w:rsidP="007D461E">
      <w:pPr>
        <w:pStyle w:val="TextoNormalNegritaCursivandice"/>
      </w:pPr>
      <w:r>
        <w:lastRenderedPageBreak/>
        <w:t>Sentencia del Tribunal Europeo de Derechos Humanos de 26 de abril de 1991 (Asch c. Austria)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1" w:history="1">
        <w:r w:rsidRPr="007D461E">
          <w:rPr>
            <w:rStyle w:val="TextoNormalCaracter"/>
          </w:rPr>
          <w:t>131/1997</w:t>
        </w:r>
      </w:hyperlink>
      <w:r>
        <w:t>, f. 2.</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26 de junio de 1991 (Letellier c. Francia)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27 de noviembre de 1991 (Kemmache c. Francia)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15 de junio de 1992 (Lüdi c. Suiza)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131" w:history="1">
        <w:r w:rsidRPr="007D461E">
          <w:rPr>
            <w:rStyle w:val="TextoNormalCaracter"/>
          </w:rPr>
          <w:t>131/1997</w:t>
        </w:r>
      </w:hyperlink>
      <w:r>
        <w:t>, f. 2.</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27 de agosto de 1992 (Tomasi c. Francia)</w:t>
      </w:r>
    </w:p>
    <w:p w:rsidR="007D461E" w:rsidRDefault="007D461E" w:rsidP="007D461E">
      <w:pPr>
        <w:pStyle w:val="SangriaFrancesaArticulo"/>
      </w:pPr>
      <w:r w:rsidRPr="007D461E">
        <w:rPr>
          <w:rStyle w:val="TextoNormalNegritaCaracter"/>
        </w:rPr>
        <w:t>En general.</w:t>
      </w:r>
      <w:r w:rsidRPr="007D461E">
        <w:rPr>
          <w:rStyle w:val="TextoNormalCaracter"/>
        </w:rPr>
        <w:t>-</w:t>
      </w:r>
      <w:r>
        <w:t xml:space="preserve"> Sentencia </w:t>
      </w:r>
      <w:hyperlink w:anchor="SENTENCIA_1997_98" w:history="1">
        <w:r w:rsidRPr="007D461E">
          <w:rPr>
            <w:rStyle w:val="TextoNormalCaracter"/>
          </w:rPr>
          <w:t>98/1997</w:t>
        </w:r>
      </w:hyperlink>
      <w:r>
        <w:t>, VP.</w:t>
      </w:r>
    </w:p>
    <w:p w:rsidR="007D461E" w:rsidRDefault="007D461E" w:rsidP="007D461E">
      <w:pPr>
        <w:pStyle w:val="SangriaFrancesaArticulo"/>
      </w:pPr>
    </w:p>
    <w:p w:rsidR="007D461E" w:rsidRDefault="007D461E" w:rsidP="007D461E">
      <w:pPr>
        <w:pStyle w:val="TextoNormalNegritaCursivandice"/>
      </w:pPr>
      <w:r>
        <w:t>Sentencia del Tribunal Europeo de Derechos Humanos de 12 de octubre de 1992 (T. c. Italia)</w:t>
      </w:r>
    </w:p>
    <w:p w:rsidR="007D461E" w:rsidRDefault="007D461E" w:rsidP="007D461E">
      <w:pPr>
        <w:pStyle w:val="SangriaFrancesaArticulo"/>
      </w:pPr>
      <w:r w:rsidRPr="007D461E">
        <w:rPr>
          <w:rStyle w:val="TextoNormalNegritaCaracter"/>
        </w:rPr>
        <w:t>§§ 24 a 30.</w:t>
      </w:r>
      <w:r w:rsidRPr="007D461E">
        <w:rPr>
          <w:rStyle w:val="TextoNormalCaracter"/>
        </w:rPr>
        <w:t>-</w:t>
      </w:r>
      <w:r>
        <w:t xml:space="preserve"> Sentencia </w:t>
      </w:r>
      <w:hyperlink w:anchor="SENTENCIA_1997_135" w:history="1">
        <w:r w:rsidRPr="007D461E">
          <w:rPr>
            <w:rStyle w:val="TextoNormalCaracter"/>
          </w:rPr>
          <w:t>135/1997</w:t>
        </w:r>
      </w:hyperlink>
      <w:r>
        <w:t>, f. 3.</w:t>
      </w:r>
    </w:p>
    <w:p w:rsidR="007D461E" w:rsidRDefault="007D461E">
      <w:pPr>
        <w:rPr>
          <w:rFonts w:ascii="Times New Roman" w:eastAsia="Times New Roman" w:hAnsi="Times New Roman" w:cs="Times New Roman"/>
          <w:sz w:val="24"/>
          <w:szCs w:val="24"/>
          <w:lang w:eastAsia="es-ES"/>
        </w:rPr>
      </w:pPr>
      <w:r>
        <w:br w:type="page"/>
      </w:r>
    </w:p>
    <w:p w:rsidR="007D461E" w:rsidRDefault="007D461E" w:rsidP="007D461E">
      <w:pPr>
        <w:pStyle w:val="SangriaFrancesaArticulo"/>
      </w:pPr>
      <w:bookmarkStart w:id="248" w:name="DESCRIPTOR1"/>
      <w:bookmarkStart w:id="249" w:name="DESCRIPTOR2"/>
      <w:bookmarkStart w:id="250" w:name="DESCRIPTOR3"/>
      <w:bookmarkStart w:id="251" w:name="DESCRIPTOR4"/>
      <w:bookmarkStart w:id="252" w:name="DESCRIPTOR5"/>
      <w:bookmarkStart w:id="253" w:name="DESCRIPTOR6"/>
      <w:bookmarkStart w:id="254" w:name="DESCRIPTOR7"/>
      <w:bookmarkStart w:id="255" w:name="DESCRIPTOR8"/>
      <w:bookmarkStart w:id="256" w:name="DESCRIPTOR9"/>
      <w:bookmarkStart w:id="257" w:name="DESCRIPTOR10"/>
      <w:bookmarkStart w:id="258" w:name="DESCRIPTOR11"/>
      <w:bookmarkStart w:id="259" w:name="DESCRIPTOR12"/>
      <w:bookmarkStart w:id="260" w:name="DESCRIPTOR13"/>
      <w:bookmarkStart w:id="261" w:name="DESCRIPTOR14"/>
      <w:bookmarkStart w:id="262" w:name="DESCRIPTOR15"/>
      <w:bookmarkStart w:id="263" w:name="DESCRIPTOR16"/>
      <w:bookmarkStart w:id="264" w:name="DESCRIPTOR17"/>
      <w:bookmarkStart w:id="265" w:name="DESCRIPTOR18"/>
      <w:bookmarkStart w:id="266" w:name="DESCRIPTOR19"/>
      <w:bookmarkStart w:id="267" w:name="DESCRIPTOR20"/>
      <w:bookmarkStart w:id="268" w:name="DESCRIPTOR21"/>
      <w:bookmarkStart w:id="269" w:name="DESCRIPTOR22"/>
      <w:bookmarkStart w:id="270" w:name="DESCRIPTOR23"/>
      <w:bookmarkStart w:id="271" w:name="DESCRIPTOR24"/>
      <w:bookmarkStart w:id="272" w:name="DESCRIPTOR25"/>
      <w:bookmarkStart w:id="273" w:name="DESCRIPTOR26"/>
      <w:bookmarkStart w:id="274" w:name="DESCRIPTOR27"/>
      <w:bookmarkStart w:id="275" w:name="DESCRIPTOR28"/>
      <w:bookmarkStart w:id="276" w:name="DESCRIPTOR29"/>
      <w:bookmarkStart w:id="277" w:name="DESCRIPTOR30"/>
      <w:bookmarkStart w:id="278" w:name="DESCRIPTOR31"/>
      <w:bookmarkStart w:id="279" w:name="DESCRIPTOR32"/>
      <w:bookmarkStart w:id="280" w:name="DESCRIPTOR33"/>
      <w:bookmarkStart w:id="281" w:name="DESCRIPTOR34"/>
      <w:bookmarkStart w:id="282" w:name="DESCRIPTOR35"/>
      <w:bookmarkStart w:id="283" w:name="DESCRIPTOR36"/>
      <w:bookmarkStart w:id="284" w:name="DESCRIPTOR37"/>
      <w:bookmarkStart w:id="285" w:name="DESCRIPTOR38"/>
      <w:bookmarkStart w:id="286" w:name="DESCRIPTOR39"/>
      <w:bookmarkStart w:id="287" w:name="DESCRIPTOR40"/>
      <w:bookmarkStart w:id="288" w:name="DESCRIPTOR41"/>
      <w:bookmarkStart w:id="289" w:name="DESCRIPTOR42"/>
      <w:bookmarkStart w:id="290" w:name="DESCRIPTOR43"/>
      <w:bookmarkStart w:id="291" w:name="DESCRIPTOR44"/>
      <w:bookmarkStart w:id="292" w:name="DESCRIPTOR45"/>
      <w:bookmarkStart w:id="293" w:name="DESCRIPTOR46"/>
      <w:bookmarkStart w:id="294" w:name="DESCRIPTOR47"/>
      <w:bookmarkStart w:id="295" w:name="DESCRIPTOR48"/>
      <w:bookmarkStart w:id="296" w:name="DESCRIPTOR49"/>
      <w:bookmarkStart w:id="297" w:name="DESCRIPTOR50"/>
      <w:bookmarkStart w:id="298" w:name="DESCRIPTOR51"/>
      <w:bookmarkStart w:id="299" w:name="DESCRIPTOR52"/>
      <w:bookmarkStart w:id="300" w:name="DESCRIPTOR53"/>
      <w:bookmarkStart w:id="301" w:name="DESCRIPTOR54"/>
      <w:bookmarkStart w:id="302" w:name="DESCRIPTOR55"/>
      <w:bookmarkStart w:id="303" w:name="DESCRIPTOR56"/>
      <w:bookmarkStart w:id="304" w:name="DESCRIPTOR57"/>
      <w:bookmarkStart w:id="305" w:name="DESCRIPTOR58"/>
      <w:bookmarkStart w:id="306" w:name="DESCRIPTOR59"/>
      <w:bookmarkStart w:id="307" w:name="DESCRIPTOR60"/>
      <w:bookmarkStart w:id="308" w:name="DESCRIPTOR61"/>
      <w:bookmarkStart w:id="309" w:name="DESCRIPTOR62"/>
      <w:bookmarkStart w:id="310" w:name="DESCRIPTOR63"/>
      <w:bookmarkStart w:id="311" w:name="DESCRIPTOR64"/>
      <w:bookmarkStart w:id="312" w:name="DESCRIPTOR65"/>
      <w:bookmarkStart w:id="313" w:name="DESCRIPTOR66"/>
      <w:bookmarkStart w:id="314" w:name="DESCRIPTOR67"/>
      <w:bookmarkStart w:id="315" w:name="DESCRIPTOR68"/>
      <w:bookmarkStart w:id="316" w:name="DESCRIPTOR69"/>
      <w:bookmarkStart w:id="317" w:name="DESCRIPTOR70"/>
      <w:bookmarkStart w:id="318" w:name="DESCRIPTOR71"/>
      <w:bookmarkStart w:id="319" w:name="DESCRIPTOR72"/>
      <w:bookmarkStart w:id="320" w:name="DESCRIPTOR73"/>
      <w:bookmarkStart w:id="321" w:name="DESCRIPTOR74"/>
      <w:bookmarkStart w:id="322" w:name="DESCRIPTOR75"/>
      <w:bookmarkStart w:id="323" w:name="DESCRIPTOR76"/>
      <w:bookmarkStart w:id="324" w:name="DESCRIPTOR77"/>
      <w:bookmarkStart w:id="325" w:name="DESCRIPTOR78"/>
      <w:bookmarkStart w:id="326" w:name="DESCRIPTOR79"/>
      <w:bookmarkStart w:id="327" w:name="DESCRIPTOR80"/>
      <w:bookmarkStart w:id="328" w:name="DESCRIPTOR81"/>
      <w:bookmarkStart w:id="329" w:name="DESCRIPTOR82"/>
      <w:bookmarkStart w:id="330" w:name="DESCRIPTOR83"/>
      <w:bookmarkStart w:id="331" w:name="DESCRIPTOR84"/>
      <w:bookmarkStart w:id="332" w:name="DESCRIPTOR85"/>
      <w:bookmarkStart w:id="333" w:name="DESCRIPTOR86"/>
      <w:bookmarkStart w:id="334" w:name="DESCRIPTOR87"/>
      <w:bookmarkStart w:id="335" w:name="DESCRIPTOR88"/>
      <w:bookmarkStart w:id="336" w:name="DESCRIPTOR89"/>
      <w:bookmarkStart w:id="337" w:name="DESCRIPTOR90"/>
      <w:bookmarkStart w:id="338" w:name="DESCRIPTOR91"/>
      <w:bookmarkStart w:id="339" w:name="DESCRIPTOR92"/>
      <w:bookmarkStart w:id="340" w:name="DESCRIPTOR93"/>
      <w:bookmarkStart w:id="341" w:name="DESCRIPTOR94"/>
      <w:bookmarkStart w:id="342" w:name="DESCRIPTOR95"/>
      <w:bookmarkStart w:id="343" w:name="DESCRIPTOR96"/>
      <w:bookmarkStart w:id="344" w:name="DESCRIPTOR97"/>
      <w:bookmarkStart w:id="345" w:name="DESCRIPTOR98"/>
      <w:bookmarkStart w:id="346" w:name="DESCRIPTOR99"/>
      <w:bookmarkStart w:id="347" w:name="DESCRIPTOR100"/>
      <w:bookmarkStart w:id="348" w:name="DESCRIPTOR101"/>
      <w:bookmarkStart w:id="349" w:name="DESCRIPTOR102"/>
      <w:bookmarkStart w:id="350" w:name="DESCRIPTOR103"/>
      <w:bookmarkStart w:id="351" w:name="DESCRIPTOR104"/>
      <w:bookmarkStart w:id="352" w:name="DESCRIPTOR105"/>
      <w:bookmarkStart w:id="353" w:name="DESCRIPTOR106"/>
      <w:bookmarkStart w:id="354" w:name="DESCRIPTOR107"/>
      <w:bookmarkStart w:id="355" w:name="DESCRIPTOR108"/>
      <w:bookmarkStart w:id="356" w:name="DESCRIPTOR109"/>
      <w:bookmarkStart w:id="357" w:name="DESCRIPTOR110"/>
      <w:bookmarkStart w:id="358" w:name="DESCRIPTOR111"/>
      <w:bookmarkStart w:id="359" w:name="DESCRIPTOR112"/>
      <w:bookmarkStart w:id="360" w:name="DESCRIPTOR113"/>
      <w:bookmarkStart w:id="361" w:name="DESCRIPTOR114"/>
      <w:bookmarkStart w:id="362" w:name="DESCRIPTOR115"/>
      <w:bookmarkStart w:id="363" w:name="DESCRIPTOR116"/>
      <w:bookmarkStart w:id="364" w:name="DESCRIPTOR117"/>
      <w:bookmarkStart w:id="365" w:name="DESCRIPTOR118"/>
      <w:bookmarkStart w:id="366" w:name="DESCRIPTOR119"/>
      <w:bookmarkStart w:id="367" w:name="DESCRIPTOR120"/>
      <w:bookmarkStart w:id="368" w:name="DESCRIPTOR121"/>
      <w:bookmarkStart w:id="369" w:name="DESCRIPTOR122"/>
      <w:bookmarkStart w:id="370" w:name="DESCRIPTOR123"/>
      <w:bookmarkStart w:id="371" w:name="DESCRIPTOR124"/>
      <w:bookmarkStart w:id="372" w:name="DESCRIPTOR125"/>
      <w:bookmarkStart w:id="373" w:name="DESCRIPTOR126"/>
      <w:bookmarkStart w:id="374" w:name="DESCRIPTOR127"/>
      <w:bookmarkStart w:id="375" w:name="DESCRIPTOR128"/>
      <w:bookmarkStart w:id="376" w:name="DESCRIPTOR129"/>
      <w:bookmarkStart w:id="377" w:name="DESCRIPTOR130"/>
      <w:bookmarkStart w:id="378" w:name="DESCRIPTOR131"/>
      <w:bookmarkStart w:id="379" w:name="DESCRIPTOR132"/>
      <w:bookmarkStart w:id="380" w:name="DESCRIPTOR133"/>
      <w:bookmarkStart w:id="381" w:name="DESCRIPTOR134"/>
      <w:bookmarkStart w:id="382" w:name="DESCRIPTOR135"/>
      <w:bookmarkStart w:id="383" w:name="DESCRIPTOR136"/>
      <w:bookmarkStart w:id="384" w:name="DESCRIPTOR137"/>
      <w:bookmarkStart w:id="385" w:name="DESCRIPTOR138"/>
      <w:bookmarkStart w:id="386" w:name="DESCRIPTOR139"/>
      <w:bookmarkStart w:id="387" w:name="DESCRIPTOR140"/>
      <w:bookmarkStart w:id="388" w:name="DESCRIPTOR141"/>
      <w:bookmarkStart w:id="389" w:name="DESCRIPTOR142"/>
      <w:bookmarkStart w:id="390" w:name="DESCRIPTOR143"/>
      <w:bookmarkStart w:id="391" w:name="DESCRIPTOR144"/>
      <w:bookmarkStart w:id="392" w:name="DESCRIPTOR145"/>
      <w:bookmarkStart w:id="393" w:name="DESCRIPTOR146"/>
      <w:bookmarkStart w:id="394" w:name="DESCRIPTOR147"/>
      <w:bookmarkStart w:id="395" w:name="DESCRIPTOR148"/>
      <w:bookmarkStart w:id="396" w:name="DESCRIPTOR149"/>
      <w:bookmarkStart w:id="397" w:name="DESCRIPTOR150"/>
      <w:bookmarkStart w:id="398" w:name="DESCRIPTOR151"/>
      <w:bookmarkStart w:id="399" w:name="DESCRIPTOR152"/>
      <w:bookmarkStart w:id="400" w:name="DESCRIPTOR153"/>
      <w:bookmarkStart w:id="401" w:name="DESCRIPTOR154"/>
      <w:bookmarkStart w:id="402" w:name="DESCRIPTOR155"/>
      <w:bookmarkStart w:id="403" w:name="DESCRIPTOR156"/>
      <w:bookmarkStart w:id="404" w:name="DESCRIPTOR157"/>
      <w:bookmarkStart w:id="405" w:name="DESCRIPTOR158"/>
      <w:bookmarkStart w:id="406" w:name="DESCRIPTOR159"/>
      <w:bookmarkStart w:id="407" w:name="DESCRIPTOR160"/>
      <w:bookmarkStart w:id="408" w:name="DESCRIPTOR161"/>
      <w:bookmarkStart w:id="409" w:name="DESCRIPTOR162"/>
      <w:bookmarkStart w:id="410" w:name="DESCRIPTOR163"/>
      <w:bookmarkStart w:id="411" w:name="DESCRIPTOR164"/>
      <w:bookmarkStart w:id="412" w:name="DESCRIPTOR165"/>
      <w:bookmarkStart w:id="413" w:name="DESCRIPTOR166"/>
      <w:bookmarkStart w:id="414" w:name="DESCRIPTOR167"/>
      <w:bookmarkStart w:id="415" w:name="DESCRIPTOR168"/>
      <w:bookmarkStart w:id="416" w:name="DESCRIPTOR169"/>
      <w:bookmarkStart w:id="417" w:name="DESCRIPTOR170"/>
      <w:bookmarkStart w:id="418" w:name="DESCRIPTOR171"/>
      <w:bookmarkStart w:id="419" w:name="DESCRIPTOR172"/>
      <w:bookmarkStart w:id="420" w:name="DESCRIPTOR173"/>
      <w:bookmarkStart w:id="421" w:name="DESCRIPTOR174"/>
      <w:bookmarkStart w:id="422" w:name="DESCRIPTOR175"/>
      <w:bookmarkStart w:id="423" w:name="DESCRIPTOR176"/>
      <w:bookmarkStart w:id="424" w:name="DESCRIPTOR177"/>
      <w:bookmarkStart w:id="425" w:name="DESCRIPTOR178"/>
      <w:bookmarkStart w:id="426" w:name="DESCRIPTOR179"/>
      <w:bookmarkStart w:id="427" w:name="DESCRIPTOR180"/>
      <w:bookmarkStart w:id="428" w:name="DESCRIPTOR181"/>
      <w:bookmarkStart w:id="429" w:name="DESCRIPTOR182"/>
      <w:bookmarkStart w:id="430" w:name="DESCRIPTOR183"/>
      <w:bookmarkStart w:id="431" w:name="DESCRIPTOR184"/>
      <w:bookmarkStart w:id="432" w:name="DESCRIPTOR185"/>
      <w:bookmarkStart w:id="433" w:name="DESCRIPTOR186"/>
      <w:bookmarkStart w:id="434" w:name="DESCRIPTOR187"/>
      <w:bookmarkStart w:id="435" w:name="DESCRIPTOR188"/>
      <w:bookmarkStart w:id="436" w:name="DESCRIPTOR189"/>
      <w:bookmarkStart w:id="437" w:name="DESCRIPTOR190"/>
      <w:bookmarkStart w:id="438" w:name="DESCRIPTOR191"/>
      <w:bookmarkStart w:id="439" w:name="DESCRIPTOR192"/>
      <w:bookmarkStart w:id="440" w:name="DESCRIPTOR193"/>
      <w:bookmarkStart w:id="441" w:name="DESCRIPTOR194"/>
      <w:bookmarkStart w:id="442" w:name="DESCRIPTOR195"/>
      <w:bookmarkStart w:id="443" w:name="DESCRIPTOR196"/>
      <w:bookmarkStart w:id="444" w:name="DESCRIPTOR197"/>
      <w:bookmarkStart w:id="445" w:name="DESCRIPTOR198"/>
      <w:bookmarkStart w:id="446" w:name="DESCRIPTOR199"/>
      <w:bookmarkStart w:id="447" w:name="DESCRIPTOR200"/>
      <w:bookmarkStart w:id="448" w:name="DESCRIPTOR201"/>
      <w:bookmarkStart w:id="449" w:name="DESCRIPTOR202"/>
      <w:bookmarkStart w:id="450" w:name="DESCRIPTOR203"/>
      <w:bookmarkStart w:id="451" w:name="DESCRIPTOR204"/>
      <w:bookmarkStart w:id="452" w:name="DESCRIPTOR205"/>
      <w:bookmarkStart w:id="453" w:name="DESCRIPTOR206"/>
      <w:bookmarkStart w:id="454" w:name="DESCRIPTOR207"/>
      <w:bookmarkStart w:id="455" w:name="DESCRIPTOR208"/>
      <w:bookmarkStart w:id="456" w:name="DESCRIPTOR209"/>
      <w:bookmarkStart w:id="457" w:name="DESCRIPTOR210"/>
      <w:bookmarkStart w:id="458" w:name="DESCRIPTOR211"/>
      <w:bookmarkStart w:id="459" w:name="DESCRIPTOR212"/>
      <w:bookmarkStart w:id="460" w:name="DESCRIPTOR213"/>
      <w:bookmarkStart w:id="461" w:name="DESCRIPTOR214"/>
      <w:bookmarkStart w:id="462" w:name="DESCRIPTOR215"/>
      <w:bookmarkStart w:id="463" w:name="DESCRIPTOR216"/>
      <w:bookmarkStart w:id="464" w:name="DESCRIPTOR217"/>
      <w:bookmarkStart w:id="465" w:name="DESCRIPTOR218"/>
      <w:bookmarkStart w:id="466" w:name="DESCRIPTOR219"/>
      <w:bookmarkStart w:id="467" w:name="DESCRIPTOR220"/>
      <w:bookmarkStart w:id="468" w:name="DESCRIPTOR221"/>
      <w:bookmarkStart w:id="469" w:name="DESCRIPTOR222"/>
      <w:bookmarkStart w:id="470" w:name="DESCRIPTOR223"/>
      <w:bookmarkStart w:id="471" w:name="DESCRIPTOR224"/>
      <w:bookmarkStart w:id="472" w:name="DESCRIPTOR225"/>
      <w:bookmarkStart w:id="473" w:name="DESCRIPTOR226"/>
      <w:bookmarkStart w:id="474" w:name="DESCRIPTOR227"/>
      <w:bookmarkStart w:id="475" w:name="DESCRIPTOR228"/>
      <w:bookmarkStart w:id="476" w:name="DESCRIPTOR229"/>
      <w:bookmarkStart w:id="477" w:name="DESCRIPTOR230"/>
      <w:bookmarkStart w:id="478" w:name="DESCRIPTOR231"/>
      <w:bookmarkStart w:id="479" w:name="DESCRIPTOR232"/>
      <w:bookmarkStart w:id="480" w:name="DESCRIPTOR233"/>
      <w:bookmarkStart w:id="481" w:name="DESCRIPTOR234"/>
      <w:bookmarkStart w:id="482" w:name="DESCRIPTOR235"/>
      <w:bookmarkStart w:id="483" w:name="DESCRIPTOR236"/>
      <w:bookmarkStart w:id="484" w:name="DESCRIPTOR237"/>
      <w:bookmarkStart w:id="485" w:name="DESCRIPTOR238"/>
      <w:bookmarkStart w:id="486" w:name="DESCRIPTOR239"/>
      <w:bookmarkStart w:id="487" w:name="DESCRIPTOR240"/>
      <w:bookmarkStart w:id="488" w:name="DESCRIPTOR241"/>
      <w:bookmarkStart w:id="489" w:name="DESCRIPTOR242"/>
      <w:bookmarkStart w:id="490" w:name="DESCRIPTOR243"/>
      <w:bookmarkStart w:id="491" w:name="DESCRIPTOR244"/>
      <w:bookmarkStart w:id="492" w:name="DESCRIPTOR245"/>
      <w:bookmarkStart w:id="493" w:name="DESCRIPTOR246"/>
      <w:bookmarkStart w:id="494" w:name="DESCRIPTOR247"/>
      <w:bookmarkStart w:id="495" w:name="DESCRIPTOR248"/>
      <w:bookmarkStart w:id="496" w:name="DESCRIPTOR249"/>
      <w:bookmarkStart w:id="497" w:name="DESCRIPTOR250"/>
      <w:bookmarkStart w:id="498" w:name="DESCRIPTOR251"/>
      <w:bookmarkStart w:id="499" w:name="DESCRIPTOR252"/>
      <w:bookmarkStart w:id="500" w:name="DESCRIPTOR253"/>
      <w:bookmarkStart w:id="501" w:name="DESCRIPTOR254"/>
      <w:bookmarkStart w:id="502" w:name="DESCRIPTOR255"/>
      <w:bookmarkStart w:id="503" w:name="DESCRIPTOR256"/>
      <w:bookmarkStart w:id="504" w:name="DESCRIPTOR257"/>
      <w:bookmarkStart w:id="505" w:name="DESCRIPTOR258"/>
      <w:bookmarkStart w:id="506" w:name="DESCRIPTOR259"/>
      <w:bookmarkStart w:id="507" w:name="DESCRIPTOR260"/>
      <w:bookmarkStart w:id="508" w:name="DESCRIPTOR261"/>
      <w:bookmarkStart w:id="509" w:name="DESCRIPTOR262"/>
      <w:bookmarkStart w:id="510" w:name="DESCRIPTOR263"/>
      <w:bookmarkStart w:id="511" w:name="DESCRIPTOR264"/>
      <w:bookmarkStart w:id="512" w:name="DESCRIPTOR265"/>
      <w:bookmarkStart w:id="513" w:name="DESCRIPTOR266"/>
      <w:bookmarkStart w:id="514" w:name="DESCRIPTOR267"/>
      <w:bookmarkStart w:id="515" w:name="DESCRIPTOR268"/>
      <w:bookmarkStart w:id="516" w:name="DESCRIPTOR269"/>
      <w:bookmarkStart w:id="517" w:name="DESCRIPTOR270"/>
      <w:bookmarkStart w:id="518" w:name="DESCRIPTOR271"/>
      <w:bookmarkStart w:id="519" w:name="DESCRIPTOR272"/>
      <w:bookmarkStart w:id="520" w:name="DESCRIPTOR273"/>
      <w:bookmarkStart w:id="521" w:name="DESCRIPTOR274"/>
      <w:bookmarkStart w:id="522" w:name="DESCRIPTOR275"/>
      <w:bookmarkStart w:id="523" w:name="DESCRIPTOR276"/>
      <w:bookmarkStart w:id="524" w:name="DESCRIPTOR277"/>
      <w:bookmarkStart w:id="525" w:name="DESCRIPTOR278"/>
      <w:bookmarkStart w:id="526" w:name="DESCRIPTOR279"/>
      <w:bookmarkStart w:id="527" w:name="DESCRIPTOR280"/>
      <w:bookmarkStart w:id="528" w:name="DESCRIPTOR281"/>
      <w:bookmarkStart w:id="529" w:name="DESCRIPTOR282"/>
      <w:bookmarkStart w:id="530" w:name="DESCRIPTOR283"/>
      <w:bookmarkStart w:id="531" w:name="DESCRIPTOR284"/>
      <w:bookmarkStart w:id="532" w:name="DESCRIPTOR285"/>
      <w:bookmarkStart w:id="533" w:name="DESCRIPTOR286"/>
      <w:bookmarkStart w:id="534" w:name="DESCRIPTOR287"/>
      <w:bookmarkStart w:id="535" w:name="DESCRIPTOR288"/>
      <w:bookmarkStart w:id="536" w:name="DESCRIPTOR289"/>
      <w:bookmarkStart w:id="537" w:name="DESCRIPTOR290"/>
      <w:bookmarkStart w:id="538" w:name="DESCRIPTOR291"/>
      <w:bookmarkStart w:id="539" w:name="DESCRIPTOR292"/>
      <w:bookmarkStart w:id="540" w:name="DESCRIPTOR293"/>
      <w:bookmarkStart w:id="541" w:name="DESCRIPTOR294"/>
      <w:bookmarkStart w:id="542" w:name="DESCRIPTOR295"/>
      <w:bookmarkStart w:id="543" w:name="DESCRIPTOR296"/>
      <w:bookmarkStart w:id="544" w:name="DESCRIPTOR297"/>
      <w:bookmarkStart w:id="545" w:name="DESCRIPTOR298"/>
      <w:bookmarkStart w:id="546" w:name="DESCRIPTOR299"/>
      <w:bookmarkStart w:id="547" w:name="DESCRIPTOR300"/>
      <w:bookmarkStart w:id="548" w:name="DESCRIPTOR301"/>
      <w:bookmarkStart w:id="549" w:name="DESCRIPTOR302"/>
      <w:bookmarkStart w:id="550" w:name="DESCRIPTOR303"/>
      <w:bookmarkStart w:id="551" w:name="DESCRIPTOR304"/>
      <w:bookmarkStart w:id="552" w:name="DESCRIPTOR305"/>
      <w:bookmarkStart w:id="553" w:name="DESCRIPTOR306"/>
      <w:bookmarkStart w:id="554" w:name="DESCRIPTOR307"/>
      <w:bookmarkStart w:id="555" w:name="DESCRIPTOR308"/>
      <w:bookmarkStart w:id="556" w:name="DESCRIPTOR309"/>
      <w:bookmarkStart w:id="557" w:name="DESCRIPTOR310"/>
      <w:bookmarkStart w:id="558" w:name="DESCRIPTOR311"/>
      <w:bookmarkStart w:id="559" w:name="DESCRIPTOR312"/>
      <w:bookmarkStart w:id="560" w:name="DESCRIPTOR313"/>
      <w:bookmarkStart w:id="561" w:name="DESCRIPTOR314"/>
      <w:bookmarkStart w:id="562" w:name="DESCRIPTOR315"/>
      <w:bookmarkStart w:id="563" w:name="DESCRIPTOR316"/>
      <w:bookmarkStart w:id="564" w:name="DESCRIPTOR317"/>
      <w:bookmarkStart w:id="565" w:name="DESCRIPTOR318"/>
      <w:bookmarkStart w:id="566" w:name="DESCRIPTOR319"/>
      <w:bookmarkStart w:id="567" w:name="DESCRIPTOR320"/>
      <w:bookmarkStart w:id="568" w:name="DESCRIPTOR321"/>
      <w:bookmarkStart w:id="569" w:name="DESCRIPTOR322"/>
      <w:bookmarkStart w:id="570" w:name="DESCRIPTOR323"/>
      <w:bookmarkStart w:id="571" w:name="DESCRIPTOR324"/>
      <w:bookmarkStart w:id="572" w:name="DESCRIPTOR325"/>
      <w:bookmarkStart w:id="573" w:name="DESCRIPTOR326"/>
      <w:bookmarkStart w:id="574" w:name="DESCRIPTOR327"/>
      <w:bookmarkStart w:id="575" w:name="DESCRIPTOR328"/>
      <w:bookmarkStart w:id="576" w:name="DESCRIPTOR329"/>
      <w:bookmarkStart w:id="577" w:name="DESCRIPTOR330"/>
      <w:bookmarkStart w:id="578" w:name="DESCRIPTOR331"/>
      <w:bookmarkStart w:id="579" w:name="DESCRIPTOR332"/>
      <w:bookmarkStart w:id="580" w:name="DESCRIPTOR333"/>
      <w:bookmarkStart w:id="581" w:name="DESCRIPTOR334"/>
      <w:bookmarkStart w:id="582" w:name="DESCRIPTOR335"/>
      <w:bookmarkStart w:id="583" w:name="DESCRIPTOR336"/>
      <w:bookmarkStart w:id="584" w:name="DESCRIPTOR337"/>
      <w:bookmarkStart w:id="585" w:name="DESCRIPTOR338"/>
      <w:bookmarkStart w:id="586" w:name="DESCRIPTOR339"/>
      <w:bookmarkStart w:id="587" w:name="DESCRIPTOR340"/>
      <w:bookmarkStart w:id="588" w:name="DESCRIPTOR341"/>
      <w:bookmarkStart w:id="589" w:name="DESCRIPTOR342"/>
      <w:bookmarkStart w:id="590" w:name="DESCRIPTOR343"/>
      <w:bookmarkStart w:id="591" w:name="DESCRIPTOR344"/>
      <w:bookmarkStart w:id="592" w:name="DESCRIPTOR345"/>
      <w:bookmarkStart w:id="593" w:name="DESCRIPTOR346"/>
      <w:bookmarkStart w:id="594" w:name="DESCRIPTOR347"/>
      <w:bookmarkStart w:id="595" w:name="DESCRIPTOR348"/>
      <w:bookmarkStart w:id="596" w:name="DESCRIPTOR349"/>
      <w:bookmarkStart w:id="597" w:name="DESCRIPTOR350"/>
      <w:bookmarkStart w:id="598" w:name="DESCRIPTOR351"/>
      <w:bookmarkStart w:id="599" w:name="DESCRIPTOR352"/>
      <w:bookmarkStart w:id="600" w:name="DESCRIPTOR353"/>
      <w:bookmarkStart w:id="601" w:name="DESCRIPTOR354"/>
      <w:bookmarkStart w:id="602" w:name="DESCRIPTOR355"/>
      <w:bookmarkStart w:id="603" w:name="DESCRIPTOR356"/>
      <w:bookmarkStart w:id="604" w:name="DESCRIPTOR357"/>
      <w:bookmarkStart w:id="605" w:name="DESCRIPTOR358"/>
      <w:bookmarkStart w:id="606" w:name="DESCRIPTOR359"/>
      <w:bookmarkStart w:id="607" w:name="DESCRIPTOR360"/>
      <w:bookmarkStart w:id="608" w:name="DESCRIPTOR361"/>
      <w:bookmarkStart w:id="609" w:name="DESCRIPTOR362"/>
      <w:bookmarkStart w:id="610" w:name="DESCRIPTOR363"/>
      <w:bookmarkStart w:id="611" w:name="DESCRIPTOR364"/>
      <w:bookmarkStart w:id="612" w:name="DESCRIPTOR365"/>
      <w:bookmarkStart w:id="613" w:name="DESCRIPTOR366"/>
      <w:bookmarkStart w:id="614" w:name="DESCRIPTOR367"/>
      <w:bookmarkStart w:id="615" w:name="DESCRIPTOR368"/>
      <w:bookmarkStart w:id="616" w:name="DESCRIPTOR369"/>
      <w:bookmarkStart w:id="617" w:name="DESCRIPTOR370"/>
      <w:bookmarkStart w:id="618" w:name="DESCRIPTOR371"/>
      <w:bookmarkStart w:id="619" w:name="DESCRIPTOR372"/>
      <w:bookmarkStart w:id="620" w:name="DESCRIPTOR373"/>
      <w:bookmarkStart w:id="621" w:name="DESCRIPTOR374"/>
      <w:bookmarkStart w:id="622" w:name="DESCRIPTOR375"/>
      <w:bookmarkStart w:id="623" w:name="DESCRIPTOR376"/>
      <w:bookmarkStart w:id="624" w:name="DESCRIPTOR377"/>
      <w:bookmarkStart w:id="625" w:name="DESCRIPTOR378"/>
      <w:bookmarkStart w:id="626" w:name="DESCRIPTOR379"/>
      <w:bookmarkStart w:id="627" w:name="DESCRIPTOR380"/>
      <w:bookmarkStart w:id="628" w:name="DESCRIPTOR381"/>
      <w:bookmarkStart w:id="629" w:name="DESCRIPTOR382"/>
      <w:bookmarkStart w:id="630" w:name="DESCRIPTOR383"/>
      <w:bookmarkStart w:id="631" w:name="DESCRIPTOR384"/>
      <w:bookmarkStart w:id="632" w:name="DESCRIPTOR385"/>
      <w:bookmarkStart w:id="633" w:name="DESCRIPTOR386"/>
      <w:bookmarkStart w:id="634" w:name="DESCRIPTOR387"/>
      <w:bookmarkStart w:id="635" w:name="DESCRIPTOR388"/>
      <w:bookmarkStart w:id="636" w:name="DESCRIPTOR389"/>
      <w:bookmarkStart w:id="637" w:name="DESCRIPTOR390"/>
      <w:bookmarkStart w:id="638" w:name="DESCRIPTOR391"/>
      <w:bookmarkStart w:id="639" w:name="DESCRIPTOR392"/>
      <w:bookmarkStart w:id="640" w:name="DESCRIPTOR393"/>
      <w:bookmarkStart w:id="641" w:name="DESCRIPTOR394"/>
      <w:bookmarkStart w:id="642" w:name="DESCRIPTOR395"/>
      <w:bookmarkStart w:id="643" w:name="DESCRIPTOR396"/>
      <w:bookmarkStart w:id="644" w:name="DESCRIPTOR397"/>
      <w:bookmarkStart w:id="645" w:name="DESCRIPTOR398"/>
      <w:bookmarkStart w:id="646" w:name="DESCRIPTOR399"/>
      <w:bookmarkStart w:id="647" w:name="DESCRIPTOR400"/>
      <w:bookmarkStart w:id="648" w:name="DESCRIPTOR401"/>
      <w:bookmarkStart w:id="649" w:name="DESCRIPTOR402"/>
      <w:bookmarkStart w:id="650" w:name="DESCRIPTOR403"/>
      <w:bookmarkStart w:id="651" w:name="DESCRIPTOR404"/>
      <w:bookmarkStart w:id="652" w:name="DESCRIPTOR405"/>
      <w:bookmarkStart w:id="653" w:name="DESCRIPTOR406"/>
      <w:bookmarkStart w:id="654" w:name="DESCRIPTOR407"/>
      <w:bookmarkStart w:id="655" w:name="DESCRIPTOR408"/>
      <w:bookmarkStart w:id="656" w:name="DESCRIPTOR409"/>
      <w:bookmarkStart w:id="657" w:name="DESCRIPTOR410"/>
      <w:bookmarkStart w:id="658" w:name="DESCRIPTOR411"/>
      <w:bookmarkStart w:id="659" w:name="DESCRIPTOR412"/>
      <w:bookmarkStart w:id="660" w:name="DESCRIPTOR413"/>
      <w:bookmarkStart w:id="661" w:name="DESCRIPTOR414"/>
      <w:bookmarkStart w:id="662" w:name="DESCRIPTOR415"/>
      <w:bookmarkStart w:id="663" w:name="DESCRIPTOR416"/>
      <w:bookmarkStart w:id="664" w:name="DESCRIPTOR417"/>
      <w:bookmarkStart w:id="665" w:name="DESCRIPTOR418"/>
      <w:bookmarkStart w:id="666" w:name="DESCRIPTOR419"/>
      <w:bookmarkStart w:id="667" w:name="DESCRIPTOR420"/>
      <w:bookmarkStart w:id="668" w:name="DESCRIPTOR421"/>
      <w:bookmarkStart w:id="669" w:name="DESCRIPTOR422"/>
      <w:bookmarkStart w:id="670" w:name="DESCRIPTOR423"/>
      <w:bookmarkStart w:id="671" w:name="DESCRIPTOR424"/>
      <w:bookmarkStart w:id="672" w:name="DESCRIPTOR425"/>
      <w:bookmarkStart w:id="673" w:name="DESCRIPTOR426"/>
      <w:bookmarkStart w:id="674" w:name="INDICE5ALFABETICO"/>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rsidR="008E589A" w:rsidRDefault="008E589A" w:rsidP="008E589A">
      <w:pPr>
        <w:pStyle w:val="TextoNormal"/>
      </w:pPr>
    </w:p>
    <w:p w:rsidR="008E589A" w:rsidRDefault="008E589A" w:rsidP="008E589A">
      <w:pPr>
        <w:pStyle w:val="TextoNormal"/>
      </w:pPr>
    </w:p>
    <w:p w:rsidR="008E589A" w:rsidRDefault="008E589A" w:rsidP="008E589A">
      <w:pPr>
        <w:pStyle w:val="TextoNormal"/>
      </w:pPr>
    </w:p>
    <w:p w:rsidR="008E589A" w:rsidRDefault="008E589A" w:rsidP="008E589A">
      <w:pPr>
        <w:pStyle w:val="Ttulondice"/>
      </w:pPr>
      <w:r>
        <w:t>7. ÍNDICE ANALÍTICO</w:t>
      </w:r>
    </w:p>
    <w:p w:rsidR="008E589A" w:rsidRDefault="008E589A" w:rsidP="008E589A">
      <w:pPr>
        <w:pStyle w:val="TextoNormal"/>
      </w:pPr>
    </w:p>
    <w:p w:rsidR="008E589A" w:rsidRDefault="008E589A" w:rsidP="008E589A">
      <w:pPr>
        <w:pStyle w:val="Ttulondice"/>
      </w:pPr>
    </w:p>
    <w:p w:rsidR="008E589A" w:rsidRDefault="008E589A" w:rsidP="008E589A">
      <w:pPr>
        <w:pStyle w:val="Ttulondice"/>
      </w:pPr>
    </w:p>
    <w:p w:rsidR="008E589A" w:rsidRDefault="008E589A" w:rsidP="008E589A">
      <w:pPr>
        <w:pStyle w:val="Ttulondice"/>
      </w:pPr>
    </w:p>
    <w:p w:rsidR="008E589A" w:rsidRDefault="008E589A" w:rsidP="008E589A">
      <w:pPr>
        <w:pStyle w:val="Ttulondice"/>
      </w:pPr>
    </w:p>
    <w:p w:rsidR="008E589A" w:rsidRDefault="008E589A" w:rsidP="008E589A">
      <w:pPr>
        <w:pStyle w:val="Ttulondice"/>
      </w:pPr>
    </w:p>
    <w:p w:rsidR="008E589A" w:rsidRDefault="008E589A" w:rsidP="008E589A">
      <w:pPr>
        <w:pStyle w:val="Ttulondice"/>
      </w:pPr>
    </w:p>
    <w:p w:rsidR="008E589A" w:rsidRDefault="008E589A" w:rsidP="008E589A">
      <w:pPr>
        <w:pStyle w:val="Ttulondice"/>
      </w:pPr>
    </w:p>
    <w:p w:rsidR="008E589A" w:rsidRDefault="008E589A" w:rsidP="008E589A">
      <w:pPr>
        <w:pStyle w:val="TextoNormalNegritaCentrado"/>
      </w:pPr>
      <w:r>
        <w:t>A</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675" w:name="DESCRIPTORALFABETICO39"/>
      <w:r w:rsidRPr="008E589A">
        <w:rPr>
          <w:rStyle w:val="TextoNormalNegritaCaracter"/>
        </w:rPr>
        <w:t>Acceso a la justicia</w:t>
      </w:r>
      <w:bookmarkEnd w:id="675"/>
      <w:r w:rsidRPr="008E589A">
        <w:rPr>
          <w:rStyle w:val="TextoNormalCaracter"/>
        </w:rPr>
        <w:t xml:space="preserve">, Sentencias </w:t>
      </w:r>
      <w:hyperlink w:anchor="SENTENCIA_1997_112" w:history="1">
        <w:r w:rsidRPr="008E589A">
          <w:rPr>
            <w:rStyle w:val="TextoNormalCaracter"/>
          </w:rPr>
          <w:t>112/1997</w:t>
        </w:r>
      </w:hyperlink>
      <w:r w:rsidRPr="008E589A">
        <w:rPr>
          <w:rStyle w:val="TextoNormalCaracter"/>
        </w:rPr>
        <w:t xml:space="preserve">, ff. 4, 6; </w:t>
      </w:r>
      <w:hyperlink w:anchor="SENTENCIA_1997_119" w:history="1">
        <w:r w:rsidRPr="008E589A">
          <w:rPr>
            <w:rStyle w:val="TextoNormalCaracter"/>
          </w:rPr>
          <w:t>119/1997</w:t>
        </w:r>
      </w:hyperlink>
      <w:r w:rsidRPr="008E589A">
        <w:rPr>
          <w:rStyle w:val="TextoNormalCaracter"/>
        </w:rPr>
        <w:t xml:space="preserve">, f. 2; </w:t>
      </w:r>
      <w:hyperlink w:anchor="SENTENCIA_1997_120" w:history="1">
        <w:r w:rsidRPr="008E589A">
          <w:rPr>
            <w:rStyle w:val="TextoNormalCaracter"/>
          </w:rPr>
          <w:t>120/1997</w:t>
        </w:r>
      </w:hyperlink>
      <w:r w:rsidRPr="008E589A">
        <w:rPr>
          <w:rStyle w:val="TextoNormalCaracter"/>
        </w:rPr>
        <w:t xml:space="preserve">, ff. 1, 2, 3, 4, 5; </w:t>
      </w:r>
      <w:hyperlink w:anchor="SENTENCIA_1997_138" w:history="1">
        <w:r w:rsidRPr="008E589A">
          <w:rPr>
            <w:rStyle w:val="TextoNormalCaracter"/>
          </w:rPr>
          <w:t>138/1997</w:t>
        </w:r>
      </w:hyperlink>
      <w:r w:rsidRPr="008E589A">
        <w:rPr>
          <w:rStyle w:val="TextoNormalCaracter"/>
        </w:rPr>
        <w:t>, ff. 1, 2, 3, 4, 5, 6.</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 </w:t>
      </w:r>
      <w:hyperlink w:anchor="SENTENCIA_1997_112" w:history="1">
        <w:r w:rsidRPr="008E589A">
          <w:rPr>
            <w:rStyle w:val="TextoNormalCaracter"/>
          </w:rPr>
          <w:t>112/1997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112" w:history="1">
        <w:r w:rsidRPr="008E589A">
          <w:rPr>
            <w:rStyle w:val="TextoNormalCaracter"/>
          </w:rPr>
          <w:t>112/1997</w:t>
        </w:r>
      </w:hyperlink>
      <w:r w:rsidRPr="008E589A">
        <w:rPr>
          <w:rStyle w:val="TextoNormalCaracter"/>
        </w:rPr>
        <w:t>, ff. 1, 2, 3, 4, 5, 6.</w:t>
      </w:r>
    </w:p>
    <w:p w:rsidR="008E589A" w:rsidRPr="008E589A" w:rsidRDefault="008E589A" w:rsidP="008E589A">
      <w:pPr>
        <w:pStyle w:val="TextoNormalSangraFrancesa"/>
        <w:rPr>
          <w:rStyle w:val="TextoNormalCaracter"/>
        </w:rPr>
      </w:pPr>
      <w:bookmarkStart w:id="676" w:name="DESCRIPTORALFABETICO40"/>
      <w:r w:rsidRPr="008E589A">
        <w:rPr>
          <w:rStyle w:val="TextoNormalNegritaCaracter"/>
        </w:rPr>
        <w:t>Acceso a la justicia penal</w:t>
      </w:r>
      <w:bookmarkEnd w:id="676"/>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120" w:history="1">
        <w:r w:rsidRPr="008E589A">
          <w:rPr>
            <w:rStyle w:val="TextoNormalCaracter"/>
          </w:rPr>
          <w:t>120/1997</w:t>
        </w:r>
      </w:hyperlink>
      <w:r w:rsidRPr="008E589A">
        <w:rPr>
          <w:rStyle w:val="TextoNormalCaracter"/>
        </w:rPr>
        <w:t>, ff. 1, 2, 3, 4, 5.</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116" w:history="1">
        <w:r w:rsidRPr="008E589A">
          <w:rPr>
            <w:rStyle w:val="TextoNormalCaracter"/>
          </w:rPr>
          <w:t>116/1997</w:t>
        </w:r>
      </w:hyperlink>
      <w:r w:rsidRPr="008E589A">
        <w:rPr>
          <w:rStyle w:val="TextoNormalCaracter"/>
        </w:rPr>
        <w:t>, f. 5.</w:t>
      </w:r>
    </w:p>
    <w:p w:rsidR="008E589A" w:rsidRPr="008E589A" w:rsidRDefault="008E589A" w:rsidP="008E589A">
      <w:pPr>
        <w:pStyle w:val="TextoNormalSangraFrancesa"/>
        <w:rPr>
          <w:rStyle w:val="TextoNormalCaracter"/>
        </w:rPr>
      </w:pPr>
      <w:bookmarkStart w:id="677" w:name="DESCRIPTORALFABETICO41"/>
      <w:r w:rsidRPr="008E589A">
        <w:rPr>
          <w:rStyle w:val="TextoNormalNegritaCaracter"/>
        </w:rPr>
        <w:t xml:space="preserve">Acceso a la justicia </w:t>
      </w:r>
      <w:r w:rsidRPr="008E589A">
        <w:rPr>
          <w:rStyle w:val="TextoNormalNegritaCaracter"/>
          <w:i/>
        </w:rPr>
        <w:t>versus</w:t>
      </w:r>
      <w:r w:rsidRPr="008E589A">
        <w:rPr>
          <w:rStyle w:val="TextoNormalNegritaCaracter"/>
        </w:rPr>
        <w:t xml:space="preserve"> acceso a los recursos</w:t>
      </w:r>
      <w:bookmarkEnd w:id="677"/>
      <w:r w:rsidRPr="008E589A">
        <w:rPr>
          <w:rStyle w:val="TextoNormalCaracter"/>
        </w:rPr>
        <w:t xml:space="preserve">, Sentencia </w:t>
      </w:r>
      <w:hyperlink w:anchor="SENTENCIA_1997_132" w:history="1">
        <w:r w:rsidRPr="008E589A">
          <w:rPr>
            <w:rStyle w:val="TextoNormalCaracter"/>
          </w:rPr>
          <w:t>132/1997</w:t>
        </w:r>
      </w:hyperlink>
      <w:r w:rsidRPr="008E589A">
        <w:rPr>
          <w:rStyle w:val="TextoNormalCaracter"/>
        </w:rPr>
        <w:t>, f. 2.</w:t>
      </w:r>
    </w:p>
    <w:p w:rsidR="008E589A" w:rsidRPr="008E589A" w:rsidRDefault="008E589A" w:rsidP="008E589A">
      <w:pPr>
        <w:pStyle w:val="TextoNormalSangraFrancesa"/>
        <w:rPr>
          <w:rStyle w:val="TextoNormalCaracter"/>
        </w:rPr>
      </w:pPr>
      <w:bookmarkStart w:id="678" w:name="DESCRIPTORALFABETICO42"/>
      <w:r w:rsidRPr="008E589A">
        <w:rPr>
          <w:rStyle w:val="TextoNormalNegritaCaracter"/>
        </w:rPr>
        <w:t>Acceso al recurso legal</w:t>
      </w:r>
      <w:bookmarkEnd w:id="678"/>
      <w:r w:rsidRPr="008E589A">
        <w:rPr>
          <w:rStyle w:val="TextoNormalCaracter"/>
        </w:rPr>
        <w:t xml:space="preserve">, Sentencias </w:t>
      </w:r>
      <w:hyperlink w:anchor="SENTENCIA_1997_88" w:history="1">
        <w:r w:rsidRPr="008E589A">
          <w:rPr>
            <w:rStyle w:val="TextoNormalCaracter"/>
          </w:rPr>
          <w:t>88/1997</w:t>
        </w:r>
      </w:hyperlink>
      <w:r w:rsidRPr="008E589A">
        <w:rPr>
          <w:rStyle w:val="TextoNormalCaracter"/>
        </w:rPr>
        <w:t xml:space="preserve">, ff. 1, 2, 3, 4; </w:t>
      </w:r>
      <w:hyperlink w:anchor="SENTENCIA_1997_101" w:history="1">
        <w:r w:rsidRPr="008E589A">
          <w:rPr>
            <w:rStyle w:val="TextoNormalCaracter"/>
          </w:rPr>
          <w:t>101/1997</w:t>
        </w:r>
      </w:hyperlink>
      <w:r w:rsidRPr="008E589A">
        <w:rPr>
          <w:rStyle w:val="TextoNormalCaracter"/>
        </w:rPr>
        <w:t xml:space="preserve">, ff. 1, 2, 3, 4, 5, 6; </w:t>
      </w:r>
      <w:hyperlink w:anchor="SENTENCIA_1997_124" w:history="1">
        <w:r w:rsidRPr="008E589A">
          <w:rPr>
            <w:rStyle w:val="TextoNormalCaracter"/>
          </w:rPr>
          <w:t>124/1997</w:t>
        </w:r>
      </w:hyperlink>
      <w:r w:rsidRPr="008E589A">
        <w:rPr>
          <w:rStyle w:val="TextoNormalCaracter"/>
        </w:rPr>
        <w:t xml:space="preserve">, ff. 1, 2, 3; </w:t>
      </w:r>
      <w:hyperlink w:anchor="SENTENCIA_1997_125" w:history="1">
        <w:r w:rsidRPr="008E589A">
          <w:rPr>
            <w:rStyle w:val="TextoNormalCaracter"/>
          </w:rPr>
          <w:t>125/1997</w:t>
        </w:r>
      </w:hyperlink>
      <w:r w:rsidRPr="008E589A">
        <w:rPr>
          <w:rStyle w:val="TextoNormalCaracter"/>
        </w:rPr>
        <w:t xml:space="preserve">, ff. 1, 2, 3, 4, 5, 6, VP I, VP II; </w:t>
      </w:r>
      <w:hyperlink w:anchor="SENTENCIA_1997_132" w:history="1">
        <w:r w:rsidRPr="008E589A">
          <w:rPr>
            <w:rStyle w:val="TextoNormalCaracter"/>
          </w:rPr>
          <w:t>132/1997</w:t>
        </w:r>
      </w:hyperlink>
      <w:r w:rsidRPr="008E589A">
        <w:rPr>
          <w:rStyle w:val="TextoNormalCaracter"/>
        </w:rPr>
        <w:t xml:space="preserve">, f. 2; </w:t>
      </w:r>
      <w:hyperlink w:anchor="SENTENCIA_1997_135" w:history="1">
        <w:r w:rsidRPr="008E589A">
          <w:rPr>
            <w:rStyle w:val="TextoNormalCaracter"/>
          </w:rPr>
          <w:t>135/1997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134" w:history="1">
        <w:r w:rsidRPr="008E589A">
          <w:rPr>
            <w:rStyle w:val="TextoNormalCaracter"/>
          </w:rPr>
          <w:t>134/1997</w:t>
        </w:r>
      </w:hyperlink>
      <w:r w:rsidRPr="008E589A">
        <w:rPr>
          <w:rStyle w:val="TextoNormalCaracter"/>
        </w:rPr>
        <w:t xml:space="preserve">; </w:t>
      </w:r>
      <w:hyperlink w:anchor="AUTO_1997_174" w:history="1">
        <w:r w:rsidRPr="008E589A">
          <w:rPr>
            <w:rStyle w:val="TextoNormalCaracter"/>
          </w:rPr>
          <w:t>174/1997</w:t>
        </w:r>
      </w:hyperlink>
      <w:r w:rsidRPr="008E589A">
        <w:rPr>
          <w:rStyle w:val="TextoNormalCaracter"/>
        </w:rPr>
        <w:t xml:space="preserve">; </w:t>
      </w:r>
      <w:hyperlink w:anchor="AUTO_1997_196" w:history="1">
        <w:r w:rsidRPr="008E589A">
          <w:rPr>
            <w:rStyle w:val="TextoNormalCaracter"/>
          </w:rPr>
          <w:t>196/1997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Sentencias </w:t>
      </w:r>
      <w:hyperlink w:anchor="SENTENCIA_1997_125" w:history="1">
        <w:r w:rsidRPr="008E589A">
          <w:rPr>
            <w:rStyle w:val="TextoNormalCaracter"/>
          </w:rPr>
          <w:t>125/1997</w:t>
        </w:r>
      </w:hyperlink>
      <w:r w:rsidRPr="008E589A">
        <w:rPr>
          <w:rStyle w:val="TextoNormalCaracter"/>
        </w:rPr>
        <w:t xml:space="preserve">, f. 5, VP II; </w:t>
      </w:r>
      <w:hyperlink w:anchor="SENTENCIA_1997_132" w:history="1">
        <w:r w:rsidRPr="008E589A">
          <w:rPr>
            <w:rStyle w:val="TextoNormalCaracter"/>
          </w:rPr>
          <w:t>132/1997</w:t>
        </w:r>
      </w:hyperlink>
      <w:r w:rsidRPr="008E589A">
        <w:rPr>
          <w:rStyle w:val="TextoNormalCaracter"/>
        </w:rPr>
        <w:t>, ff. 7, 8.</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74" w:history="1">
        <w:r w:rsidRPr="008E589A">
          <w:rPr>
            <w:rStyle w:val="TextoNormalCaracter"/>
          </w:rPr>
          <w:t>174/1997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Sentencias </w:t>
      </w:r>
      <w:hyperlink w:anchor="SENTENCIA_1997_88" w:history="1">
        <w:r w:rsidRPr="008E589A">
          <w:rPr>
            <w:rStyle w:val="TextoNormalCaracter"/>
          </w:rPr>
          <w:t>88/1997</w:t>
        </w:r>
      </w:hyperlink>
      <w:r w:rsidRPr="008E589A">
        <w:rPr>
          <w:rStyle w:val="TextoNormalCaracter"/>
        </w:rPr>
        <w:t xml:space="preserve">, ff. 1, 2, 3, 4; </w:t>
      </w:r>
      <w:hyperlink w:anchor="SENTENCIA_1997_93" w:history="1">
        <w:r w:rsidRPr="008E589A">
          <w:rPr>
            <w:rStyle w:val="TextoNormalCaracter"/>
          </w:rPr>
          <w:t>93/1997</w:t>
        </w:r>
      </w:hyperlink>
      <w:r w:rsidRPr="008E589A">
        <w:rPr>
          <w:rStyle w:val="TextoNormalCaracter"/>
        </w:rPr>
        <w:t xml:space="preserve">, f. 3; </w:t>
      </w:r>
      <w:hyperlink w:anchor="SENTENCIA_1997_135" w:history="1">
        <w:r w:rsidRPr="008E589A">
          <w:rPr>
            <w:rStyle w:val="TextoNormalCaracter"/>
          </w:rPr>
          <w:t>135/1997</w:t>
        </w:r>
      </w:hyperlink>
      <w:r w:rsidRPr="008E589A">
        <w:rPr>
          <w:rStyle w:val="TextoNormalCaracter"/>
        </w:rPr>
        <w:t>, ff. 3, 6.</w:t>
      </w:r>
    </w:p>
    <w:p w:rsidR="008E589A" w:rsidRPr="008E589A" w:rsidRDefault="008E589A" w:rsidP="008E589A">
      <w:pPr>
        <w:pStyle w:val="TextoNormalSangraFrancesa"/>
        <w:rPr>
          <w:rStyle w:val="TextoNormalCaracter"/>
        </w:rPr>
      </w:pPr>
      <w:bookmarkStart w:id="679" w:name="DESCRIPTORALFABETICO43"/>
      <w:r w:rsidRPr="008E589A">
        <w:rPr>
          <w:rStyle w:val="TextoNormalNegritaCaracter"/>
        </w:rPr>
        <w:t>Acceso al recurso penal</w:t>
      </w:r>
      <w:bookmarkEnd w:id="679"/>
      <w:r w:rsidRPr="008E589A">
        <w:rPr>
          <w:rStyle w:val="TextoNormalCaracter"/>
        </w:rPr>
        <w:t xml:space="preserve">, Sentencia </w:t>
      </w:r>
      <w:hyperlink w:anchor="SENTENCIA_1997_88" w:history="1">
        <w:r w:rsidRPr="008E589A">
          <w:rPr>
            <w:rStyle w:val="TextoNormalCaracter"/>
          </w:rPr>
          <w:t>88/1997</w:t>
        </w:r>
      </w:hyperlink>
      <w:r w:rsidRPr="008E589A">
        <w:rPr>
          <w:rStyle w:val="TextoNormalCaracter"/>
        </w:rPr>
        <w:t>, f. 2.</w:t>
      </w:r>
    </w:p>
    <w:p w:rsidR="008E589A" w:rsidRPr="008E589A" w:rsidRDefault="008E589A" w:rsidP="008E589A">
      <w:pPr>
        <w:pStyle w:val="TextoNormalSangraFrancesa"/>
        <w:rPr>
          <w:rStyle w:val="TextoNormalCaracter"/>
        </w:rPr>
      </w:pPr>
      <w:bookmarkStart w:id="680" w:name="DESCRIPTORALFABETICO357"/>
      <w:r w:rsidRPr="008E589A">
        <w:rPr>
          <w:rStyle w:val="TextoNormalNegritaCaracter"/>
        </w:rPr>
        <w:t>Acreditación de la representación procesal</w:t>
      </w:r>
      <w:bookmarkEnd w:id="680"/>
      <w:r w:rsidRPr="008E589A">
        <w:rPr>
          <w:rStyle w:val="TextoNormalCaracter"/>
        </w:rPr>
        <w:t xml:space="preserve">, Sentencia </w:t>
      </w:r>
      <w:hyperlink w:anchor="SENTENCIA_1997_104" w:history="1">
        <w:r w:rsidRPr="008E589A">
          <w:rPr>
            <w:rStyle w:val="TextoNormalCaracter"/>
          </w:rPr>
          <w:t>104/1997</w:t>
        </w:r>
      </w:hyperlink>
      <w:r w:rsidRPr="008E589A">
        <w:rPr>
          <w:rStyle w:val="TextoNormalCaracter"/>
        </w:rPr>
        <w:t>, f. 4.</w:t>
      </w:r>
    </w:p>
    <w:p w:rsidR="008E589A" w:rsidRPr="008E589A" w:rsidRDefault="008E589A" w:rsidP="008E589A">
      <w:pPr>
        <w:pStyle w:val="TextoNormalSangraFrancesa"/>
        <w:rPr>
          <w:rStyle w:val="TextoNormalCaracter"/>
        </w:rPr>
      </w:pPr>
      <w:bookmarkStart w:id="681" w:name="DESCRIPTORALFABETICO336"/>
      <w:r w:rsidRPr="008E589A">
        <w:rPr>
          <w:rStyle w:val="TextoNormalNegritaCaracter"/>
        </w:rPr>
        <w:t>Actividad probatoria</w:t>
      </w:r>
      <w:bookmarkEnd w:id="681"/>
      <w:r w:rsidRPr="008E589A">
        <w:rPr>
          <w:rStyle w:val="TextoNormalCaracter"/>
        </w:rPr>
        <w:t xml:space="preserve">, Sentencia </w:t>
      </w:r>
      <w:hyperlink w:anchor="SENTENCIA_1997_123" w:history="1">
        <w:r w:rsidRPr="008E589A">
          <w:rPr>
            <w:rStyle w:val="TextoNormalCaracter"/>
          </w:rPr>
          <w:t>123/1997</w:t>
        </w:r>
      </w:hyperlink>
      <w:r w:rsidRPr="008E589A">
        <w:rPr>
          <w:rStyle w:val="TextoNormalCaracter"/>
        </w:rPr>
        <w:t>, f. 6.</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75" w:history="1">
        <w:r w:rsidRPr="008E589A">
          <w:rPr>
            <w:rStyle w:val="TextoNormalCaracter"/>
          </w:rPr>
          <w:t>275/1997</w:t>
        </w:r>
      </w:hyperlink>
      <w:r w:rsidRPr="008E589A">
        <w:rPr>
          <w:rStyle w:val="TextoNormalCaracter"/>
        </w:rPr>
        <w:t>.</w:t>
      </w:r>
    </w:p>
    <w:p w:rsidR="008E589A" w:rsidRPr="008E589A" w:rsidRDefault="008E589A" w:rsidP="008E589A">
      <w:pPr>
        <w:pStyle w:val="TextoNormalSangraFrancesa"/>
        <w:rPr>
          <w:rStyle w:val="TextoNormalCaracter"/>
        </w:rPr>
      </w:pPr>
      <w:bookmarkStart w:id="682" w:name="DESCRIPTORALFABETICO139"/>
      <w:r w:rsidRPr="008E589A">
        <w:rPr>
          <w:rStyle w:val="TextoNormalNegritaCaracter"/>
        </w:rPr>
        <w:t>Actos de aplicación de normas con fuerza de ley</w:t>
      </w:r>
      <w:bookmarkEnd w:id="682"/>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683" w:name="DESCRIPTORALFABETICO177"/>
      <w:r w:rsidRPr="008E589A">
        <w:rPr>
          <w:rStyle w:val="TextoNormalNegritaCaracter"/>
        </w:rPr>
        <w:t>Actos parlamentarios</w:t>
      </w:r>
      <w:bookmarkEnd w:id="683"/>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684" w:name="DESCRIPTORALFABETICO178"/>
      <w:r w:rsidRPr="008E589A">
        <w:rPr>
          <w:rStyle w:val="TextoNormalNegritaCaracter"/>
        </w:rPr>
        <w:t>Actos parlamentarios sin fuerza de ley</w:t>
      </w:r>
      <w:bookmarkEnd w:id="684"/>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685" w:name="DESCRIPTORALFABETICO297"/>
      <w:r w:rsidRPr="008E589A">
        <w:rPr>
          <w:rStyle w:val="TextoNormalNegritaCaracter"/>
        </w:rPr>
        <w:t>Actos procesales de comunicación</w:t>
      </w:r>
      <w:bookmarkEnd w:id="685"/>
      <w:r w:rsidRPr="008E589A">
        <w:rPr>
          <w:rStyle w:val="TextoNormalCaracter"/>
        </w:rPr>
        <w:t xml:space="preserve">, Sentencias </w:t>
      </w:r>
      <w:hyperlink w:anchor="SENTENCIA_1997_99" w:history="1">
        <w:r w:rsidRPr="008E589A">
          <w:rPr>
            <w:rStyle w:val="TextoNormalCaracter"/>
          </w:rPr>
          <w:t>99/1997</w:t>
        </w:r>
      </w:hyperlink>
      <w:r w:rsidRPr="008E589A">
        <w:rPr>
          <w:rStyle w:val="TextoNormalCaracter"/>
        </w:rPr>
        <w:t xml:space="preserve">, f. 4; </w:t>
      </w:r>
      <w:hyperlink w:anchor="SENTENCIA_1997_100" w:history="1">
        <w:r w:rsidRPr="008E589A">
          <w:rPr>
            <w:rStyle w:val="TextoNormalCaracter"/>
          </w:rPr>
          <w:t>100/1997</w:t>
        </w:r>
      </w:hyperlink>
      <w:r w:rsidRPr="008E589A">
        <w:rPr>
          <w:rStyle w:val="TextoNormalCaracter"/>
        </w:rPr>
        <w:t xml:space="preserve">, ff. 1, 2, 3; </w:t>
      </w:r>
      <w:hyperlink w:anchor="SENTENCIA_1997_110" w:history="1">
        <w:r w:rsidRPr="008E589A">
          <w:rPr>
            <w:rStyle w:val="TextoNormalCaracter"/>
          </w:rPr>
          <w:t>110/1997</w:t>
        </w:r>
      </w:hyperlink>
      <w:r w:rsidRPr="008E589A">
        <w:rPr>
          <w:rStyle w:val="TextoNormalCaracter"/>
        </w:rPr>
        <w:t>, ff. 1, 2, 3.</w:t>
      </w:r>
    </w:p>
    <w:p w:rsidR="008E589A" w:rsidRPr="008E589A" w:rsidRDefault="008E589A" w:rsidP="008E589A">
      <w:pPr>
        <w:pStyle w:val="TextoNormalSangraFrancesa"/>
        <w:rPr>
          <w:rStyle w:val="TextoNormalCaracter"/>
        </w:rPr>
      </w:pPr>
      <w:r w:rsidRPr="008E589A">
        <w:rPr>
          <w:rStyle w:val="TextoNormalCursivaCaracter"/>
        </w:rPr>
        <w:lastRenderedPageBreak/>
        <w:t xml:space="preserve">    Doctrina constitucional, </w:t>
      </w:r>
      <w:r w:rsidRPr="008E589A">
        <w:rPr>
          <w:rStyle w:val="TextoNormalCaracter"/>
        </w:rPr>
        <w:t xml:space="preserve">Sentencias </w:t>
      </w:r>
      <w:hyperlink w:anchor="SENTENCIA_1997_97" w:history="1">
        <w:r w:rsidRPr="008E589A">
          <w:rPr>
            <w:rStyle w:val="TextoNormalCaracter"/>
          </w:rPr>
          <w:t>97/1997</w:t>
        </w:r>
      </w:hyperlink>
      <w:r w:rsidRPr="008E589A">
        <w:rPr>
          <w:rStyle w:val="TextoNormalCaracter"/>
        </w:rPr>
        <w:t xml:space="preserve">, f. 3; </w:t>
      </w:r>
      <w:hyperlink w:anchor="SENTENCIA_1997_99" w:history="1">
        <w:r w:rsidRPr="008E589A">
          <w:rPr>
            <w:rStyle w:val="TextoNormalCaracter"/>
          </w:rPr>
          <w:t>99/1997</w:t>
        </w:r>
      </w:hyperlink>
      <w:r w:rsidRPr="008E589A">
        <w:rPr>
          <w:rStyle w:val="TextoNormalCaracter"/>
        </w:rPr>
        <w:t xml:space="preserve">, f. 4; </w:t>
      </w:r>
      <w:hyperlink w:anchor="SENTENCIA_1997_100" w:history="1">
        <w:r w:rsidRPr="008E589A">
          <w:rPr>
            <w:rStyle w:val="TextoNormalCaracter"/>
          </w:rPr>
          <w:t>100/1997</w:t>
        </w:r>
      </w:hyperlink>
      <w:r w:rsidRPr="008E589A">
        <w:rPr>
          <w:rStyle w:val="TextoNormalCaracter"/>
        </w:rPr>
        <w:t xml:space="preserve">, f. 2; </w:t>
      </w:r>
      <w:hyperlink w:anchor="SENTENCIA_1997_118" w:history="1">
        <w:r w:rsidRPr="008E589A">
          <w:rPr>
            <w:rStyle w:val="TextoNormalCaracter"/>
          </w:rPr>
          <w:t>118/1997</w:t>
        </w:r>
      </w:hyperlink>
      <w:r w:rsidRPr="008E589A">
        <w:rPr>
          <w:rStyle w:val="TextoNormalCaracter"/>
        </w:rPr>
        <w:t>, f. 2.</w:t>
      </w:r>
    </w:p>
    <w:p w:rsidR="008E589A" w:rsidRPr="008E589A" w:rsidRDefault="008E589A" w:rsidP="008E589A">
      <w:pPr>
        <w:pStyle w:val="TextoNormalSangraFrancesa"/>
        <w:rPr>
          <w:rStyle w:val="TextoNormalCaracter"/>
        </w:rPr>
      </w:pPr>
      <w:bookmarkStart w:id="686" w:name="DESCRIPTORALFABETICO180"/>
      <w:r w:rsidRPr="008E589A">
        <w:rPr>
          <w:rStyle w:val="TextoNormalNegritaCaracter"/>
        </w:rPr>
        <w:t>Acuerdos de las Cortes Generales en materia de personal</w:t>
      </w:r>
      <w:bookmarkEnd w:id="686"/>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687" w:name="DESCRIPTORALFABETICO161"/>
      <w:r w:rsidRPr="008E589A">
        <w:rPr>
          <w:rStyle w:val="TextoNormalNegritaCaracter"/>
        </w:rPr>
        <w:t>Administración penitenciaria</w:t>
      </w:r>
      <w:bookmarkEnd w:id="687"/>
      <w:r w:rsidRPr="008E589A">
        <w:rPr>
          <w:rStyle w:val="TextoNormalCaracter"/>
        </w:rPr>
        <w:t xml:space="preserve">, Sentencia </w:t>
      </w:r>
      <w:hyperlink w:anchor="SENTENCIA_1997_128" w:history="1">
        <w:r w:rsidRPr="008E589A">
          <w:rPr>
            <w:rStyle w:val="TextoNormalCaracter"/>
          </w:rPr>
          <w:t>128/1997</w:t>
        </w:r>
      </w:hyperlink>
      <w:r w:rsidRPr="008E589A">
        <w:rPr>
          <w:rStyle w:val="TextoNormalCaracter"/>
        </w:rPr>
        <w:t>, f. 2, VP.</w:t>
      </w:r>
    </w:p>
    <w:p w:rsidR="008E589A" w:rsidRPr="008E589A" w:rsidRDefault="008E589A" w:rsidP="008E589A">
      <w:pPr>
        <w:pStyle w:val="TextoNormalSangraFrancesa"/>
        <w:rPr>
          <w:rStyle w:val="TextoNormalCaracter"/>
        </w:rPr>
      </w:pPr>
      <w:bookmarkStart w:id="688" w:name="DESCRIPTORALFABETICO160"/>
      <w:r w:rsidRPr="008E589A">
        <w:rPr>
          <w:rStyle w:val="TextoNormalNegritaCaracter"/>
        </w:rPr>
        <w:t>Administración pública</w:t>
      </w:r>
      <w:bookmarkEnd w:id="688"/>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2.</w:t>
      </w:r>
    </w:p>
    <w:p w:rsidR="008E589A" w:rsidRPr="008E589A" w:rsidRDefault="008E589A" w:rsidP="008E589A">
      <w:pPr>
        <w:pStyle w:val="TextoNormalSangraFrancesa"/>
        <w:rPr>
          <w:rStyle w:val="TextoNormalCaracter"/>
        </w:rPr>
      </w:pPr>
      <w:bookmarkStart w:id="689" w:name="DESCRIPTORALFABETICO218"/>
      <w:r w:rsidRPr="008E589A">
        <w:rPr>
          <w:rStyle w:val="TextoNormalNegritaCaracter"/>
        </w:rPr>
        <w:t>Adopción</w:t>
      </w:r>
      <w:bookmarkEnd w:id="689"/>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ff. 3, 6.</w:t>
      </w:r>
    </w:p>
    <w:p w:rsidR="008E589A" w:rsidRPr="008E589A" w:rsidRDefault="008E589A" w:rsidP="008E589A">
      <w:pPr>
        <w:pStyle w:val="TextoNormalSangraFrancesa"/>
        <w:rPr>
          <w:rStyle w:val="TextoNormalCaracter"/>
        </w:rPr>
      </w:pPr>
      <w:bookmarkStart w:id="690" w:name="DESCRIPTORALFABETICO147"/>
      <w:r w:rsidRPr="008E589A">
        <w:rPr>
          <w:rStyle w:val="TextoNormalNegritaCaracter"/>
        </w:rPr>
        <w:t>Agotamiento de la vía judicial</w:t>
      </w:r>
      <w:bookmarkEnd w:id="690"/>
      <w:r w:rsidRPr="008E589A">
        <w:rPr>
          <w:rStyle w:val="TextoNormalCaracter"/>
        </w:rPr>
        <w:t xml:space="preserve">, Sentencias </w:t>
      </w:r>
      <w:hyperlink w:anchor="SENTENCIA_1997_93" w:history="1">
        <w:r w:rsidRPr="008E589A">
          <w:rPr>
            <w:rStyle w:val="TextoNormalCaracter"/>
          </w:rPr>
          <w:t>93/1997</w:t>
        </w:r>
      </w:hyperlink>
      <w:r w:rsidRPr="008E589A">
        <w:rPr>
          <w:rStyle w:val="TextoNormalCaracter"/>
        </w:rPr>
        <w:t xml:space="preserve">, f. 2; </w:t>
      </w:r>
      <w:hyperlink w:anchor="SENTENCIA_1997_99" w:history="1">
        <w:r w:rsidRPr="008E589A">
          <w:rPr>
            <w:rStyle w:val="TextoNormalCaracter"/>
          </w:rPr>
          <w:t>99/1997</w:t>
        </w:r>
      </w:hyperlink>
      <w:r w:rsidRPr="008E589A">
        <w:rPr>
          <w:rStyle w:val="TextoNormalCaracter"/>
        </w:rPr>
        <w:t xml:space="preserve">, f. 2; </w:t>
      </w:r>
      <w:hyperlink w:anchor="SENTENCIA_1997_106" w:history="1">
        <w:r w:rsidRPr="008E589A">
          <w:rPr>
            <w:rStyle w:val="TextoNormalCaracter"/>
          </w:rPr>
          <w:t>106/1997</w:t>
        </w:r>
      </w:hyperlink>
      <w:r w:rsidRPr="008E589A">
        <w:rPr>
          <w:rStyle w:val="TextoNormalCaracter"/>
        </w:rPr>
        <w:t xml:space="preserve">, f. 2; </w:t>
      </w:r>
      <w:hyperlink w:anchor="SENTENCIA_1997_113" w:history="1">
        <w:r w:rsidRPr="008E589A">
          <w:rPr>
            <w:rStyle w:val="TextoNormalCaracter"/>
          </w:rPr>
          <w:t>113/1997</w:t>
        </w:r>
      </w:hyperlink>
      <w:r w:rsidRPr="008E589A">
        <w:rPr>
          <w:rStyle w:val="TextoNormalCaracter"/>
        </w:rPr>
        <w:t xml:space="preserve">, f. 2; </w:t>
      </w:r>
      <w:hyperlink w:anchor="SENTENCIA_1997_121" w:history="1">
        <w:r w:rsidRPr="008E589A">
          <w:rPr>
            <w:rStyle w:val="TextoNormalCaracter"/>
          </w:rPr>
          <w:t>121/1997</w:t>
        </w:r>
      </w:hyperlink>
      <w:r w:rsidRPr="008E589A">
        <w:rPr>
          <w:rStyle w:val="TextoNormalCaracter"/>
        </w:rPr>
        <w:t xml:space="preserve">, ff. 2, 3; </w:t>
      </w:r>
      <w:hyperlink w:anchor="SENTENCIA_1997_135" w:history="1">
        <w:r w:rsidRPr="008E589A">
          <w:rPr>
            <w:rStyle w:val="TextoNormalCaracter"/>
          </w:rPr>
          <w:t>135/1997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39" w:history="1">
        <w:r w:rsidRPr="008E589A">
          <w:rPr>
            <w:rStyle w:val="TextoNormalCaracter"/>
          </w:rPr>
          <w:t>239/1997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Agotamiento de recursos en la vía judicial</w:t>
      </w:r>
      <w:r>
        <w:t xml:space="preserve"> véase </w:t>
      </w:r>
      <w:hyperlink w:anchor="DESCRIPTORALFABETICO147" w:history="1">
        <w:r w:rsidRPr="008E589A">
          <w:rPr>
            <w:rStyle w:val="TextoNormalNegritaCaracter"/>
          </w:rPr>
          <w:t>Agotamiento de la vía judicial</w:t>
        </w:r>
      </w:hyperlink>
    </w:p>
    <w:p w:rsidR="008E589A" w:rsidRPr="008E589A" w:rsidRDefault="008E589A" w:rsidP="008E589A">
      <w:pPr>
        <w:pStyle w:val="TextoNormalSangraFrancesa"/>
        <w:rPr>
          <w:rStyle w:val="TextoNormalCaracter"/>
        </w:rPr>
      </w:pPr>
      <w:bookmarkStart w:id="691" w:name="DESCRIPTORALFABETICO414"/>
      <w:r w:rsidRPr="008E589A">
        <w:rPr>
          <w:rStyle w:val="TextoNormalNegritaCaracter"/>
        </w:rPr>
        <w:t>Alarma social</w:t>
      </w:r>
      <w:bookmarkEnd w:id="691"/>
      <w:r w:rsidRPr="008E589A">
        <w:rPr>
          <w:rStyle w:val="TextoNormalCaracter"/>
        </w:rPr>
        <w:t xml:space="preserve">, Sentencia </w:t>
      </w:r>
      <w:hyperlink w:anchor="SENTENCIA_1997_98" w:history="1">
        <w:r w:rsidRPr="008E589A">
          <w:rPr>
            <w:rStyle w:val="TextoNormalCaracter"/>
          </w:rPr>
          <w:t>98/1997</w:t>
        </w:r>
      </w:hyperlink>
      <w:r w:rsidRPr="008E589A">
        <w:rPr>
          <w:rStyle w:val="TextoNormalCaracter"/>
        </w:rPr>
        <w:t>, VP.</w:t>
      </w:r>
    </w:p>
    <w:p w:rsidR="008E589A" w:rsidRPr="008E589A" w:rsidRDefault="008E589A" w:rsidP="008E589A">
      <w:pPr>
        <w:pStyle w:val="TextoNormalSangraFrancesa"/>
        <w:rPr>
          <w:rStyle w:val="TextoNormalCaracter"/>
        </w:rPr>
      </w:pPr>
      <w:bookmarkStart w:id="692" w:name="DESCRIPTORALFABETICO157"/>
      <w:r w:rsidRPr="008E589A">
        <w:rPr>
          <w:rStyle w:val="TextoNormalNegritaCaracter"/>
        </w:rPr>
        <w:t>Alcance del fallo en recurso de amparo</w:t>
      </w:r>
      <w:bookmarkEnd w:id="692"/>
      <w:r w:rsidRPr="008E589A">
        <w:rPr>
          <w:rStyle w:val="TextoNormalCaracter"/>
        </w:rPr>
        <w:t xml:space="preserve">, Sentencia </w:t>
      </w:r>
      <w:hyperlink w:anchor="SENTENCIA_1997_109" w:history="1">
        <w:r w:rsidRPr="008E589A">
          <w:rPr>
            <w:rStyle w:val="TextoNormalCaracter"/>
          </w:rPr>
          <w:t>109/1997</w:t>
        </w:r>
      </w:hyperlink>
      <w:r w:rsidRPr="008E589A">
        <w:rPr>
          <w:rStyle w:val="TextoNormalCaracter"/>
        </w:rPr>
        <w:t>, f. 3.</w:t>
      </w:r>
    </w:p>
    <w:p w:rsidR="008E589A" w:rsidRPr="008E589A" w:rsidRDefault="008E589A" w:rsidP="008E589A">
      <w:pPr>
        <w:pStyle w:val="TextoNormalSangraFrancesa"/>
        <w:rPr>
          <w:rStyle w:val="TextoNormalCaracter"/>
        </w:rPr>
      </w:pPr>
      <w:bookmarkStart w:id="693" w:name="DESCRIPTORALFABETICO404"/>
      <w:r w:rsidRPr="008E589A">
        <w:rPr>
          <w:rStyle w:val="TextoNormalNegritaCaracter"/>
        </w:rPr>
        <w:t>Ampliación de la acusación</w:t>
      </w:r>
      <w:bookmarkEnd w:id="693"/>
      <w:r w:rsidRPr="008E589A">
        <w:rPr>
          <w:rStyle w:val="TextoNormalCaracter"/>
        </w:rPr>
        <w:t xml:space="preserve">, Sentencia </w:t>
      </w:r>
      <w:hyperlink w:anchor="SENTENCIA_1997_98" w:history="1">
        <w:r w:rsidRPr="008E589A">
          <w:rPr>
            <w:rStyle w:val="TextoNormalCaracter"/>
          </w:rPr>
          <w:t>98/1997</w:t>
        </w:r>
      </w:hyperlink>
      <w:r w:rsidRPr="008E589A">
        <w:rPr>
          <w:rStyle w:val="TextoNormalCaracter"/>
        </w:rPr>
        <w:t>, f. 6.</w:t>
      </w:r>
    </w:p>
    <w:p w:rsidR="008E589A" w:rsidRPr="008E589A" w:rsidRDefault="008E589A" w:rsidP="008E589A">
      <w:pPr>
        <w:pStyle w:val="TextoNormalSangraFrancesa"/>
        <w:rPr>
          <w:rStyle w:val="TextoNormalNegritaCaracter"/>
        </w:rPr>
      </w:pPr>
      <w:r w:rsidRPr="008E589A">
        <w:rPr>
          <w:rStyle w:val="TextoNormalCursivaCaracter"/>
        </w:rPr>
        <w:t>Ampliación de la imputación</w:t>
      </w:r>
      <w:r>
        <w:t xml:space="preserve"> véase </w:t>
      </w:r>
      <w:hyperlink w:anchor="DESCRIPTORALFABETICO404" w:history="1">
        <w:r w:rsidRPr="008E589A">
          <w:rPr>
            <w:rStyle w:val="TextoNormalNegritaCaracter"/>
          </w:rPr>
          <w:t>Ampliación de la acusación</w:t>
        </w:r>
      </w:hyperlink>
    </w:p>
    <w:p w:rsidR="008E589A" w:rsidRPr="008E589A" w:rsidRDefault="008E589A" w:rsidP="008E589A">
      <w:pPr>
        <w:pStyle w:val="TextoNormalSangraFrancesa"/>
        <w:rPr>
          <w:rStyle w:val="TextoNormalCaracter"/>
        </w:rPr>
      </w:pPr>
      <w:bookmarkStart w:id="694" w:name="DESCRIPTORALFABETICO227"/>
      <w:r w:rsidRPr="008E589A">
        <w:rPr>
          <w:rStyle w:val="TextoNormalNegritaCaracter"/>
          <w:i/>
        </w:rPr>
        <w:t>Animus iniuriandi</w:t>
      </w:r>
      <w:bookmarkEnd w:id="694"/>
      <w:r w:rsidRPr="008E589A">
        <w:rPr>
          <w:rStyle w:val="TextoNormalCaracter"/>
        </w:rPr>
        <w:t xml:space="preserve">, Sentencia </w:t>
      </w:r>
      <w:hyperlink w:anchor="SENTENCIA_1997_116" w:history="1">
        <w:r w:rsidRPr="008E589A">
          <w:rPr>
            <w:rStyle w:val="TextoNormalCaracter"/>
          </w:rPr>
          <w:t>116/1997</w:t>
        </w:r>
      </w:hyperlink>
      <w:r w:rsidRPr="008E589A">
        <w:rPr>
          <w:rStyle w:val="TextoNormalCaracter"/>
        </w:rPr>
        <w:t>, f. 1.</w:t>
      </w:r>
    </w:p>
    <w:p w:rsidR="008E589A" w:rsidRPr="008E589A" w:rsidRDefault="008E589A" w:rsidP="008E589A">
      <w:pPr>
        <w:pStyle w:val="TextoNormalSangraFrancesa"/>
        <w:rPr>
          <w:rStyle w:val="TextoNormalCaracter"/>
        </w:rPr>
      </w:pPr>
      <w:bookmarkStart w:id="695" w:name="DESCRIPTORALFABETICO248"/>
      <w:r w:rsidRPr="008E589A">
        <w:rPr>
          <w:rStyle w:val="TextoNormalNegritaCaracter"/>
        </w:rPr>
        <w:t>Aplicación analógica de normas penales</w:t>
      </w:r>
      <w:bookmarkEnd w:id="695"/>
      <w:r w:rsidRPr="008E589A">
        <w:rPr>
          <w:rStyle w:val="TextoNormalCaracter"/>
        </w:rPr>
        <w:t xml:space="preserve">, Sentencias </w:t>
      </w:r>
      <w:hyperlink w:anchor="SENTENCIA_1997_130" w:history="1">
        <w:r w:rsidRPr="008E589A">
          <w:rPr>
            <w:rStyle w:val="TextoNormalCaracter"/>
          </w:rPr>
          <w:t>130/1997</w:t>
        </w:r>
      </w:hyperlink>
      <w:r w:rsidRPr="008E589A">
        <w:rPr>
          <w:rStyle w:val="TextoNormalCaracter"/>
        </w:rPr>
        <w:t xml:space="preserve">, f. 3; </w:t>
      </w:r>
      <w:hyperlink w:anchor="SENTENCIA_1997_137" w:history="1">
        <w:r w:rsidRPr="008E589A">
          <w:rPr>
            <w:rStyle w:val="TextoNormalCaracter"/>
          </w:rPr>
          <w:t>137/1997</w:t>
        </w:r>
      </w:hyperlink>
      <w:r w:rsidRPr="008E589A">
        <w:rPr>
          <w:rStyle w:val="TextoNormalCaracter"/>
        </w:rPr>
        <w:t>, f. 7.</w:t>
      </w:r>
    </w:p>
    <w:p w:rsidR="008E589A" w:rsidRPr="008E589A" w:rsidRDefault="008E589A" w:rsidP="008E589A">
      <w:pPr>
        <w:pStyle w:val="TextoNormalSangraFrancesa"/>
        <w:rPr>
          <w:rStyle w:val="TextoNormalNegritaCaracter"/>
        </w:rPr>
      </w:pPr>
      <w:r w:rsidRPr="008E589A">
        <w:rPr>
          <w:rStyle w:val="TextoNormalCursivaCaracter"/>
        </w:rPr>
        <w:t>Aplicación de la ley penal</w:t>
      </w:r>
      <w:r>
        <w:t xml:space="preserve"> véase </w:t>
      </w:r>
      <w:hyperlink w:anchor="DESCRIPTORALFABETICO249" w:history="1">
        <w:r w:rsidRPr="008E589A">
          <w:rPr>
            <w:rStyle w:val="TextoNormalNegritaCaracter"/>
          </w:rPr>
          <w:t>Aplicación de normas penales</w:t>
        </w:r>
      </w:hyperlink>
    </w:p>
    <w:p w:rsidR="008E589A" w:rsidRPr="008E589A" w:rsidRDefault="008E589A" w:rsidP="008E589A">
      <w:pPr>
        <w:pStyle w:val="TextoNormalSangraFrancesa"/>
        <w:rPr>
          <w:rStyle w:val="TextoNormalCaracter"/>
        </w:rPr>
      </w:pPr>
      <w:bookmarkStart w:id="696" w:name="DESCRIPTORALFABETICO249"/>
      <w:r w:rsidRPr="008E589A">
        <w:rPr>
          <w:rStyle w:val="TextoNormalNegritaCaracter"/>
        </w:rPr>
        <w:t>Aplicación de normas penales</w:t>
      </w:r>
      <w:bookmarkEnd w:id="696"/>
      <w:r w:rsidRPr="008E589A">
        <w:rPr>
          <w:rStyle w:val="TextoNormalCaracter"/>
        </w:rPr>
        <w:t xml:space="preserve">, Sentencia </w:t>
      </w:r>
      <w:hyperlink w:anchor="SENTENCIA_1997_137" w:history="1">
        <w:r w:rsidRPr="008E589A">
          <w:rPr>
            <w:rStyle w:val="TextoNormalCaracter"/>
          </w:rPr>
          <w:t>137/1997</w:t>
        </w:r>
      </w:hyperlink>
      <w:r w:rsidRPr="008E589A">
        <w:rPr>
          <w:rStyle w:val="TextoNormalCaracter"/>
        </w:rPr>
        <w:t>, f. 7.</w:t>
      </w:r>
    </w:p>
    <w:p w:rsidR="008E589A" w:rsidRPr="008E589A" w:rsidRDefault="008E589A" w:rsidP="008E589A">
      <w:pPr>
        <w:pStyle w:val="TextoNormalSangraFrancesa"/>
        <w:rPr>
          <w:rStyle w:val="TextoNormalCaracter"/>
        </w:rPr>
      </w:pPr>
      <w:bookmarkStart w:id="697" w:name="DESCRIPTORALFABETICO306"/>
      <w:r w:rsidRPr="008E589A">
        <w:rPr>
          <w:rStyle w:val="TextoNormalNegritaCaracter"/>
        </w:rPr>
        <w:t>Archivo de demanda</w:t>
      </w:r>
      <w:bookmarkEnd w:id="697"/>
      <w:r w:rsidRPr="008E589A">
        <w:rPr>
          <w:rStyle w:val="TextoNormalCaracter"/>
        </w:rPr>
        <w:t xml:space="preserve">, Sentencia </w:t>
      </w:r>
      <w:hyperlink w:anchor="SENTENCIA_1997_112" w:history="1">
        <w:r w:rsidRPr="008E589A">
          <w:rPr>
            <w:rStyle w:val="TextoNormalCaracter"/>
          </w:rPr>
          <w:t>112/1997</w:t>
        </w:r>
      </w:hyperlink>
      <w:r w:rsidRPr="008E589A">
        <w:rPr>
          <w:rStyle w:val="TextoNormalCaracter"/>
        </w:rPr>
        <w:t>, ff. 4, 6.</w:t>
      </w:r>
    </w:p>
    <w:p w:rsidR="008E589A" w:rsidRPr="008E589A" w:rsidRDefault="008E589A" w:rsidP="008E589A">
      <w:pPr>
        <w:pStyle w:val="TextoNormalSangraFrancesa"/>
        <w:rPr>
          <w:rStyle w:val="TextoNormalCaracter"/>
        </w:rPr>
      </w:pPr>
      <w:bookmarkStart w:id="698" w:name="DESCRIPTORALFABETICO307"/>
      <w:r w:rsidRPr="008E589A">
        <w:rPr>
          <w:rStyle w:val="TextoNormalNegritaCaracter"/>
        </w:rPr>
        <w:t>Archivo de denuncia</w:t>
      </w:r>
      <w:bookmarkEnd w:id="698"/>
      <w:r w:rsidRPr="008E589A">
        <w:rPr>
          <w:rStyle w:val="TextoNormalCaracter"/>
        </w:rPr>
        <w:t xml:space="preserve">, Sentencia </w:t>
      </w:r>
      <w:hyperlink w:anchor="SENTENCIA_1997_120" w:history="1">
        <w:r w:rsidRPr="008E589A">
          <w:rPr>
            <w:rStyle w:val="TextoNormalCaracter"/>
          </w:rPr>
          <w:t>120/1997</w:t>
        </w:r>
      </w:hyperlink>
      <w:r w:rsidRPr="008E589A">
        <w:rPr>
          <w:rStyle w:val="TextoNormalCaracter"/>
        </w:rPr>
        <w:t>, ff. 1, 2, 3, 4, 5.</w:t>
      </w:r>
    </w:p>
    <w:p w:rsidR="008E589A" w:rsidRPr="008E589A" w:rsidRDefault="008E589A" w:rsidP="008E589A">
      <w:pPr>
        <w:pStyle w:val="TextoNormalSangraFrancesa"/>
        <w:rPr>
          <w:rStyle w:val="TextoNormalCaracter"/>
        </w:rPr>
      </w:pPr>
      <w:bookmarkStart w:id="699" w:name="DESCRIPTORALFABETICO308"/>
      <w:r w:rsidRPr="008E589A">
        <w:rPr>
          <w:rStyle w:val="TextoNormalNegritaCaracter"/>
        </w:rPr>
        <w:t>Archivo de diligencias</w:t>
      </w:r>
      <w:bookmarkEnd w:id="699"/>
      <w:r w:rsidRPr="008E589A">
        <w:rPr>
          <w:rStyle w:val="TextoNormalCaracter"/>
        </w:rPr>
        <w:t xml:space="preserve">, Sentencia </w:t>
      </w:r>
      <w:hyperlink w:anchor="SENTENCIA_1997_138" w:history="1">
        <w:r w:rsidRPr="008E589A">
          <w:rPr>
            <w:rStyle w:val="TextoNormalCaracter"/>
          </w:rPr>
          <w:t>138/1997</w:t>
        </w:r>
      </w:hyperlink>
      <w:r w:rsidRPr="008E589A">
        <w:rPr>
          <w:rStyle w:val="TextoNormalCaracter"/>
        </w:rPr>
        <w:t>, ff. 1, 2, 3, 4, 5, 6.</w:t>
      </w:r>
    </w:p>
    <w:p w:rsidR="008E589A" w:rsidRPr="008E589A" w:rsidRDefault="008E589A" w:rsidP="008E589A">
      <w:pPr>
        <w:pStyle w:val="TextoNormalSangraFrancesa"/>
        <w:rPr>
          <w:rStyle w:val="TextoNormalCaracter"/>
        </w:rPr>
      </w:pPr>
      <w:bookmarkStart w:id="700" w:name="DESCRIPTORALFABETICO309"/>
      <w:r w:rsidRPr="008E589A">
        <w:rPr>
          <w:rStyle w:val="TextoNormalNegritaCaracter"/>
        </w:rPr>
        <w:t>Archivo de diligencias previas</w:t>
      </w:r>
      <w:bookmarkEnd w:id="700"/>
      <w:r w:rsidRPr="008E589A">
        <w:rPr>
          <w:rStyle w:val="TextoNormalCaracter"/>
        </w:rPr>
        <w:t xml:space="preserve">, Auto </w:t>
      </w:r>
      <w:hyperlink w:anchor="AUTO_1997_195" w:history="1">
        <w:r w:rsidRPr="008E589A">
          <w:rPr>
            <w:rStyle w:val="TextoNormalCaracter"/>
          </w:rPr>
          <w:t>195/1997</w:t>
        </w:r>
      </w:hyperlink>
      <w:r w:rsidRPr="008E589A">
        <w:rPr>
          <w:rStyle w:val="TextoNormalCaracter"/>
        </w:rPr>
        <w:t>.</w:t>
      </w:r>
    </w:p>
    <w:p w:rsidR="008E589A" w:rsidRPr="008E589A" w:rsidRDefault="008E589A" w:rsidP="008E589A">
      <w:pPr>
        <w:pStyle w:val="TextoNormalSangraFrancesa"/>
        <w:rPr>
          <w:rStyle w:val="TextoNormalCaracter"/>
        </w:rPr>
      </w:pPr>
      <w:bookmarkStart w:id="701" w:name="DESCRIPTORALFABETICO179"/>
      <w:r w:rsidRPr="008E589A">
        <w:rPr>
          <w:rStyle w:val="TextoNormalNegritaCaracter"/>
        </w:rPr>
        <w:t>Asamblea de Extremadura</w:t>
      </w:r>
      <w:bookmarkEnd w:id="701"/>
      <w:r w:rsidRPr="008E589A">
        <w:rPr>
          <w:rStyle w:val="TextoNormalCaracter"/>
        </w:rPr>
        <w:t xml:space="preserve">, Auto </w:t>
      </w:r>
      <w:hyperlink w:anchor="AUTO_1997_240" w:history="1">
        <w:r w:rsidRPr="008E589A">
          <w:rPr>
            <w:rStyle w:val="TextoNormalCaracter"/>
          </w:rPr>
          <w:t>240/1997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Audiencia al rebelde</w:t>
      </w:r>
      <w:r>
        <w:t xml:space="preserve"> véase </w:t>
      </w:r>
      <w:hyperlink w:anchor="DESCRIPTORALFABETICO365" w:history="1">
        <w:r w:rsidRPr="008E589A">
          <w:rPr>
            <w:rStyle w:val="TextoNormalNegritaCaracter"/>
          </w:rPr>
          <w:t>Recurso de audiencia al rebelde</w:t>
        </w:r>
      </w:hyperlink>
    </w:p>
    <w:p w:rsidR="008E589A" w:rsidRPr="008E589A" w:rsidRDefault="008E589A" w:rsidP="008E589A">
      <w:pPr>
        <w:pStyle w:val="TextoNormalSangraFrancesa"/>
        <w:rPr>
          <w:rStyle w:val="TextoNormalCaracter"/>
        </w:rPr>
      </w:pPr>
      <w:bookmarkStart w:id="702" w:name="DESCRIPTORALFABETICO118"/>
      <w:r w:rsidRPr="008E589A">
        <w:rPr>
          <w:rStyle w:val="TextoNormalNegritaCaracter"/>
        </w:rPr>
        <w:t>Audiencia previa a las partes</w:t>
      </w:r>
      <w:bookmarkEnd w:id="702"/>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4.</w:t>
      </w:r>
    </w:p>
    <w:p w:rsidR="008E589A" w:rsidRPr="008E589A" w:rsidRDefault="008E589A" w:rsidP="008E589A">
      <w:pPr>
        <w:pStyle w:val="TextoNormalSangraFrancesa"/>
        <w:rPr>
          <w:rStyle w:val="TextoNormalCaracter"/>
        </w:rPr>
      </w:pPr>
      <w:bookmarkStart w:id="703" w:name="DESCRIPTORALFABETICO87"/>
      <w:r w:rsidRPr="008E589A">
        <w:rPr>
          <w:rStyle w:val="TextoNormalNegritaCaracter"/>
        </w:rPr>
        <w:t>Ausencia de prueba en contrario por parte de la empresa</w:t>
      </w:r>
      <w:bookmarkEnd w:id="703"/>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ff. 3, 5, 6.</w:t>
      </w:r>
    </w:p>
    <w:p w:rsidR="008E589A" w:rsidRPr="008E589A" w:rsidRDefault="008E589A" w:rsidP="008E589A">
      <w:pPr>
        <w:pStyle w:val="TextoNormalSangraFrancesa"/>
        <w:rPr>
          <w:rStyle w:val="TextoNormalCaracter"/>
        </w:rPr>
      </w:pPr>
      <w:bookmarkStart w:id="704" w:name="DESCRIPTORALFABETICO378"/>
      <w:r w:rsidRPr="008E589A">
        <w:rPr>
          <w:rStyle w:val="TextoNormalNegritaCaracter"/>
        </w:rPr>
        <w:t>Auto de aclaración</w:t>
      </w:r>
      <w:bookmarkEnd w:id="704"/>
      <w:r w:rsidRPr="008E589A">
        <w:rPr>
          <w:rStyle w:val="TextoNormalCaracter"/>
        </w:rPr>
        <w:t xml:space="preserve">, Sentencia </w:t>
      </w:r>
      <w:hyperlink w:anchor="SENTENCIA_1997_124" w:history="1">
        <w:r w:rsidRPr="008E589A">
          <w:rPr>
            <w:rStyle w:val="TextoNormalCaracter"/>
          </w:rPr>
          <w:t>124/1997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79" w:history="1">
        <w:r w:rsidRPr="008E589A">
          <w:rPr>
            <w:rStyle w:val="TextoNormalCaracter"/>
          </w:rPr>
          <w:t>279/1997</w:t>
        </w:r>
      </w:hyperlink>
      <w:r w:rsidRPr="008E589A">
        <w:rPr>
          <w:rStyle w:val="TextoNormalCaracter"/>
        </w:rPr>
        <w:t>.</w:t>
      </w:r>
    </w:p>
    <w:p w:rsidR="008E589A" w:rsidRPr="008E589A" w:rsidRDefault="008E589A" w:rsidP="008E589A">
      <w:pPr>
        <w:pStyle w:val="TextoNormalSangraFrancesa"/>
        <w:rPr>
          <w:rStyle w:val="TextoNormalCaracter"/>
        </w:rPr>
      </w:pPr>
      <w:bookmarkStart w:id="705" w:name="DESCRIPTORALFABETICO379"/>
      <w:r w:rsidRPr="008E589A">
        <w:rPr>
          <w:rStyle w:val="TextoNormalNegritaCaracter"/>
        </w:rPr>
        <w:t>Auto de prisión provisional</w:t>
      </w:r>
      <w:bookmarkEnd w:id="705"/>
      <w:r w:rsidRPr="008E589A">
        <w:rPr>
          <w:rStyle w:val="TextoNormalCaracter"/>
        </w:rPr>
        <w:t xml:space="preserve">, Sentencias </w:t>
      </w:r>
      <w:hyperlink w:anchor="SENTENCIA_1997_98" w:history="1">
        <w:r w:rsidRPr="008E589A">
          <w:rPr>
            <w:rStyle w:val="TextoNormalCaracter"/>
          </w:rPr>
          <w:t>98/1997</w:t>
        </w:r>
      </w:hyperlink>
      <w:r w:rsidRPr="008E589A">
        <w:rPr>
          <w:rStyle w:val="TextoNormalCaracter"/>
        </w:rPr>
        <w:t xml:space="preserve">, f. 7, VP; </w:t>
      </w:r>
      <w:hyperlink w:anchor="SENTENCIA_1997_107" w:history="1">
        <w:r w:rsidRPr="008E589A">
          <w:rPr>
            <w:rStyle w:val="TextoNormalCaracter"/>
          </w:rPr>
          <w:t>107/1997</w:t>
        </w:r>
      </w:hyperlink>
      <w:r w:rsidRPr="008E589A">
        <w:rPr>
          <w:rStyle w:val="TextoNormalCaracter"/>
        </w:rPr>
        <w:t>, f. 4.</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B</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706" w:name="DESCRIPTORALFABETICO425"/>
      <w:r w:rsidRPr="008E589A">
        <w:rPr>
          <w:rStyle w:val="TextoNormalNegritaCaracter"/>
        </w:rPr>
        <w:t>Baleares</w:t>
      </w:r>
      <w:bookmarkEnd w:id="706"/>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ff. 1, 2, 3, 4, 5.</w:t>
      </w:r>
    </w:p>
    <w:p w:rsidR="008E589A" w:rsidRPr="008E589A" w:rsidRDefault="008E589A" w:rsidP="008E589A">
      <w:pPr>
        <w:pStyle w:val="TextoNormalSangraFrancesa"/>
        <w:rPr>
          <w:rStyle w:val="TextoNormalCaracter"/>
        </w:rPr>
      </w:pPr>
      <w:bookmarkStart w:id="707" w:name="DESCRIPTORALFABETICO424"/>
      <w:r w:rsidRPr="008E589A">
        <w:rPr>
          <w:rStyle w:val="TextoNormalNegritaCaracter"/>
        </w:rPr>
        <w:t>Banco de España</w:t>
      </w:r>
      <w:bookmarkEnd w:id="707"/>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9.</w:t>
      </w:r>
    </w:p>
    <w:p w:rsidR="008E589A" w:rsidRPr="008E589A" w:rsidRDefault="008E589A" w:rsidP="008E589A">
      <w:pPr>
        <w:pStyle w:val="TextoNormalSangraFrancesa"/>
        <w:rPr>
          <w:rStyle w:val="TextoNormalNegritaCaracter"/>
        </w:rPr>
      </w:pPr>
      <w:r w:rsidRPr="008E589A">
        <w:rPr>
          <w:rStyle w:val="TextoNormalCursivaCaracter"/>
        </w:rPr>
        <w:t>Bases</w:t>
      </w:r>
      <w:r>
        <w:t xml:space="preserve"> véase </w:t>
      </w:r>
      <w:hyperlink w:anchor="DESCRIPTORALFABETICO239" w:history="1">
        <w:r w:rsidRPr="008E589A">
          <w:rPr>
            <w:rStyle w:val="TextoNormalNegritaCaracter"/>
          </w:rPr>
          <w:t>Legislación básica</w:t>
        </w:r>
      </w:hyperlink>
    </w:p>
    <w:p w:rsidR="008E589A" w:rsidRPr="008E589A" w:rsidRDefault="008E589A" w:rsidP="008E589A">
      <w:pPr>
        <w:pStyle w:val="TextoNormalSangraFrancesa"/>
        <w:rPr>
          <w:rStyle w:val="TextoNormalCaracter"/>
        </w:rPr>
      </w:pPr>
      <w:bookmarkStart w:id="708" w:name="DESCRIPTORALFABETICO276"/>
      <w:r w:rsidRPr="008E589A">
        <w:rPr>
          <w:rStyle w:val="TextoNormalNegritaCaracter"/>
        </w:rPr>
        <w:t>Bases reguladoras de la prestación</w:t>
      </w:r>
      <w:bookmarkEnd w:id="708"/>
      <w:r w:rsidRPr="008E589A">
        <w:rPr>
          <w:rStyle w:val="TextoNormalCaracter"/>
        </w:rPr>
        <w:t xml:space="preserve">, Sentencia </w:t>
      </w:r>
      <w:hyperlink w:anchor="SENTENCIA_1997_112" w:history="1">
        <w:r w:rsidRPr="008E589A">
          <w:rPr>
            <w:rStyle w:val="TextoNormalCaracter"/>
          </w:rPr>
          <w:t>112/1997</w:t>
        </w:r>
      </w:hyperlink>
      <w:r w:rsidRPr="008E589A">
        <w:rPr>
          <w:rStyle w:val="TextoNormalCaracter"/>
        </w:rPr>
        <w:t>, f. 5.</w:t>
      </w:r>
    </w:p>
    <w:p w:rsidR="008E589A" w:rsidRPr="008E589A" w:rsidRDefault="008E589A" w:rsidP="008E589A">
      <w:pPr>
        <w:pStyle w:val="TextoNormalSangraFrancesa"/>
        <w:rPr>
          <w:rStyle w:val="TextoNormalCaracter"/>
        </w:rPr>
      </w:pPr>
      <w:bookmarkStart w:id="709" w:name="DESCRIPTORALFABETICO235"/>
      <w:r w:rsidRPr="008E589A">
        <w:rPr>
          <w:rStyle w:val="TextoNormalNegritaCaracter"/>
        </w:rPr>
        <w:t>Bolsas</w:t>
      </w:r>
      <w:bookmarkEnd w:id="709"/>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5.</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C</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710" w:name="DESCRIPTORALFABETICO294"/>
      <w:r w:rsidRPr="008E589A">
        <w:rPr>
          <w:rStyle w:val="TextoNormalNegritaCaracter"/>
        </w:rPr>
        <w:t>Caducidad de la acción</w:t>
      </w:r>
      <w:bookmarkEnd w:id="710"/>
      <w:r w:rsidRPr="008E589A">
        <w:rPr>
          <w:rStyle w:val="TextoNormalCaracter"/>
        </w:rPr>
        <w:t xml:space="preserve">, Sentencia </w:t>
      </w:r>
      <w:hyperlink w:anchor="SENTENCIA_1997_104" w:history="1">
        <w:r w:rsidRPr="008E589A">
          <w:rPr>
            <w:rStyle w:val="TextoNormalCaracter"/>
          </w:rPr>
          <w:t>104/1997</w:t>
        </w:r>
      </w:hyperlink>
      <w:r w:rsidRPr="008E589A">
        <w:rPr>
          <w:rStyle w:val="TextoNormalCaracter"/>
        </w:rPr>
        <w:t>, ff. 1, 2, 3, 4, 5, 6, 7.</w:t>
      </w:r>
    </w:p>
    <w:p w:rsidR="008E589A" w:rsidRPr="008E589A" w:rsidRDefault="008E589A" w:rsidP="008E589A">
      <w:pPr>
        <w:pStyle w:val="TextoNormalSangraFrancesa"/>
        <w:rPr>
          <w:rStyle w:val="TextoNormalCaracter"/>
        </w:rPr>
      </w:pPr>
      <w:bookmarkStart w:id="711" w:name="DESCRIPTORALFABETICO250"/>
      <w:r w:rsidRPr="008E589A">
        <w:rPr>
          <w:rStyle w:val="TextoNormalNegritaCaracter"/>
        </w:rPr>
        <w:lastRenderedPageBreak/>
        <w:t>Calificación no vinculante para el Tribunal Constitucional</w:t>
      </w:r>
      <w:bookmarkEnd w:id="711"/>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2.</w:t>
      </w:r>
    </w:p>
    <w:p w:rsidR="008E589A" w:rsidRPr="008E589A" w:rsidRDefault="008E589A" w:rsidP="008E589A">
      <w:pPr>
        <w:pStyle w:val="TextoNormalSangraFrancesa"/>
        <w:rPr>
          <w:rStyle w:val="TextoNormalCaracter"/>
        </w:rPr>
      </w:pPr>
      <w:bookmarkStart w:id="712" w:name="DESCRIPTORALFABETICO268"/>
      <w:r w:rsidRPr="008E589A">
        <w:rPr>
          <w:rStyle w:val="TextoNormalNegritaCaracter"/>
        </w:rPr>
        <w:t>Carácter simbólico de los títulos nobiliarios</w:t>
      </w:r>
      <w:bookmarkEnd w:id="712"/>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ff. 11, 12, 15.</w:t>
      </w:r>
    </w:p>
    <w:p w:rsidR="008E589A" w:rsidRPr="008E589A" w:rsidRDefault="008E589A" w:rsidP="008E589A">
      <w:pPr>
        <w:pStyle w:val="TextoNormalSangraFrancesa"/>
        <w:rPr>
          <w:rStyle w:val="TextoNormalCaracter"/>
        </w:rPr>
      </w:pPr>
      <w:bookmarkStart w:id="713" w:name="DESCRIPTORALFABETICO138"/>
      <w:r w:rsidRPr="008E589A">
        <w:rPr>
          <w:rStyle w:val="TextoNormalNegritaCaracter"/>
        </w:rPr>
        <w:t>Carácter subsidiario del recurso de amparo</w:t>
      </w:r>
      <w:bookmarkEnd w:id="713"/>
      <w:r w:rsidRPr="008E589A">
        <w:rPr>
          <w:rStyle w:val="TextoNormalCaracter"/>
        </w:rPr>
        <w:t xml:space="preserve">, Sentencia </w:t>
      </w:r>
      <w:hyperlink w:anchor="SENTENCIA_1997_95" w:history="1">
        <w:r w:rsidRPr="008E589A">
          <w:rPr>
            <w:rStyle w:val="TextoNormalCaracter"/>
          </w:rPr>
          <w:t>95/1997</w:t>
        </w:r>
      </w:hyperlink>
      <w:r w:rsidRPr="008E589A">
        <w:rPr>
          <w:rStyle w:val="TextoNormalCaracter"/>
        </w:rPr>
        <w:t>, f. 3.</w:t>
      </w:r>
    </w:p>
    <w:p w:rsidR="008E589A" w:rsidRPr="008E589A" w:rsidRDefault="008E589A" w:rsidP="008E589A">
      <w:pPr>
        <w:pStyle w:val="TextoNormalSangraFrancesa"/>
        <w:rPr>
          <w:rStyle w:val="TextoNormalNegritaCaracter"/>
        </w:rPr>
      </w:pPr>
      <w:r w:rsidRPr="008E589A">
        <w:rPr>
          <w:rStyle w:val="TextoNormalCursivaCaracter"/>
        </w:rPr>
        <w:t>Carencia de contenido constitucional</w:t>
      </w:r>
      <w:r>
        <w:t xml:space="preserve"> véase </w:t>
      </w:r>
      <w:hyperlink w:anchor="DESCRIPTORALFABETICO154" w:history="1">
        <w:r w:rsidRPr="008E589A">
          <w:rPr>
            <w:rStyle w:val="TextoNormalNegritaCaracter"/>
          </w:rPr>
          <w:t>Carencia de contenido que justifique una decisión sobre el fondo del asunto</w:t>
        </w:r>
      </w:hyperlink>
    </w:p>
    <w:p w:rsidR="008E589A" w:rsidRPr="008E589A" w:rsidRDefault="008E589A" w:rsidP="008E589A">
      <w:pPr>
        <w:pStyle w:val="TextoNormalSangraFrancesa"/>
        <w:rPr>
          <w:rStyle w:val="TextoNormalCaracter"/>
        </w:rPr>
      </w:pPr>
      <w:bookmarkStart w:id="714" w:name="DESCRIPTORALFABETICO154"/>
      <w:r w:rsidRPr="008E589A">
        <w:rPr>
          <w:rStyle w:val="TextoNormalNegritaCaracter"/>
        </w:rPr>
        <w:t>Carencia de contenido que justifique una decisión sobre el fondo del asunto</w:t>
      </w:r>
      <w:bookmarkEnd w:id="714"/>
      <w:r w:rsidRPr="008E589A">
        <w:rPr>
          <w:rStyle w:val="TextoNormalCaracter"/>
        </w:rPr>
        <w:t xml:space="preserve">, Autos </w:t>
      </w:r>
      <w:hyperlink w:anchor="AUTO_1997_130" w:history="1">
        <w:r w:rsidRPr="008E589A">
          <w:rPr>
            <w:rStyle w:val="TextoNormalCaracter"/>
          </w:rPr>
          <w:t>130/1997</w:t>
        </w:r>
      </w:hyperlink>
      <w:r w:rsidRPr="008E589A">
        <w:rPr>
          <w:rStyle w:val="TextoNormalCaracter"/>
        </w:rPr>
        <w:t xml:space="preserve">; </w:t>
      </w:r>
      <w:hyperlink w:anchor="AUTO_1997_135" w:history="1">
        <w:r w:rsidRPr="008E589A">
          <w:rPr>
            <w:rStyle w:val="TextoNormalCaracter"/>
          </w:rPr>
          <w:t>135/1997</w:t>
        </w:r>
      </w:hyperlink>
      <w:r w:rsidRPr="008E589A">
        <w:rPr>
          <w:rStyle w:val="TextoNormalCaracter"/>
        </w:rPr>
        <w:t xml:space="preserve">; </w:t>
      </w:r>
      <w:hyperlink w:anchor="AUTO_1997_154" w:history="1">
        <w:r w:rsidRPr="008E589A">
          <w:rPr>
            <w:rStyle w:val="TextoNormalCaracter"/>
          </w:rPr>
          <w:t>154/1997</w:t>
        </w:r>
      </w:hyperlink>
      <w:r w:rsidRPr="008E589A">
        <w:rPr>
          <w:rStyle w:val="TextoNormalCaracter"/>
        </w:rPr>
        <w:t xml:space="preserve">; </w:t>
      </w:r>
      <w:hyperlink w:anchor="AUTO_1997_157" w:history="1">
        <w:r w:rsidRPr="008E589A">
          <w:rPr>
            <w:rStyle w:val="TextoNormalCaracter"/>
          </w:rPr>
          <w:t>157/1997</w:t>
        </w:r>
      </w:hyperlink>
      <w:r w:rsidRPr="008E589A">
        <w:rPr>
          <w:rStyle w:val="TextoNormalCaracter"/>
        </w:rPr>
        <w:t xml:space="preserve">; </w:t>
      </w:r>
      <w:hyperlink w:anchor="AUTO_1997_174" w:history="1">
        <w:r w:rsidRPr="008E589A">
          <w:rPr>
            <w:rStyle w:val="TextoNormalCaracter"/>
          </w:rPr>
          <w:t>174/1997</w:t>
        </w:r>
      </w:hyperlink>
      <w:r w:rsidRPr="008E589A">
        <w:rPr>
          <w:rStyle w:val="TextoNormalCaracter"/>
        </w:rPr>
        <w:t xml:space="preserve">; </w:t>
      </w:r>
      <w:hyperlink w:anchor="AUTO_1997_175" w:history="1">
        <w:r w:rsidRPr="008E589A">
          <w:rPr>
            <w:rStyle w:val="TextoNormalCaracter"/>
          </w:rPr>
          <w:t>175/1997</w:t>
        </w:r>
      </w:hyperlink>
      <w:r w:rsidRPr="008E589A">
        <w:rPr>
          <w:rStyle w:val="TextoNormalCaracter"/>
        </w:rPr>
        <w:t xml:space="preserve">; </w:t>
      </w:r>
      <w:hyperlink w:anchor="AUTO_1997_182" w:history="1">
        <w:r w:rsidRPr="008E589A">
          <w:rPr>
            <w:rStyle w:val="TextoNormalCaracter"/>
          </w:rPr>
          <w:t>182/1997</w:t>
        </w:r>
      </w:hyperlink>
      <w:r w:rsidRPr="008E589A">
        <w:rPr>
          <w:rStyle w:val="TextoNormalCaracter"/>
        </w:rPr>
        <w:t xml:space="preserve">; </w:t>
      </w:r>
      <w:hyperlink w:anchor="AUTO_1997_191" w:history="1">
        <w:r w:rsidRPr="008E589A">
          <w:rPr>
            <w:rStyle w:val="TextoNormalCaracter"/>
          </w:rPr>
          <w:t>191/1997</w:t>
        </w:r>
      </w:hyperlink>
      <w:r w:rsidRPr="008E589A">
        <w:rPr>
          <w:rStyle w:val="TextoNormalCaracter"/>
        </w:rPr>
        <w:t xml:space="preserve">; </w:t>
      </w:r>
      <w:hyperlink w:anchor="AUTO_1997_195" w:history="1">
        <w:r w:rsidRPr="008E589A">
          <w:rPr>
            <w:rStyle w:val="TextoNormalCaracter"/>
          </w:rPr>
          <w:t>195/1997</w:t>
        </w:r>
      </w:hyperlink>
      <w:r w:rsidRPr="008E589A">
        <w:rPr>
          <w:rStyle w:val="TextoNormalCaracter"/>
        </w:rPr>
        <w:t xml:space="preserve">; </w:t>
      </w:r>
      <w:hyperlink w:anchor="AUTO_1997_207" w:history="1">
        <w:r w:rsidRPr="008E589A">
          <w:rPr>
            <w:rStyle w:val="TextoNormalCaracter"/>
          </w:rPr>
          <w:t>207/1997</w:t>
        </w:r>
      </w:hyperlink>
      <w:r w:rsidRPr="008E589A">
        <w:rPr>
          <w:rStyle w:val="TextoNormalCaracter"/>
        </w:rPr>
        <w:t xml:space="preserve">; </w:t>
      </w:r>
      <w:hyperlink w:anchor="AUTO_1997_208" w:history="1">
        <w:r w:rsidRPr="008E589A">
          <w:rPr>
            <w:rStyle w:val="TextoNormalCaracter"/>
          </w:rPr>
          <w:t>208/1997</w:t>
        </w:r>
      </w:hyperlink>
      <w:r w:rsidRPr="008E589A">
        <w:rPr>
          <w:rStyle w:val="TextoNormalCaracter"/>
        </w:rPr>
        <w:t xml:space="preserve">; </w:t>
      </w:r>
      <w:hyperlink w:anchor="AUTO_1997_238" w:history="1">
        <w:r w:rsidRPr="008E589A">
          <w:rPr>
            <w:rStyle w:val="TextoNormalCaracter"/>
          </w:rPr>
          <w:t>238/1997</w:t>
        </w:r>
      </w:hyperlink>
      <w:r w:rsidRPr="008E589A">
        <w:rPr>
          <w:rStyle w:val="TextoNormalCaracter"/>
        </w:rPr>
        <w:t xml:space="preserve">; </w:t>
      </w:r>
      <w:hyperlink w:anchor="AUTO_1997_254" w:history="1">
        <w:r w:rsidRPr="008E589A">
          <w:rPr>
            <w:rStyle w:val="TextoNormalCaracter"/>
          </w:rPr>
          <w:t>254/1997</w:t>
        </w:r>
      </w:hyperlink>
      <w:r w:rsidRPr="008E589A">
        <w:rPr>
          <w:rStyle w:val="TextoNormalCaracter"/>
        </w:rPr>
        <w:t xml:space="preserve">; </w:t>
      </w:r>
      <w:hyperlink w:anchor="AUTO_1997_267" w:history="1">
        <w:r w:rsidRPr="008E589A">
          <w:rPr>
            <w:rStyle w:val="TextoNormalCaracter"/>
          </w:rPr>
          <w:t>267/1997</w:t>
        </w:r>
      </w:hyperlink>
      <w:r w:rsidRPr="008E589A">
        <w:rPr>
          <w:rStyle w:val="TextoNormalCaracter"/>
        </w:rPr>
        <w:t xml:space="preserve">; </w:t>
      </w:r>
      <w:hyperlink w:anchor="AUTO_1997_275" w:history="1">
        <w:r w:rsidRPr="008E589A">
          <w:rPr>
            <w:rStyle w:val="TextoNormalCaracter"/>
          </w:rPr>
          <w:t>275/1997</w:t>
        </w:r>
      </w:hyperlink>
      <w:r w:rsidRPr="008E589A">
        <w:rPr>
          <w:rStyle w:val="TextoNormalCaracter"/>
        </w:rPr>
        <w:t xml:space="preserve">; </w:t>
      </w:r>
      <w:hyperlink w:anchor="AUTO_1997_277" w:history="1">
        <w:r w:rsidRPr="008E589A">
          <w:rPr>
            <w:rStyle w:val="TextoNormalCaracter"/>
          </w:rPr>
          <w:t>277/1997</w:t>
        </w:r>
      </w:hyperlink>
      <w:r w:rsidRPr="008E589A">
        <w:rPr>
          <w:rStyle w:val="TextoNormalCaracter"/>
        </w:rPr>
        <w:t xml:space="preserve">;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715" w:name="DESCRIPTORALFABETICO96"/>
      <w:r w:rsidRPr="008E589A">
        <w:rPr>
          <w:rStyle w:val="TextoNormalNegritaCaracter"/>
        </w:rPr>
        <w:t>Carencia de jurisdicción para el reconocimiento de indemnizaciones</w:t>
      </w:r>
      <w:bookmarkEnd w:id="715"/>
      <w:r w:rsidRPr="008E589A">
        <w:rPr>
          <w:rStyle w:val="TextoNormalCaracter"/>
        </w:rPr>
        <w:t xml:space="preserve">, Sentencia </w:t>
      </w:r>
      <w:hyperlink w:anchor="SENTENCIA_1997_109" w:history="1">
        <w:r w:rsidRPr="008E589A">
          <w:rPr>
            <w:rStyle w:val="TextoNormalCaracter"/>
          </w:rPr>
          <w:t>109/1997</w:t>
        </w:r>
      </w:hyperlink>
      <w:r w:rsidRPr="008E589A">
        <w:rPr>
          <w:rStyle w:val="TextoNormalCaracter"/>
        </w:rPr>
        <w:t>, f. 3.</w:t>
      </w:r>
    </w:p>
    <w:p w:rsidR="008E589A" w:rsidRPr="008E589A" w:rsidRDefault="008E589A" w:rsidP="008E589A">
      <w:pPr>
        <w:pStyle w:val="TextoNormalSangraFrancesa"/>
        <w:rPr>
          <w:rStyle w:val="TextoNormalCaracter"/>
        </w:rPr>
      </w:pPr>
      <w:bookmarkStart w:id="716" w:name="DESCRIPTORALFABETICO97"/>
      <w:r w:rsidRPr="008E589A">
        <w:rPr>
          <w:rStyle w:val="TextoNormalNegritaCaracter"/>
        </w:rPr>
        <w:t>Carencia de jurisdicción para resolver dudas interpretativas</w:t>
      </w:r>
      <w:bookmarkEnd w:id="716"/>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35" w:history="1">
        <w:r w:rsidRPr="008E589A">
          <w:rPr>
            <w:rStyle w:val="TextoNormalCaracter"/>
          </w:rPr>
          <w:t>235/1997</w:t>
        </w:r>
      </w:hyperlink>
      <w:r w:rsidRPr="008E589A">
        <w:rPr>
          <w:rStyle w:val="TextoNormalCaracter"/>
        </w:rPr>
        <w:t>.</w:t>
      </w:r>
    </w:p>
    <w:p w:rsidR="008E589A" w:rsidRPr="008E589A" w:rsidRDefault="008E589A" w:rsidP="008E589A">
      <w:pPr>
        <w:pStyle w:val="TextoNormalSangraFrancesa"/>
        <w:rPr>
          <w:rStyle w:val="TextoNormalCaracter"/>
        </w:rPr>
      </w:pPr>
      <w:bookmarkStart w:id="717" w:name="DESCRIPTORALFABETICO60"/>
      <w:r w:rsidRPr="008E589A">
        <w:rPr>
          <w:rStyle w:val="TextoNormalNegritaCaracter"/>
        </w:rPr>
        <w:t>Carencia de razonamiento jurídico coherente</w:t>
      </w:r>
      <w:bookmarkEnd w:id="717"/>
      <w:r w:rsidRPr="008E589A">
        <w:rPr>
          <w:rStyle w:val="TextoNormalCaracter"/>
        </w:rPr>
        <w:t xml:space="preserve">, Sentencia </w:t>
      </w:r>
      <w:hyperlink w:anchor="SENTENCIA_1997_139" w:history="1">
        <w:r w:rsidRPr="008E589A">
          <w:rPr>
            <w:rStyle w:val="TextoNormalCaracter"/>
          </w:rPr>
          <w:t>139/1997</w:t>
        </w:r>
      </w:hyperlink>
      <w:r w:rsidRPr="008E589A">
        <w:rPr>
          <w:rStyle w:val="TextoNormalCaracter"/>
        </w:rPr>
        <w:t>, f. 2.</w:t>
      </w:r>
    </w:p>
    <w:p w:rsidR="008E589A" w:rsidRPr="008E589A" w:rsidRDefault="008E589A" w:rsidP="008E589A">
      <w:pPr>
        <w:pStyle w:val="TextoNormalSangraFrancesa"/>
        <w:rPr>
          <w:rStyle w:val="TextoNormalCaracter"/>
        </w:rPr>
      </w:pPr>
      <w:bookmarkStart w:id="718" w:name="DESCRIPTORALFABETICO168"/>
      <w:r w:rsidRPr="008E589A">
        <w:rPr>
          <w:rStyle w:val="TextoNormalNegritaCaracter"/>
        </w:rPr>
        <w:t>Carrera fiscal</w:t>
      </w:r>
      <w:bookmarkEnd w:id="718"/>
      <w:r w:rsidRPr="008E589A">
        <w:rPr>
          <w:rStyle w:val="TextoNormalCaracter"/>
        </w:rPr>
        <w:t xml:space="preserve">, Auto </w:t>
      </w:r>
      <w:hyperlink w:anchor="AUTO_1997_254" w:history="1">
        <w:r w:rsidRPr="008E589A">
          <w:rPr>
            <w:rStyle w:val="TextoNormalCaracter"/>
          </w:rPr>
          <w:t>254/1997</w:t>
        </w:r>
      </w:hyperlink>
      <w:r w:rsidRPr="008E589A">
        <w:rPr>
          <w:rStyle w:val="TextoNormalCaracter"/>
        </w:rPr>
        <w:t>.</w:t>
      </w:r>
    </w:p>
    <w:p w:rsidR="008E589A" w:rsidRPr="008E589A" w:rsidRDefault="008E589A" w:rsidP="008E589A">
      <w:pPr>
        <w:pStyle w:val="TextoNormalSangraFrancesa"/>
        <w:rPr>
          <w:rStyle w:val="TextoNormalCaracter"/>
        </w:rPr>
      </w:pPr>
      <w:bookmarkStart w:id="719" w:name="DESCRIPTORALFABETICO198"/>
      <w:r w:rsidRPr="008E589A">
        <w:rPr>
          <w:rStyle w:val="TextoNormalNegritaCaracter"/>
        </w:rPr>
        <w:t>Catalán</w:t>
      </w:r>
      <w:bookmarkEnd w:id="719"/>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2.</w:t>
      </w:r>
    </w:p>
    <w:p w:rsidR="008E589A" w:rsidRPr="008E589A" w:rsidRDefault="008E589A" w:rsidP="008E589A">
      <w:pPr>
        <w:pStyle w:val="TextoNormalSangraFrancesa"/>
        <w:rPr>
          <w:rStyle w:val="TextoNormalCaracter"/>
        </w:rPr>
      </w:pPr>
      <w:bookmarkStart w:id="720" w:name="DESCRIPTORALFABETICO121"/>
      <w:r w:rsidRPr="008E589A">
        <w:rPr>
          <w:rStyle w:val="TextoNormalNegritaCaracter"/>
        </w:rPr>
        <w:t>Causas de inadmisión de la cuestión de inconstitucionalidad</w:t>
      </w:r>
      <w:bookmarkEnd w:id="720"/>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VP I, VP II.</w:t>
      </w:r>
    </w:p>
    <w:p w:rsidR="008E589A" w:rsidRPr="008E589A" w:rsidRDefault="008E589A" w:rsidP="008E589A">
      <w:pPr>
        <w:pStyle w:val="TextoNormalSangraFrancesa"/>
        <w:rPr>
          <w:rStyle w:val="TextoNormalCaracter"/>
        </w:rPr>
      </w:pPr>
      <w:bookmarkStart w:id="721" w:name="DESCRIPTORALFABETICO401"/>
      <w:r w:rsidRPr="008E589A">
        <w:rPr>
          <w:rStyle w:val="TextoNormalNegritaCaracter"/>
        </w:rPr>
        <w:t>Causas de inadmisión del recurso de suplicación</w:t>
      </w:r>
      <w:bookmarkEnd w:id="721"/>
      <w:r w:rsidRPr="008E589A">
        <w:rPr>
          <w:rStyle w:val="TextoNormalCaracter"/>
        </w:rPr>
        <w:t xml:space="preserve">, Sentencia </w:t>
      </w:r>
      <w:hyperlink w:anchor="SENTENCIA_1997_93" w:history="1">
        <w:r w:rsidRPr="008E589A">
          <w:rPr>
            <w:rStyle w:val="TextoNormalCaracter"/>
          </w:rPr>
          <w:t>93/1997</w:t>
        </w:r>
      </w:hyperlink>
      <w:r w:rsidRPr="008E589A">
        <w:rPr>
          <w:rStyle w:val="TextoNormalCaracter"/>
        </w:rPr>
        <w:t>, f. 3.</w:t>
      </w:r>
    </w:p>
    <w:p w:rsidR="008E589A" w:rsidRPr="008E589A" w:rsidRDefault="008E589A" w:rsidP="008E589A">
      <w:pPr>
        <w:pStyle w:val="TextoNormalSangraFrancesa"/>
        <w:rPr>
          <w:rStyle w:val="TextoNormalCaracter"/>
        </w:rPr>
      </w:pPr>
      <w:bookmarkStart w:id="722" w:name="DESCRIPTORALFABETICO324"/>
      <w:r w:rsidRPr="008E589A">
        <w:rPr>
          <w:rStyle w:val="TextoNormalNegritaCaracter"/>
        </w:rPr>
        <w:t>Causas legales de inejecución</w:t>
      </w:r>
      <w:bookmarkEnd w:id="722"/>
      <w:r w:rsidRPr="008E589A">
        <w:rPr>
          <w:rStyle w:val="TextoNormalCaracter"/>
        </w:rPr>
        <w:t xml:space="preserve">, Auto </w:t>
      </w:r>
      <w:hyperlink w:anchor="AUTO_1997_278" w:history="1">
        <w:r w:rsidRPr="008E589A">
          <w:rPr>
            <w:rStyle w:val="TextoNormalCaracter"/>
          </w:rPr>
          <w:t>278/1997</w:t>
        </w:r>
      </w:hyperlink>
      <w:r w:rsidRPr="008E589A">
        <w:rPr>
          <w:rStyle w:val="TextoNormalCaracter"/>
        </w:rPr>
        <w:t>.</w:t>
      </w:r>
    </w:p>
    <w:p w:rsidR="008E589A" w:rsidRPr="008E589A" w:rsidRDefault="008E589A" w:rsidP="008E589A">
      <w:pPr>
        <w:pStyle w:val="TextoNormalSangraFrancesa"/>
        <w:rPr>
          <w:rStyle w:val="TextoNormalCaracter"/>
        </w:rPr>
      </w:pPr>
      <w:bookmarkStart w:id="723" w:name="DESCRIPTORALFABETICO211"/>
      <w:r w:rsidRPr="008E589A">
        <w:rPr>
          <w:rStyle w:val="TextoNormalNegritaCaracter"/>
        </w:rPr>
        <w:t>Centros docentes dependientes del Ministerio de Defensa</w:t>
      </w:r>
      <w:bookmarkEnd w:id="723"/>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3.</w:t>
      </w:r>
    </w:p>
    <w:p w:rsidR="008E589A" w:rsidRPr="008E589A" w:rsidRDefault="008E589A" w:rsidP="008E589A">
      <w:pPr>
        <w:pStyle w:val="TextoNormalSangraFrancesa"/>
        <w:rPr>
          <w:rStyle w:val="TextoNormalCaracter"/>
        </w:rPr>
      </w:pPr>
      <w:bookmarkStart w:id="724" w:name="DESCRIPTORALFABETICO212"/>
      <w:r w:rsidRPr="008E589A">
        <w:rPr>
          <w:rStyle w:val="TextoNormalNegritaCaracter"/>
        </w:rPr>
        <w:t>Centros docentes públicos</w:t>
      </w:r>
      <w:bookmarkEnd w:id="724"/>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3.</w:t>
      </w:r>
    </w:p>
    <w:p w:rsidR="008E589A" w:rsidRPr="008E589A" w:rsidRDefault="008E589A" w:rsidP="008E589A">
      <w:pPr>
        <w:pStyle w:val="TextoNormalSangraFrancesa"/>
        <w:rPr>
          <w:rStyle w:val="TextoNormalCaracter"/>
        </w:rPr>
      </w:pPr>
      <w:bookmarkStart w:id="725" w:name="DESCRIPTORALFABETICO130"/>
      <w:r w:rsidRPr="008E589A">
        <w:rPr>
          <w:rStyle w:val="TextoNormalNegritaCaracter"/>
        </w:rPr>
        <w:t>Cita numérica de los artículos de la Constitución no exigible</w:t>
      </w:r>
      <w:bookmarkEnd w:id="725"/>
      <w:r w:rsidRPr="008E589A">
        <w:rPr>
          <w:rStyle w:val="TextoNormalCaracter"/>
        </w:rPr>
        <w:t xml:space="preserve">, Sentencia </w:t>
      </w:r>
      <w:hyperlink w:anchor="SENTENCIA_1997_99" w:history="1">
        <w:r w:rsidRPr="008E589A">
          <w:rPr>
            <w:rStyle w:val="TextoNormalCaracter"/>
          </w:rPr>
          <w:t>99/1997</w:t>
        </w:r>
      </w:hyperlink>
      <w:r w:rsidRPr="008E589A">
        <w:rPr>
          <w:rStyle w:val="TextoNormalCaracter"/>
        </w:rPr>
        <w:t>, f. 2.</w:t>
      </w:r>
    </w:p>
    <w:p w:rsidR="008E589A" w:rsidRPr="008E589A" w:rsidRDefault="008E589A" w:rsidP="008E589A">
      <w:pPr>
        <w:pStyle w:val="TextoNormalSangraFrancesa"/>
        <w:rPr>
          <w:rStyle w:val="TextoNormalCaracter"/>
        </w:rPr>
      </w:pPr>
      <w:bookmarkStart w:id="726" w:name="DESCRIPTORALFABETICO298"/>
      <w:r w:rsidRPr="008E589A">
        <w:rPr>
          <w:rStyle w:val="TextoNormalNegritaCaracter"/>
        </w:rPr>
        <w:t>Citación judicial</w:t>
      </w:r>
      <w:bookmarkEnd w:id="726"/>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 4.</w:t>
      </w:r>
    </w:p>
    <w:p w:rsidR="008E589A" w:rsidRPr="008E589A" w:rsidRDefault="008E589A" w:rsidP="008E589A">
      <w:pPr>
        <w:pStyle w:val="TextoNormalSangraFrancesa"/>
        <w:rPr>
          <w:rStyle w:val="TextoNormalCaracter"/>
        </w:rPr>
      </w:pPr>
      <w:bookmarkStart w:id="727" w:name="DESCRIPTORALFABETICO299"/>
      <w:r w:rsidRPr="008E589A">
        <w:rPr>
          <w:rStyle w:val="TextoNormalNegritaCaracter"/>
        </w:rPr>
        <w:t>Citación realizada a través de mandatario verbal</w:t>
      </w:r>
      <w:bookmarkEnd w:id="727"/>
      <w:r w:rsidRPr="008E589A">
        <w:rPr>
          <w:rStyle w:val="TextoNormalCaracter"/>
        </w:rPr>
        <w:t xml:space="preserve">, Sentencia </w:t>
      </w:r>
      <w:hyperlink w:anchor="SENTENCIA_1997_110" w:history="1">
        <w:r w:rsidRPr="008E589A">
          <w:rPr>
            <w:rStyle w:val="TextoNormalCaracter"/>
          </w:rPr>
          <w:t>110/1997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728" w:name="DESCRIPTORALFABETICO236"/>
      <w:r w:rsidRPr="008E589A">
        <w:rPr>
          <w:rStyle w:val="TextoNormalNegritaCaracter"/>
        </w:rPr>
        <w:t>Comisión Nacional del Mercado de Valores</w:t>
      </w:r>
      <w:bookmarkEnd w:id="728"/>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7.</w:t>
      </w:r>
    </w:p>
    <w:p w:rsidR="008E589A" w:rsidRPr="008E589A" w:rsidRDefault="008E589A" w:rsidP="008E589A">
      <w:pPr>
        <w:pStyle w:val="TextoNormalSangraFrancesa"/>
        <w:rPr>
          <w:rStyle w:val="TextoNormalCaracter"/>
        </w:rPr>
      </w:pPr>
      <w:r w:rsidRPr="008E589A">
        <w:rPr>
          <w:rStyle w:val="TextoNormalCursivaCaracter"/>
        </w:rPr>
        <w:t xml:space="preserve">    Función, </w:t>
      </w:r>
      <w:r w:rsidRPr="008E589A">
        <w:rPr>
          <w:rStyle w:val="TextoNormalCaracter"/>
        </w:rPr>
        <w:t xml:space="preserve">Sentencia </w:t>
      </w:r>
      <w:hyperlink w:anchor="SENTENCIA_1997_133" w:history="1">
        <w:r w:rsidRPr="008E589A">
          <w:rPr>
            <w:rStyle w:val="TextoNormalCaracter"/>
          </w:rPr>
          <w:t>133/1997</w:t>
        </w:r>
      </w:hyperlink>
      <w:r w:rsidRPr="008E589A">
        <w:rPr>
          <w:rStyle w:val="TextoNormalCaracter"/>
        </w:rPr>
        <w:t>, f. 7.</w:t>
      </w:r>
    </w:p>
    <w:p w:rsidR="008E589A" w:rsidRPr="008E589A" w:rsidRDefault="008E589A" w:rsidP="008E589A">
      <w:pPr>
        <w:pStyle w:val="TextoNormalSangraFrancesa"/>
        <w:rPr>
          <w:rStyle w:val="TextoNormalCaracter"/>
        </w:rPr>
      </w:pPr>
      <w:bookmarkStart w:id="729" w:name="DESCRIPTORALFABETICO262"/>
      <w:r w:rsidRPr="008E589A">
        <w:rPr>
          <w:rStyle w:val="TextoNormalNegritaCaracter"/>
        </w:rPr>
        <w:t>Comiso</w:t>
      </w:r>
      <w:bookmarkEnd w:id="729"/>
      <w:r w:rsidRPr="008E589A">
        <w:rPr>
          <w:rStyle w:val="TextoNormalCaracter"/>
        </w:rPr>
        <w:t xml:space="preserve">, Sentencia </w:t>
      </w:r>
      <w:hyperlink w:anchor="SENTENCIA_1997_92" w:history="1">
        <w:r w:rsidRPr="008E589A">
          <w:rPr>
            <w:rStyle w:val="TextoNormalCaracter"/>
          </w:rPr>
          <w:t>92/1997</w:t>
        </w:r>
      </w:hyperlink>
      <w:r w:rsidRPr="008E589A">
        <w:rPr>
          <w:rStyle w:val="TextoNormalCaracter"/>
        </w:rPr>
        <w:t>, f. 3.</w:t>
      </w:r>
    </w:p>
    <w:p w:rsidR="008E589A" w:rsidRPr="008E589A" w:rsidRDefault="008E589A" w:rsidP="008E589A">
      <w:pPr>
        <w:pStyle w:val="TextoNormalSangraFrancesa"/>
        <w:rPr>
          <w:rStyle w:val="TextoNormalCaracter"/>
        </w:rPr>
      </w:pPr>
      <w:bookmarkStart w:id="730" w:name="DESCRIPTORALFABETICO99"/>
      <w:r w:rsidRPr="008E589A">
        <w:rPr>
          <w:rStyle w:val="TextoNormalNegritaCaracter"/>
        </w:rPr>
        <w:t>Competencia en materia de interpretación de las normas jurídicas</w:t>
      </w:r>
      <w:bookmarkEnd w:id="730"/>
      <w:r w:rsidRPr="008E589A">
        <w:rPr>
          <w:rStyle w:val="TextoNormalCaracter"/>
        </w:rPr>
        <w:t xml:space="preserve">, Sentencia </w:t>
      </w:r>
      <w:hyperlink w:anchor="SENTENCIA_1997_96" w:history="1">
        <w:r w:rsidRPr="008E589A">
          <w:rPr>
            <w:rStyle w:val="TextoNormalCaracter"/>
          </w:rPr>
          <w:t>96/1997</w:t>
        </w:r>
      </w:hyperlink>
      <w:r w:rsidRPr="008E589A">
        <w:rPr>
          <w:rStyle w:val="TextoNormalCaracter"/>
        </w:rPr>
        <w:t>, f. 5.</w:t>
      </w:r>
    </w:p>
    <w:p w:rsidR="008E589A" w:rsidRPr="008E589A" w:rsidRDefault="008E589A" w:rsidP="008E589A">
      <w:pPr>
        <w:pStyle w:val="TextoNormalSangraFrancesa"/>
        <w:rPr>
          <w:rStyle w:val="TextoNormalNegritaCaracter"/>
        </w:rPr>
      </w:pPr>
      <w:r w:rsidRPr="008E589A">
        <w:rPr>
          <w:rStyle w:val="TextoNormalCursivaCaracter"/>
        </w:rPr>
        <w:t>Competencia para la protección de las libertades constitucionales</w:t>
      </w:r>
      <w:r>
        <w:t xml:space="preserve"> véase </w:t>
      </w:r>
      <w:hyperlink w:anchor="DESCRIPTORALFABETICO100" w:history="1">
        <w:r w:rsidRPr="008E589A">
          <w:rPr>
            <w:rStyle w:val="TextoNormalNegritaCaracter"/>
          </w:rPr>
          <w:t>Competencia para la protección de los derechos fundamentales</w:t>
        </w:r>
      </w:hyperlink>
    </w:p>
    <w:p w:rsidR="008E589A" w:rsidRPr="008E589A" w:rsidRDefault="008E589A" w:rsidP="008E589A">
      <w:pPr>
        <w:pStyle w:val="TextoNormalSangraFrancesa"/>
        <w:rPr>
          <w:rStyle w:val="TextoNormalCaracter"/>
        </w:rPr>
      </w:pPr>
      <w:bookmarkStart w:id="731" w:name="DESCRIPTORALFABETICO100"/>
      <w:r w:rsidRPr="008E589A">
        <w:rPr>
          <w:rStyle w:val="TextoNormalNegritaCaracter"/>
        </w:rPr>
        <w:t>Competencia para la protección de los derechos fundamentales</w:t>
      </w:r>
      <w:bookmarkEnd w:id="731"/>
      <w:r w:rsidRPr="008E589A">
        <w:rPr>
          <w:rStyle w:val="TextoNormalCaracter"/>
        </w:rPr>
        <w:t xml:space="preserve">, Sentencia </w:t>
      </w:r>
      <w:hyperlink w:anchor="SENTENCIA_1997_96" w:history="1">
        <w:r w:rsidRPr="008E589A">
          <w:rPr>
            <w:rStyle w:val="TextoNormalCaracter"/>
          </w:rPr>
          <w:t>96/1997</w:t>
        </w:r>
      </w:hyperlink>
      <w:r w:rsidRPr="008E589A">
        <w:rPr>
          <w:rStyle w:val="TextoNormalCaracter"/>
        </w:rPr>
        <w:t>, f. 4.</w:t>
      </w:r>
    </w:p>
    <w:p w:rsidR="008E589A" w:rsidRPr="008E589A" w:rsidRDefault="008E589A" w:rsidP="008E589A">
      <w:pPr>
        <w:pStyle w:val="TextoNormalSangraFrancesa"/>
        <w:rPr>
          <w:rStyle w:val="TextoNormalCaracter"/>
        </w:rPr>
      </w:pPr>
      <w:bookmarkStart w:id="732" w:name="DESCRIPTORALFABETICO101"/>
      <w:r w:rsidRPr="008E589A">
        <w:rPr>
          <w:rStyle w:val="TextoNormalNegritaCaracter"/>
        </w:rPr>
        <w:t>Competencia sobre vulneración de derechos de los reclusos</w:t>
      </w:r>
      <w:bookmarkEnd w:id="732"/>
      <w:r w:rsidRPr="008E589A">
        <w:rPr>
          <w:rStyle w:val="TextoNormalCaracter"/>
        </w:rPr>
        <w:t xml:space="preserve">, Sentencia </w:t>
      </w:r>
      <w:hyperlink w:anchor="SENTENCIA_1997_128" w:history="1">
        <w:r w:rsidRPr="008E589A">
          <w:rPr>
            <w:rStyle w:val="TextoNormalCaracter"/>
          </w:rPr>
          <w:t>128/1997</w:t>
        </w:r>
      </w:hyperlink>
      <w:r w:rsidRPr="008E589A">
        <w:rPr>
          <w:rStyle w:val="TextoNormalCaracter"/>
        </w:rPr>
        <w:t>, f. 5, VP.</w:t>
      </w:r>
    </w:p>
    <w:p w:rsidR="008E589A" w:rsidRPr="008E589A" w:rsidRDefault="008E589A" w:rsidP="008E589A">
      <w:pPr>
        <w:pStyle w:val="TextoNormalSangraFrancesa"/>
        <w:rPr>
          <w:rStyle w:val="TextoNormalCaracter"/>
        </w:rPr>
      </w:pPr>
      <w:bookmarkStart w:id="733" w:name="DESCRIPTORALFABETICO2"/>
      <w:r w:rsidRPr="008E589A">
        <w:rPr>
          <w:rStyle w:val="TextoNormalNegritaCaracter"/>
        </w:rPr>
        <w:t>Competencias</w:t>
      </w:r>
      <w:bookmarkEnd w:id="733"/>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12.</w:t>
      </w:r>
    </w:p>
    <w:p w:rsidR="008E589A" w:rsidRPr="008E589A" w:rsidRDefault="008E589A" w:rsidP="008E589A">
      <w:pPr>
        <w:pStyle w:val="TextoNormalSangraFrancesa"/>
        <w:rPr>
          <w:rStyle w:val="TextoNormalNegritaCaracter"/>
        </w:rPr>
      </w:pPr>
      <w:r w:rsidRPr="008E589A">
        <w:rPr>
          <w:rStyle w:val="TextoNormalCursivaCaracter"/>
        </w:rPr>
        <w:t>Competencias autonómicas</w:t>
      </w:r>
      <w:r>
        <w:t xml:space="preserve"> véase </w:t>
      </w:r>
      <w:hyperlink w:anchor="DESCRIPTORALFABETICO3" w:history="1">
        <w:r w:rsidRPr="008E589A">
          <w:rPr>
            <w:rStyle w:val="TextoNormalNegritaCaracter"/>
          </w:rPr>
          <w:t>Competencias de las Comunidades Autónomas</w:t>
        </w:r>
      </w:hyperlink>
    </w:p>
    <w:p w:rsidR="008E589A" w:rsidRPr="008E589A" w:rsidRDefault="008E589A" w:rsidP="008E589A">
      <w:pPr>
        <w:pStyle w:val="TextoNormalSangraFrancesa"/>
        <w:rPr>
          <w:rStyle w:val="TextoNormalCaracter"/>
        </w:rPr>
      </w:pPr>
      <w:bookmarkStart w:id="734" w:name="DESCRIPTORALFABETICO3"/>
      <w:r w:rsidRPr="008E589A">
        <w:rPr>
          <w:rStyle w:val="TextoNormalNegritaCaracter"/>
        </w:rPr>
        <w:t>Competencias de las Comunidades Autónomas</w:t>
      </w:r>
      <w:bookmarkEnd w:id="734"/>
      <w:r w:rsidRPr="008E589A">
        <w:rPr>
          <w:rStyle w:val="TextoNormalCaracter"/>
        </w:rPr>
        <w:t xml:space="preserve">, Sentencias </w:t>
      </w:r>
      <w:hyperlink w:anchor="SENTENCIA_1997_103" w:history="1">
        <w:r w:rsidRPr="008E589A">
          <w:rPr>
            <w:rStyle w:val="TextoNormalCaracter"/>
          </w:rPr>
          <w:t>103/1997</w:t>
        </w:r>
      </w:hyperlink>
      <w:r w:rsidRPr="008E589A">
        <w:rPr>
          <w:rStyle w:val="TextoNormalCaracter"/>
        </w:rPr>
        <w:t xml:space="preserve">, f. 1; </w:t>
      </w:r>
      <w:hyperlink w:anchor="SENTENCIA_1997_133" w:history="1">
        <w:r w:rsidRPr="008E589A">
          <w:rPr>
            <w:rStyle w:val="TextoNormalCaracter"/>
          </w:rPr>
          <w:t>133/1997</w:t>
        </w:r>
      </w:hyperlink>
      <w:r w:rsidRPr="008E589A">
        <w:rPr>
          <w:rStyle w:val="TextoNormalCaracter"/>
        </w:rPr>
        <w:t>, f. 5.</w:t>
      </w:r>
    </w:p>
    <w:p w:rsidR="008E589A" w:rsidRPr="008E589A" w:rsidRDefault="008E589A" w:rsidP="008E589A">
      <w:pPr>
        <w:pStyle w:val="TextoNormalSangraFrancesa"/>
        <w:rPr>
          <w:rStyle w:val="TextoNormalCaracter"/>
        </w:rPr>
      </w:pPr>
      <w:bookmarkStart w:id="735" w:name="DESCRIPTORALFABETICO282"/>
      <w:r w:rsidRPr="008E589A">
        <w:rPr>
          <w:rStyle w:val="TextoNormalNegritaCaracter"/>
        </w:rPr>
        <w:t>Competencias de los órganos judiciales</w:t>
      </w:r>
      <w:bookmarkEnd w:id="735"/>
      <w:r w:rsidRPr="008E589A">
        <w:rPr>
          <w:rStyle w:val="TextoNormalCaracter"/>
        </w:rPr>
        <w:t xml:space="preserve">, Sentencia </w:t>
      </w:r>
      <w:hyperlink w:anchor="SENTENCIA_1997_95" w:history="1">
        <w:r w:rsidRPr="008E589A">
          <w:rPr>
            <w:rStyle w:val="TextoNormalCaracter"/>
          </w:rPr>
          <w:t>95/1997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57" w:history="1">
        <w:r w:rsidRPr="008E589A">
          <w:rPr>
            <w:rStyle w:val="TextoNormalCaracter"/>
          </w:rPr>
          <w:t>157/1997</w:t>
        </w:r>
      </w:hyperlink>
      <w:r w:rsidRPr="008E589A">
        <w:rPr>
          <w:rStyle w:val="TextoNormalCaracter"/>
        </w:rPr>
        <w:t>.</w:t>
      </w:r>
    </w:p>
    <w:p w:rsidR="008E589A" w:rsidRPr="008E589A" w:rsidRDefault="008E589A" w:rsidP="008E589A">
      <w:pPr>
        <w:pStyle w:val="TextoNormalSangraFrancesa"/>
        <w:rPr>
          <w:rStyle w:val="TextoNormalCaracter"/>
        </w:rPr>
      </w:pPr>
      <w:bookmarkStart w:id="736" w:name="DESCRIPTORALFABETICO163"/>
      <w:r w:rsidRPr="008E589A">
        <w:rPr>
          <w:rStyle w:val="TextoNormalNegritaCaracter"/>
        </w:rPr>
        <w:t>Competencias del Consejo General del Poder Judicial en materia disciplinaria</w:t>
      </w:r>
      <w:bookmarkEnd w:id="736"/>
      <w:r w:rsidRPr="008E589A">
        <w:rPr>
          <w:rStyle w:val="TextoNormalCaracter"/>
        </w:rPr>
        <w:t xml:space="preserve">, Auto </w:t>
      </w:r>
      <w:hyperlink w:anchor="AUTO_1997_267" w:history="1">
        <w:r w:rsidRPr="008E589A">
          <w:rPr>
            <w:rStyle w:val="TextoNormalCaracter"/>
          </w:rPr>
          <w:t>267/1997</w:t>
        </w:r>
      </w:hyperlink>
      <w:r w:rsidRPr="008E589A">
        <w:rPr>
          <w:rStyle w:val="TextoNormalCaracter"/>
        </w:rPr>
        <w:t>.</w:t>
      </w:r>
    </w:p>
    <w:p w:rsidR="008E589A" w:rsidRPr="008E589A" w:rsidRDefault="008E589A" w:rsidP="008E589A">
      <w:pPr>
        <w:pStyle w:val="TextoNormalSangraFrancesa"/>
        <w:rPr>
          <w:rStyle w:val="TextoNormalCaracter"/>
        </w:rPr>
      </w:pPr>
      <w:bookmarkStart w:id="737" w:name="DESCRIPTORALFABETICO4"/>
      <w:r w:rsidRPr="008E589A">
        <w:rPr>
          <w:rStyle w:val="TextoNormalNegritaCaracter"/>
        </w:rPr>
        <w:t>Competencias del Estado</w:t>
      </w:r>
      <w:bookmarkEnd w:id="737"/>
      <w:r w:rsidRPr="008E589A">
        <w:rPr>
          <w:rStyle w:val="TextoNormalCaracter"/>
        </w:rPr>
        <w:t xml:space="preserve">, Sentencias </w:t>
      </w:r>
      <w:hyperlink w:anchor="SENTENCIA_1997_103" w:history="1">
        <w:r w:rsidRPr="008E589A">
          <w:rPr>
            <w:rStyle w:val="TextoNormalCaracter"/>
          </w:rPr>
          <w:t>103/1997</w:t>
        </w:r>
      </w:hyperlink>
      <w:r w:rsidRPr="008E589A">
        <w:rPr>
          <w:rStyle w:val="TextoNormalCaracter"/>
        </w:rPr>
        <w:t xml:space="preserve">, f. 2; </w:t>
      </w:r>
      <w:hyperlink w:anchor="SENTENCIA_1997_133" w:history="1">
        <w:r w:rsidRPr="008E589A">
          <w:rPr>
            <w:rStyle w:val="TextoNormalCaracter"/>
          </w:rPr>
          <w:t>133/1997</w:t>
        </w:r>
      </w:hyperlink>
      <w:r w:rsidRPr="008E589A">
        <w:rPr>
          <w:rStyle w:val="TextoNormalCaracter"/>
        </w:rPr>
        <w:t>, f. 5.</w:t>
      </w:r>
    </w:p>
    <w:p w:rsidR="008E589A" w:rsidRPr="008E589A" w:rsidRDefault="008E589A" w:rsidP="008E589A">
      <w:pPr>
        <w:pStyle w:val="TextoNormalSangraFrancesa"/>
        <w:rPr>
          <w:rStyle w:val="TextoNormalCaracter"/>
        </w:rPr>
      </w:pPr>
      <w:bookmarkStart w:id="738" w:name="DESCRIPTORALFABETICO98"/>
      <w:r w:rsidRPr="008E589A">
        <w:rPr>
          <w:rStyle w:val="TextoNormalNegritaCaracter"/>
        </w:rPr>
        <w:t>Competencias del Tribunal Constitucional</w:t>
      </w:r>
      <w:bookmarkEnd w:id="738"/>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5.</w:t>
      </w:r>
    </w:p>
    <w:p w:rsidR="008E589A" w:rsidRPr="008E589A" w:rsidRDefault="008E589A" w:rsidP="008E589A">
      <w:pPr>
        <w:pStyle w:val="TextoNormalSangraFrancesa"/>
        <w:rPr>
          <w:rStyle w:val="TextoNormalCaracter"/>
        </w:rPr>
      </w:pPr>
      <w:bookmarkStart w:id="739" w:name="DESCRIPTORALFABETICO8"/>
      <w:r w:rsidRPr="008E589A">
        <w:rPr>
          <w:rStyle w:val="TextoNormalNegritaCaracter"/>
        </w:rPr>
        <w:t>Competencias en materia de legislación mercantil</w:t>
      </w:r>
      <w:bookmarkEnd w:id="739"/>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740" w:name="DESCRIPTORALFABETICO9"/>
      <w:r w:rsidRPr="008E589A">
        <w:rPr>
          <w:rStyle w:val="TextoNormalNegritaCaracter"/>
        </w:rPr>
        <w:lastRenderedPageBreak/>
        <w:t>Competencias en materia de normalización lingüística</w:t>
      </w:r>
      <w:bookmarkEnd w:id="740"/>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ff. 1, 2, 3, 4, 5.</w:t>
      </w:r>
    </w:p>
    <w:p w:rsidR="008E589A" w:rsidRPr="008E589A" w:rsidRDefault="008E589A" w:rsidP="008E589A">
      <w:pPr>
        <w:pStyle w:val="TextoNormalSangraFrancesa"/>
        <w:rPr>
          <w:rStyle w:val="TextoNormalCaracter"/>
        </w:rPr>
      </w:pPr>
      <w:bookmarkStart w:id="741" w:name="DESCRIPTORALFABETICO10"/>
      <w:r w:rsidRPr="008E589A">
        <w:rPr>
          <w:rStyle w:val="TextoNormalNegritaCaracter"/>
        </w:rPr>
        <w:t>Competencias en materia de retribuciones de empleados públicos</w:t>
      </w:r>
      <w:bookmarkEnd w:id="741"/>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1.</w:t>
      </w:r>
    </w:p>
    <w:p w:rsidR="008E589A" w:rsidRPr="008E589A" w:rsidRDefault="008E589A" w:rsidP="008E589A">
      <w:pPr>
        <w:pStyle w:val="TextoNormalSangraFrancesa"/>
        <w:rPr>
          <w:rStyle w:val="TextoNormalCaracter"/>
        </w:rPr>
      </w:pPr>
      <w:bookmarkStart w:id="742" w:name="DESCRIPTORALFABETICO102"/>
      <w:r w:rsidRPr="008E589A">
        <w:rPr>
          <w:rStyle w:val="TextoNormalNegritaCaracter"/>
        </w:rPr>
        <w:t>Competencias tasadas</w:t>
      </w:r>
      <w:bookmarkEnd w:id="742"/>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5.</w:t>
      </w:r>
    </w:p>
    <w:p w:rsidR="008E589A" w:rsidRPr="008E589A" w:rsidRDefault="008E589A" w:rsidP="008E589A">
      <w:pPr>
        <w:pStyle w:val="TextoNormalSangraFrancesa"/>
        <w:rPr>
          <w:rStyle w:val="TextoNormalCaracter"/>
        </w:rPr>
      </w:pPr>
      <w:bookmarkStart w:id="743" w:name="DESCRIPTORALFABETICO224"/>
      <w:r w:rsidRPr="008E589A">
        <w:rPr>
          <w:rStyle w:val="TextoNormalNegritaCaracter"/>
        </w:rPr>
        <w:t>Complemento específico</w:t>
      </w:r>
      <w:bookmarkEnd w:id="743"/>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4.</w:t>
      </w:r>
    </w:p>
    <w:p w:rsidR="008E589A" w:rsidRPr="008E589A" w:rsidRDefault="008E589A" w:rsidP="008E589A">
      <w:pPr>
        <w:pStyle w:val="TextoNormalSangraFrancesa"/>
        <w:rPr>
          <w:rStyle w:val="TextoNormalCaracter"/>
        </w:rPr>
      </w:pPr>
      <w:bookmarkStart w:id="744" w:name="DESCRIPTORALFABETICO353"/>
      <w:r w:rsidRPr="008E589A">
        <w:rPr>
          <w:rStyle w:val="TextoNormalNegritaCaracter"/>
        </w:rPr>
        <w:t>Cómputo de plazos a partir de la notificación personal de sentencia condenatoria</w:t>
      </w:r>
      <w:bookmarkEnd w:id="744"/>
      <w:r w:rsidRPr="008E589A">
        <w:rPr>
          <w:rStyle w:val="TextoNormalCaracter"/>
        </w:rPr>
        <w:t xml:space="preserve">, Sentencia </w:t>
      </w:r>
      <w:hyperlink w:anchor="SENTENCIA_1997_88" w:history="1">
        <w:r w:rsidRPr="008E589A">
          <w:rPr>
            <w:rStyle w:val="TextoNormalCaracter"/>
          </w:rPr>
          <w:t>88/1997</w:t>
        </w:r>
      </w:hyperlink>
      <w:r w:rsidRPr="008E589A">
        <w:rPr>
          <w:rStyle w:val="TextoNormalCaracter"/>
        </w:rPr>
        <w:t>, f. 4.</w:t>
      </w:r>
    </w:p>
    <w:p w:rsidR="008E589A" w:rsidRPr="008E589A" w:rsidRDefault="008E589A" w:rsidP="008E589A">
      <w:pPr>
        <w:pStyle w:val="TextoNormalSangraFrancesa"/>
        <w:rPr>
          <w:rStyle w:val="TextoNormalCaracter"/>
        </w:rPr>
      </w:pPr>
      <w:bookmarkStart w:id="745" w:name="DESCRIPTORALFABETICO143"/>
      <w:r w:rsidRPr="008E589A">
        <w:rPr>
          <w:rStyle w:val="TextoNormalNegritaCaracter"/>
        </w:rPr>
        <w:t>Cómputo de plazos en el recurso de amparo</w:t>
      </w:r>
      <w:bookmarkEnd w:id="745"/>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 2.</w:t>
      </w:r>
    </w:p>
    <w:p w:rsidR="008E589A" w:rsidRPr="008E589A" w:rsidRDefault="008E589A" w:rsidP="008E589A">
      <w:pPr>
        <w:pStyle w:val="TextoNormalSangraFrancesa"/>
        <w:rPr>
          <w:rStyle w:val="TextoNormalCaracter"/>
        </w:rPr>
      </w:pPr>
      <w:bookmarkStart w:id="746" w:name="DESCRIPTORALFABETICO426"/>
      <w:r w:rsidRPr="008E589A">
        <w:rPr>
          <w:rStyle w:val="TextoNormalNegritaCaracter"/>
        </w:rPr>
        <w:t>Comunidad de Madrid</w:t>
      </w:r>
      <w:bookmarkEnd w:id="746"/>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ff. 1, 2, 3, 4.</w:t>
      </w:r>
    </w:p>
    <w:p w:rsidR="008E589A" w:rsidRPr="008E589A" w:rsidRDefault="008E589A" w:rsidP="008E589A">
      <w:pPr>
        <w:pStyle w:val="TextoNormalSangraFrancesa"/>
        <w:rPr>
          <w:rStyle w:val="TextoNormalCaracter"/>
        </w:rPr>
      </w:pPr>
      <w:bookmarkStart w:id="747" w:name="DESCRIPTORALFABETICO261"/>
      <w:r w:rsidRPr="008E589A">
        <w:rPr>
          <w:rStyle w:val="TextoNormalNegritaCaracter"/>
        </w:rPr>
        <w:t>Conceptos jurídicos indeterminados</w:t>
      </w:r>
      <w:bookmarkEnd w:id="747"/>
      <w:r w:rsidRPr="008E589A">
        <w:rPr>
          <w:rStyle w:val="TextoNormalCaracter"/>
        </w:rPr>
        <w:t xml:space="preserve">, Sentencia </w:t>
      </w:r>
      <w:hyperlink w:anchor="SENTENCIA_1997_109" w:history="1">
        <w:r w:rsidRPr="008E589A">
          <w:rPr>
            <w:rStyle w:val="TextoNormalCaracter"/>
          </w:rPr>
          <w:t>109/1997</w:t>
        </w:r>
      </w:hyperlink>
      <w:r w:rsidRPr="008E589A">
        <w:rPr>
          <w:rStyle w:val="TextoNormalCaracter"/>
        </w:rPr>
        <w:t>, f. 2.</w:t>
      </w:r>
    </w:p>
    <w:p w:rsidR="008E589A" w:rsidRPr="008E589A" w:rsidRDefault="008E589A" w:rsidP="008E589A">
      <w:pPr>
        <w:pStyle w:val="TextoNormalSangraFrancesa"/>
        <w:rPr>
          <w:rStyle w:val="TextoNormalCaracter"/>
        </w:rPr>
      </w:pPr>
      <w:bookmarkStart w:id="748" w:name="DESCRIPTORALFABETICO269"/>
      <w:r w:rsidRPr="008E589A">
        <w:rPr>
          <w:rStyle w:val="TextoNormalNegritaCaracter"/>
        </w:rPr>
        <w:t>Concesión de títulos nobiliarios</w:t>
      </w:r>
      <w:bookmarkEnd w:id="748"/>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10.</w:t>
      </w:r>
    </w:p>
    <w:p w:rsidR="008E589A" w:rsidRPr="008E589A" w:rsidRDefault="008E589A" w:rsidP="008E589A">
      <w:pPr>
        <w:pStyle w:val="TextoNormalSangraFrancesa"/>
        <w:rPr>
          <w:rStyle w:val="TextoNormalNegritaCaracter"/>
        </w:rPr>
      </w:pPr>
      <w:r w:rsidRPr="008E589A">
        <w:rPr>
          <w:rStyle w:val="TextoNormalCursivaCaracter"/>
        </w:rPr>
        <w:t>Condena penal &lt;em&gt;in absentia&lt;/em&gt;</w:t>
      </w:r>
      <w:r>
        <w:t xml:space="preserve"> véase </w:t>
      </w:r>
      <w:hyperlink w:anchor="DESCRIPTORALFABETICO420" w:history="1">
        <w:r w:rsidRPr="008E589A">
          <w:rPr>
            <w:rStyle w:val="TextoNormalNegritaCaracter"/>
          </w:rPr>
          <w:t>Condena penal en ausencia</w:t>
        </w:r>
      </w:hyperlink>
    </w:p>
    <w:p w:rsidR="008E589A" w:rsidRPr="008E589A" w:rsidRDefault="008E589A" w:rsidP="008E589A">
      <w:pPr>
        <w:pStyle w:val="TextoNormalSangraFrancesa"/>
        <w:rPr>
          <w:rStyle w:val="TextoNormalCaracter"/>
        </w:rPr>
      </w:pPr>
      <w:bookmarkStart w:id="749" w:name="DESCRIPTORALFABETICO420"/>
      <w:r w:rsidRPr="008E589A">
        <w:rPr>
          <w:rStyle w:val="TextoNormalNegritaCaracter"/>
        </w:rPr>
        <w:t>Condena penal en ausencia</w:t>
      </w:r>
      <w:bookmarkEnd w:id="749"/>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ff. 3, 4, 5, 7.</w:t>
      </w:r>
    </w:p>
    <w:p w:rsidR="008E589A" w:rsidRPr="008E589A" w:rsidRDefault="008E589A" w:rsidP="008E589A">
      <w:pPr>
        <w:pStyle w:val="TextoNormalSangraFrancesa"/>
        <w:rPr>
          <w:rStyle w:val="TextoNormalNegritaCaracter"/>
        </w:rPr>
      </w:pPr>
      <w:r w:rsidRPr="008E589A">
        <w:rPr>
          <w:rStyle w:val="TextoNormalCursivaCaracter"/>
        </w:rPr>
        <w:t>Condena penal en rebeldía</w:t>
      </w:r>
      <w:r>
        <w:t xml:space="preserve"> véase </w:t>
      </w:r>
      <w:hyperlink w:anchor="DESCRIPTORALFABETICO420" w:history="1">
        <w:r w:rsidRPr="008E589A">
          <w:rPr>
            <w:rStyle w:val="TextoNormalNegritaCaracter"/>
          </w:rPr>
          <w:t>Condena penal en ausencia</w:t>
        </w:r>
      </w:hyperlink>
    </w:p>
    <w:p w:rsidR="008E589A" w:rsidRPr="008E589A" w:rsidRDefault="008E589A" w:rsidP="008E589A">
      <w:pPr>
        <w:pStyle w:val="TextoNormalSangraFrancesa"/>
        <w:rPr>
          <w:rStyle w:val="TextoNormalCaracter"/>
        </w:rPr>
      </w:pPr>
      <w:bookmarkStart w:id="750" w:name="DESCRIPTORALFABETICO54"/>
      <w:r w:rsidRPr="008E589A">
        <w:rPr>
          <w:rStyle w:val="TextoNormalNegritaCaracter"/>
        </w:rPr>
        <w:t>Congruencia de las sentencias</w:t>
      </w:r>
      <w:bookmarkEnd w:id="750"/>
      <w:r w:rsidRPr="008E589A">
        <w:rPr>
          <w:rStyle w:val="TextoNormalCaracter"/>
        </w:rPr>
        <w:t xml:space="preserve">, Auto </w:t>
      </w:r>
      <w:hyperlink w:anchor="AUTO_1997_263" w:history="1">
        <w:r w:rsidRPr="008E589A">
          <w:rPr>
            <w:rStyle w:val="TextoNormalCaracter"/>
          </w:rPr>
          <w:t>263/1997</w:t>
        </w:r>
      </w:hyperlink>
      <w:r w:rsidRPr="008E589A">
        <w:rPr>
          <w:rStyle w:val="TextoNormalCaracter"/>
        </w:rPr>
        <w:t>.</w:t>
      </w:r>
    </w:p>
    <w:p w:rsidR="008E589A" w:rsidRPr="008E589A" w:rsidRDefault="008E589A" w:rsidP="008E589A">
      <w:pPr>
        <w:pStyle w:val="TextoNormalSangraFrancesa"/>
        <w:rPr>
          <w:rStyle w:val="TextoNormalCaracter"/>
        </w:rPr>
      </w:pPr>
      <w:bookmarkStart w:id="751" w:name="DESCRIPTORALFABETICO300"/>
      <w:r w:rsidRPr="008E589A">
        <w:rPr>
          <w:rStyle w:val="TextoNormalNegritaCaracter"/>
        </w:rPr>
        <w:t>Conocimiento extraprocesal del proceso</w:t>
      </w:r>
      <w:bookmarkEnd w:id="751"/>
      <w:r w:rsidRPr="008E589A">
        <w:rPr>
          <w:rStyle w:val="TextoNormalCaracter"/>
        </w:rPr>
        <w:t xml:space="preserve">, Sentencia </w:t>
      </w:r>
      <w:hyperlink w:anchor="SENTENCIA_1997_97" w:history="1">
        <w:r w:rsidRPr="008E589A">
          <w:rPr>
            <w:rStyle w:val="TextoNormalCaracter"/>
          </w:rPr>
          <w:t>97/1997</w:t>
        </w:r>
      </w:hyperlink>
      <w:r w:rsidRPr="008E589A">
        <w:rPr>
          <w:rStyle w:val="TextoNormalCaracter"/>
        </w:rPr>
        <w:t>, f. 3.</w:t>
      </w:r>
    </w:p>
    <w:p w:rsidR="008E589A" w:rsidRPr="008E589A" w:rsidRDefault="008E589A" w:rsidP="008E589A">
      <w:pPr>
        <w:pStyle w:val="TextoNormalSangraFrancesa"/>
        <w:rPr>
          <w:rStyle w:val="TextoNormalCaracter"/>
        </w:rPr>
      </w:pPr>
      <w:bookmarkStart w:id="752" w:name="DESCRIPTORALFABETICO144"/>
      <w:r w:rsidRPr="008E589A">
        <w:rPr>
          <w:rStyle w:val="TextoNormalNegritaCaracter"/>
        </w:rPr>
        <w:t>Conocimiento suficiente de la resolución recurrida</w:t>
      </w:r>
      <w:bookmarkEnd w:id="752"/>
      <w:r w:rsidRPr="008E589A">
        <w:rPr>
          <w:rStyle w:val="TextoNormalCaracter"/>
        </w:rPr>
        <w:t xml:space="preserve">, Sentencia </w:t>
      </w:r>
      <w:hyperlink w:anchor="SENTENCIA_1997_118" w:history="1">
        <w:r w:rsidRPr="008E589A">
          <w:rPr>
            <w:rStyle w:val="TextoNormalCaracter"/>
          </w:rPr>
          <w:t>118/1997</w:t>
        </w:r>
      </w:hyperlink>
      <w:r w:rsidRPr="008E589A">
        <w:rPr>
          <w:rStyle w:val="TextoNormalCaracter"/>
        </w:rPr>
        <w:t>, f. 1.</w:t>
      </w:r>
    </w:p>
    <w:p w:rsidR="008E589A" w:rsidRPr="008E589A" w:rsidRDefault="008E589A" w:rsidP="008E589A">
      <w:pPr>
        <w:pStyle w:val="TextoNormalSangraFrancesa"/>
        <w:rPr>
          <w:rStyle w:val="TextoNormalCaracter"/>
        </w:rPr>
      </w:pPr>
      <w:bookmarkStart w:id="753" w:name="DESCRIPTORALFABETICO12"/>
      <w:r w:rsidRPr="008E589A">
        <w:rPr>
          <w:rStyle w:val="TextoNormalNegritaCaracter"/>
        </w:rPr>
        <w:t>Contención del gasto público</w:t>
      </w:r>
      <w:bookmarkEnd w:id="753"/>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1.</w:t>
      </w:r>
    </w:p>
    <w:p w:rsidR="008E589A" w:rsidRPr="008E589A" w:rsidRDefault="008E589A" w:rsidP="008E589A">
      <w:pPr>
        <w:pStyle w:val="TextoNormalSangraFrancesa"/>
        <w:rPr>
          <w:rStyle w:val="TextoNormalCaracter"/>
        </w:rPr>
      </w:pPr>
      <w:bookmarkStart w:id="754" w:name="DESCRIPTORALFABETICO28"/>
      <w:r w:rsidRPr="008E589A">
        <w:rPr>
          <w:rStyle w:val="TextoNormalNegritaCaracter"/>
        </w:rPr>
        <w:t>Contenido del derecho a la huelga</w:t>
      </w:r>
      <w:bookmarkEnd w:id="754"/>
      <w:r w:rsidRPr="008E589A">
        <w:rPr>
          <w:rStyle w:val="TextoNormalCaracter"/>
        </w:rPr>
        <w:t xml:space="preserve">, Sentencia </w:t>
      </w:r>
      <w:hyperlink w:anchor="SENTENCIA_1997_137" w:history="1">
        <w:r w:rsidRPr="008E589A">
          <w:rPr>
            <w:rStyle w:val="TextoNormalCaracter"/>
          </w:rPr>
          <w:t>137/1997</w:t>
        </w:r>
      </w:hyperlink>
      <w:r w:rsidRPr="008E589A">
        <w:rPr>
          <w:rStyle w:val="TextoNormalCaracter"/>
        </w:rPr>
        <w:t>, f. 3.</w:t>
      </w:r>
    </w:p>
    <w:p w:rsidR="008E589A" w:rsidRPr="008E589A" w:rsidRDefault="008E589A" w:rsidP="008E589A">
      <w:pPr>
        <w:pStyle w:val="TextoNormalSangraFrancesa"/>
        <w:rPr>
          <w:rStyle w:val="TextoNormalCaracter"/>
        </w:rPr>
      </w:pPr>
      <w:bookmarkStart w:id="755" w:name="DESCRIPTORALFABETICO74"/>
      <w:r w:rsidRPr="008E589A">
        <w:rPr>
          <w:rStyle w:val="TextoNormalNegritaCaracter"/>
        </w:rPr>
        <w:t>Contenido del derecho a la prueba</w:t>
      </w:r>
      <w:bookmarkEnd w:id="755"/>
      <w:r w:rsidRPr="008E589A">
        <w:rPr>
          <w:rStyle w:val="TextoNormalCaracter"/>
        </w:rPr>
        <w:t xml:space="preserve">, Auto </w:t>
      </w:r>
      <w:hyperlink w:anchor="AUTO_1997_236" w:history="1">
        <w:r w:rsidRPr="008E589A">
          <w:rPr>
            <w:rStyle w:val="TextoNormalCaracter"/>
          </w:rPr>
          <w:t>236/1997</w:t>
        </w:r>
      </w:hyperlink>
      <w:r w:rsidRPr="008E589A">
        <w:rPr>
          <w:rStyle w:val="TextoNormalCaracter"/>
        </w:rPr>
        <w:t>.</w:t>
      </w:r>
    </w:p>
    <w:p w:rsidR="008E589A" w:rsidRPr="008E589A" w:rsidRDefault="008E589A" w:rsidP="008E589A">
      <w:pPr>
        <w:pStyle w:val="TextoNormalSangraFrancesa"/>
        <w:rPr>
          <w:rStyle w:val="TextoNormalCaracter"/>
        </w:rPr>
      </w:pPr>
      <w:bookmarkStart w:id="756" w:name="DESCRIPTORALFABETICO44"/>
      <w:r w:rsidRPr="008E589A">
        <w:rPr>
          <w:rStyle w:val="TextoNormalNegritaCaracter"/>
        </w:rPr>
        <w:t>Contenido del derecho a la tutela judicial efectiva</w:t>
      </w:r>
      <w:bookmarkEnd w:id="756"/>
      <w:r w:rsidRPr="008E589A">
        <w:rPr>
          <w:rStyle w:val="TextoNormalCaracter"/>
        </w:rPr>
        <w:t xml:space="preserve">, Sentencias </w:t>
      </w:r>
      <w:hyperlink w:anchor="SENTENCIA_1997_95" w:history="1">
        <w:r w:rsidRPr="008E589A">
          <w:rPr>
            <w:rStyle w:val="TextoNormalCaracter"/>
          </w:rPr>
          <w:t>95/1997</w:t>
        </w:r>
      </w:hyperlink>
      <w:r w:rsidRPr="008E589A">
        <w:rPr>
          <w:rStyle w:val="TextoNormalCaracter"/>
        </w:rPr>
        <w:t xml:space="preserve">, f. 4; </w:t>
      </w:r>
      <w:hyperlink w:anchor="SENTENCIA_1997_101" w:history="1">
        <w:r w:rsidRPr="008E589A">
          <w:rPr>
            <w:rStyle w:val="TextoNormalCaracter"/>
          </w:rPr>
          <w:t>101/1997</w:t>
        </w:r>
      </w:hyperlink>
      <w:r w:rsidRPr="008E589A">
        <w:rPr>
          <w:rStyle w:val="TextoNormalCaracter"/>
        </w:rPr>
        <w:t xml:space="preserve">, f. 2; </w:t>
      </w:r>
      <w:hyperlink w:anchor="SENTENCIA_1997_104" w:history="1">
        <w:r w:rsidRPr="008E589A">
          <w:rPr>
            <w:rStyle w:val="TextoNormalCaracter"/>
          </w:rPr>
          <w:t>104/1997</w:t>
        </w:r>
      </w:hyperlink>
      <w:r w:rsidRPr="008E589A">
        <w:rPr>
          <w:rStyle w:val="TextoNormalCaracter"/>
        </w:rPr>
        <w:t xml:space="preserve">, f. 2; </w:t>
      </w:r>
      <w:hyperlink w:anchor="SENTENCIA_1997_124" w:history="1">
        <w:r w:rsidRPr="008E589A">
          <w:rPr>
            <w:rStyle w:val="TextoNormalCaracter"/>
          </w:rPr>
          <w:t>124/1997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195" w:history="1">
        <w:r w:rsidRPr="008E589A">
          <w:rPr>
            <w:rStyle w:val="TextoNormalCaracter"/>
          </w:rPr>
          <w:t>195/1997</w:t>
        </w:r>
      </w:hyperlink>
      <w:r w:rsidRPr="008E589A">
        <w:rPr>
          <w:rStyle w:val="TextoNormalCaracter"/>
        </w:rPr>
        <w:t xml:space="preserve">; </w:t>
      </w:r>
      <w:hyperlink w:anchor="AUTO_1997_221" w:history="1">
        <w:r w:rsidRPr="008E589A">
          <w:rPr>
            <w:rStyle w:val="TextoNormalCaracter"/>
          </w:rPr>
          <w:t>221/1997</w:t>
        </w:r>
      </w:hyperlink>
      <w:r w:rsidRPr="008E589A">
        <w:rPr>
          <w:rStyle w:val="TextoNormalCaracter"/>
        </w:rPr>
        <w:t>.</w:t>
      </w:r>
    </w:p>
    <w:p w:rsidR="008E589A" w:rsidRPr="008E589A" w:rsidRDefault="008E589A" w:rsidP="008E589A">
      <w:pPr>
        <w:pStyle w:val="TextoNormalSangraFrancesa"/>
        <w:rPr>
          <w:rStyle w:val="TextoNormalCaracter"/>
        </w:rPr>
      </w:pPr>
      <w:bookmarkStart w:id="757" w:name="DESCRIPTORALFABETICO48"/>
      <w:r w:rsidRPr="008E589A">
        <w:rPr>
          <w:rStyle w:val="TextoNormalNegritaCaracter"/>
        </w:rPr>
        <w:t>Contenido del derecho al recurso legal</w:t>
      </w:r>
      <w:bookmarkEnd w:id="757"/>
      <w:r w:rsidRPr="008E589A">
        <w:rPr>
          <w:rStyle w:val="TextoNormalCaracter"/>
        </w:rPr>
        <w:t xml:space="preserve">, Sentencia </w:t>
      </w:r>
      <w:hyperlink w:anchor="SENTENCIA_1997_125" w:history="1">
        <w:r w:rsidRPr="008E589A">
          <w:rPr>
            <w:rStyle w:val="TextoNormalCaracter"/>
          </w:rPr>
          <w:t>125/1997</w:t>
        </w:r>
      </w:hyperlink>
      <w:r w:rsidRPr="008E589A">
        <w:rPr>
          <w:rStyle w:val="TextoNormalCaracter"/>
        </w:rPr>
        <w:t>, f. 3.</w:t>
      </w:r>
    </w:p>
    <w:p w:rsidR="008E589A" w:rsidRPr="008E589A" w:rsidRDefault="008E589A" w:rsidP="008E589A">
      <w:pPr>
        <w:pStyle w:val="TextoNormalSangraFrancesa"/>
        <w:rPr>
          <w:rStyle w:val="TextoNormalCaracter"/>
        </w:rPr>
      </w:pPr>
      <w:bookmarkStart w:id="758" w:name="DESCRIPTORALFABETICO93"/>
      <w:r w:rsidRPr="008E589A">
        <w:rPr>
          <w:rStyle w:val="TextoNormalNegritaCaracter"/>
        </w:rPr>
        <w:t>Control constitucional en la aplicación de normas penales</w:t>
      </w:r>
      <w:bookmarkEnd w:id="758"/>
      <w:r w:rsidRPr="008E589A">
        <w:rPr>
          <w:rStyle w:val="TextoNormalCaracter"/>
        </w:rPr>
        <w:t xml:space="preserve">, Sentencia </w:t>
      </w:r>
      <w:hyperlink w:anchor="SENTENCIA_1997_137" w:history="1">
        <w:r w:rsidRPr="008E589A">
          <w:rPr>
            <w:rStyle w:val="TextoNormalCaracter"/>
          </w:rPr>
          <w:t>137/1997</w:t>
        </w:r>
      </w:hyperlink>
      <w:r w:rsidRPr="008E589A">
        <w:rPr>
          <w:rStyle w:val="TextoNormalCaracter"/>
        </w:rPr>
        <w:t>, f. 7.</w:t>
      </w:r>
    </w:p>
    <w:p w:rsidR="008E589A" w:rsidRPr="008E589A" w:rsidRDefault="008E589A" w:rsidP="008E589A">
      <w:pPr>
        <w:pStyle w:val="TextoNormalSangraFrancesa"/>
        <w:rPr>
          <w:rStyle w:val="TextoNormalCaracter"/>
        </w:rPr>
      </w:pPr>
      <w:bookmarkStart w:id="759" w:name="DESCRIPTORALFABETICO94"/>
      <w:r w:rsidRPr="008E589A">
        <w:rPr>
          <w:rStyle w:val="TextoNormalNegritaCaracter"/>
        </w:rPr>
        <w:t>Control de constitucionalidad de los decretos-leyes</w:t>
      </w:r>
      <w:bookmarkEnd w:id="759"/>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760" w:name="DESCRIPTORALFABETICO173"/>
      <w:r w:rsidRPr="008E589A">
        <w:rPr>
          <w:rStyle w:val="TextoNormalNegritaCaracter"/>
        </w:rPr>
        <w:t>Control judicial</w:t>
      </w:r>
      <w:bookmarkEnd w:id="760"/>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761" w:name="DESCRIPTORALFABETICO174"/>
      <w:r w:rsidRPr="008E589A">
        <w:rPr>
          <w:rStyle w:val="TextoNormalNegritaCaracter"/>
        </w:rPr>
        <w:t>Control judicial de la actividad administrativa</w:t>
      </w:r>
      <w:bookmarkEnd w:id="761"/>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Control judicial de la Administración</w:t>
      </w:r>
      <w:r>
        <w:t xml:space="preserve"> véase </w:t>
      </w:r>
      <w:hyperlink w:anchor="DESCRIPTORALFABETICO174" w:history="1">
        <w:r w:rsidRPr="008E589A">
          <w:rPr>
            <w:rStyle w:val="TextoNormalNegritaCaracter"/>
          </w:rPr>
          <w:t>Control judicial de la actividad administrativa</w:t>
        </w:r>
      </w:hyperlink>
    </w:p>
    <w:p w:rsidR="008E589A" w:rsidRPr="008E589A" w:rsidRDefault="008E589A" w:rsidP="008E589A">
      <w:pPr>
        <w:pStyle w:val="TextoNormalSangraFrancesa"/>
        <w:rPr>
          <w:rStyle w:val="TextoNormalNegritaCaracter"/>
        </w:rPr>
      </w:pPr>
      <w:r w:rsidRPr="008E589A">
        <w:rPr>
          <w:rStyle w:val="TextoNormalCursivaCaracter"/>
        </w:rPr>
        <w:t>Control jurisdiccional</w:t>
      </w:r>
      <w:r>
        <w:t xml:space="preserve"> véase </w:t>
      </w:r>
      <w:hyperlink w:anchor="DESCRIPTORALFABETICO173" w:history="1">
        <w:r w:rsidRPr="008E589A">
          <w:rPr>
            <w:rStyle w:val="TextoNormalNegritaCaracter"/>
          </w:rPr>
          <w:t>Control judicial</w:t>
        </w:r>
      </w:hyperlink>
    </w:p>
    <w:p w:rsidR="008E589A" w:rsidRPr="008E589A" w:rsidRDefault="008E589A" w:rsidP="008E589A">
      <w:pPr>
        <w:pStyle w:val="TextoNormalSangraFrancesa"/>
        <w:rPr>
          <w:rStyle w:val="TextoNormalCaracter"/>
        </w:rPr>
      </w:pPr>
      <w:bookmarkStart w:id="762" w:name="DESCRIPTORALFABETICO197"/>
      <w:r w:rsidRPr="008E589A">
        <w:rPr>
          <w:rStyle w:val="TextoNormalNegritaCaracter"/>
        </w:rPr>
        <w:t>Cooficialidad lingüística</w:t>
      </w:r>
      <w:bookmarkEnd w:id="762"/>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 </w:t>
      </w:r>
      <w:hyperlink w:anchor="SENTENCIA_1997_134" w:history="1">
        <w:r w:rsidRPr="008E589A">
          <w:rPr>
            <w:rStyle w:val="TextoNormalCaracter"/>
          </w:rPr>
          <w:t>134/1997</w:t>
        </w:r>
      </w:hyperlink>
      <w:r w:rsidRPr="008E589A">
        <w:rPr>
          <w:rStyle w:val="TextoNormalCaracter"/>
        </w:rPr>
        <w:t>, f. 2.</w:t>
      </w:r>
    </w:p>
    <w:p w:rsidR="008E589A" w:rsidRPr="008E589A" w:rsidRDefault="008E589A" w:rsidP="008E589A">
      <w:pPr>
        <w:pStyle w:val="TextoNormalSangraFrancesa"/>
        <w:rPr>
          <w:rStyle w:val="TextoNormalCaracter"/>
        </w:rPr>
      </w:pPr>
      <w:bookmarkStart w:id="763" w:name="DESCRIPTORALFABETICO311"/>
      <w:r w:rsidRPr="008E589A">
        <w:rPr>
          <w:rStyle w:val="TextoNormalNegritaCaracter"/>
        </w:rPr>
        <w:t>Cosa juzgada</w:t>
      </w:r>
      <w:bookmarkEnd w:id="763"/>
      <w:r w:rsidRPr="008E589A">
        <w:rPr>
          <w:rStyle w:val="TextoNormalCaracter"/>
        </w:rPr>
        <w:t xml:space="preserve">, Auto </w:t>
      </w:r>
      <w:hyperlink w:anchor="AUTO_1997_207" w:history="1">
        <w:r w:rsidRPr="008E589A">
          <w:rPr>
            <w:rStyle w:val="TextoNormalCaracter"/>
          </w:rPr>
          <w:t>207/1997</w:t>
        </w:r>
      </w:hyperlink>
      <w:r w:rsidRPr="008E589A">
        <w:rPr>
          <w:rStyle w:val="TextoNormalCaracter"/>
        </w:rPr>
        <w:t>.</w:t>
      </w:r>
    </w:p>
    <w:p w:rsidR="008E589A" w:rsidRPr="008E589A" w:rsidRDefault="008E589A" w:rsidP="008E589A">
      <w:pPr>
        <w:pStyle w:val="TextoNormalSangraFrancesa"/>
        <w:rPr>
          <w:rStyle w:val="TextoNormalCaracter"/>
        </w:rPr>
      </w:pPr>
      <w:bookmarkStart w:id="764" w:name="DESCRIPTORALFABETICO312"/>
      <w:r w:rsidRPr="008E589A">
        <w:rPr>
          <w:rStyle w:val="TextoNormalNegritaCaracter"/>
        </w:rPr>
        <w:t>Costas procesales</w:t>
      </w:r>
      <w:bookmarkEnd w:id="764"/>
      <w:r w:rsidRPr="008E589A">
        <w:rPr>
          <w:rStyle w:val="TextoNormalCaracter"/>
        </w:rPr>
        <w:t xml:space="preserve">, Auto </w:t>
      </w:r>
      <w:hyperlink w:anchor="AUTO_1997_191" w:history="1">
        <w:r w:rsidRPr="008E589A">
          <w:rPr>
            <w:rStyle w:val="TextoNormalCaracter"/>
          </w:rPr>
          <w:t>191/1997</w:t>
        </w:r>
      </w:hyperlink>
      <w:r w:rsidRPr="008E589A">
        <w:rPr>
          <w:rStyle w:val="TextoNormalCaracter"/>
        </w:rPr>
        <w:t>.</w:t>
      </w:r>
    </w:p>
    <w:p w:rsidR="008E589A" w:rsidRPr="008E589A" w:rsidRDefault="008E589A" w:rsidP="008E589A">
      <w:pPr>
        <w:pStyle w:val="TextoNormalSangraFrancesa"/>
        <w:rPr>
          <w:rStyle w:val="TextoNormalCaracter"/>
        </w:rPr>
      </w:pPr>
      <w:bookmarkStart w:id="765" w:name="DESCRIPTORALFABETICO313"/>
      <w:r w:rsidRPr="008E589A">
        <w:rPr>
          <w:rStyle w:val="TextoNormalNegritaCaracter"/>
        </w:rPr>
        <w:t>Cuantía litigiosa</w:t>
      </w:r>
      <w:bookmarkEnd w:id="765"/>
      <w:r w:rsidRPr="008E589A">
        <w:rPr>
          <w:rStyle w:val="TextoNormalCaracter"/>
        </w:rPr>
        <w:t xml:space="preserve">, Sentencia </w:t>
      </w:r>
      <w:hyperlink w:anchor="SENTENCIA_1997_125" w:history="1">
        <w:r w:rsidRPr="008E589A">
          <w:rPr>
            <w:rStyle w:val="TextoNormalCaracter"/>
          </w:rPr>
          <w:t>125/1997</w:t>
        </w:r>
      </w:hyperlink>
      <w:r w:rsidRPr="008E589A">
        <w:rPr>
          <w:rStyle w:val="TextoNormalCaracter"/>
        </w:rPr>
        <w:t>, ff. 4, 5, VP I, VP II.</w:t>
      </w:r>
    </w:p>
    <w:p w:rsidR="008E589A" w:rsidRPr="008E589A" w:rsidRDefault="008E589A" w:rsidP="008E589A">
      <w:pPr>
        <w:pStyle w:val="TextoNormalSangraFrancesa"/>
        <w:rPr>
          <w:rStyle w:val="TextoNormalCaracter"/>
        </w:rPr>
      </w:pPr>
      <w:bookmarkStart w:id="766" w:name="DESCRIPTORALFABETICO122"/>
      <w:r w:rsidRPr="008E589A">
        <w:rPr>
          <w:rStyle w:val="TextoNormalNegritaCaracter"/>
        </w:rPr>
        <w:t>Cuestión de inconstitucionalidad notoriamente infundada</w:t>
      </w:r>
      <w:bookmarkEnd w:id="766"/>
      <w:r w:rsidRPr="008E589A">
        <w:rPr>
          <w:rStyle w:val="TextoNormalCaracter"/>
        </w:rPr>
        <w:t xml:space="preserve">, Autos </w:t>
      </w:r>
      <w:hyperlink w:anchor="AUTO_1997_292" w:history="1">
        <w:r w:rsidRPr="008E589A">
          <w:rPr>
            <w:rStyle w:val="TextoNormalCaracter"/>
          </w:rPr>
          <w:t>292/1997</w:t>
        </w:r>
      </w:hyperlink>
      <w:r w:rsidRPr="008E589A">
        <w:rPr>
          <w:rStyle w:val="TextoNormalCaracter"/>
        </w:rPr>
        <w:t xml:space="preserve">; </w:t>
      </w:r>
      <w:hyperlink w:anchor="AUTO_1997_293" w:history="1">
        <w:r w:rsidRPr="008E589A">
          <w:rPr>
            <w:rStyle w:val="TextoNormalCaracter"/>
          </w:rPr>
          <w:t>293/1997</w:t>
        </w:r>
      </w:hyperlink>
      <w:r w:rsidRPr="008E589A">
        <w:rPr>
          <w:rStyle w:val="TextoNormalCaracter"/>
        </w:rPr>
        <w:t>.</w:t>
      </w:r>
    </w:p>
    <w:p w:rsidR="008E589A" w:rsidRPr="008E589A" w:rsidRDefault="008E589A" w:rsidP="008E589A">
      <w:pPr>
        <w:pStyle w:val="TextoNormalSangraFrancesa"/>
        <w:rPr>
          <w:rStyle w:val="TextoNormalCaracter"/>
        </w:rPr>
      </w:pPr>
      <w:bookmarkStart w:id="767" w:name="DESCRIPTORALFABETICO287"/>
      <w:r w:rsidRPr="008E589A">
        <w:rPr>
          <w:rStyle w:val="TextoNormalNegritaCaracter"/>
        </w:rPr>
        <w:t>Cuestión prejudicial devolutiva</w:t>
      </w:r>
      <w:bookmarkEnd w:id="767"/>
      <w:r w:rsidRPr="008E589A">
        <w:rPr>
          <w:rStyle w:val="TextoNormalCaracter"/>
        </w:rPr>
        <w:t xml:space="preserve">, Sentencia </w:t>
      </w:r>
      <w:hyperlink w:anchor="SENTENCIA_1997_89" w:history="1">
        <w:r w:rsidRPr="008E589A">
          <w:rPr>
            <w:rStyle w:val="TextoNormalCaracter"/>
          </w:rPr>
          <w:t>89/1997</w:t>
        </w:r>
      </w:hyperlink>
      <w:r w:rsidRPr="008E589A">
        <w:rPr>
          <w:rStyle w:val="TextoNormalCaracter"/>
        </w:rPr>
        <w:t>, f. 3.</w:t>
      </w:r>
    </w:p>
    <w:p w:rsidR="008E589A" w:rsidRPr="008E589A" w:rsidRDefault="008E589A" w:rsidP="008E589A">
      <w:pPr>
        <w:pStyle w:val="TextoNormalSangraFrancesa"/>
        <w:rPr>
          <w:rStyle w:val="TextoNormalCaracter"/>
        </w:rPr>
      </w:pPr>
      <w:bookmarkStart w:id="768" w:name="DESCRIPTORALFABETICO285"/>
      <w:r w:rsidRPr="008E589A">
        <w:rPr>
          <w:rStyle w:val="TextoNormalNegritaCaracter"/>
        </w:rPr>
        <w:t>Cuestiones de competencia judicial</w:t>
      </w:r>
      <w:bookmarkEnd w:id="768"/>
      <w:r w:rsidRPr="008E589A">
        <w:rPr>
          <w:rStyle w:val="TextoNormalCaracter"/>
        </w:rPr>
        <w:t xml:space="preserve">, Sentencia </w:t>
      </w:r>
      <w:hyperlink w:anchor="SENTENCIA_1997_136" w:history="1">
        <w:r w:rsidRPr="008E589A">
          <w:rPr>
            <w:rStyle w:val="TextoNormalCaracter"/>
          </w:rPr>
          <w:t>136/1997</w:t>
        </w:r>
      </w:hyperlink>
      <w:r w:rsidRPr="008E589A">
        <w:rPr>
          <w:rStyle w:val="TextoNormalCaracter"/>
        </w:rPr>
        <w:t>, ff. 1, 2, 3, 4.</w:t>
      </w:r>
    </w:p>
    <w:p w:rsidR="008E589A" w:rsidRPr="008E589A" w:rsidRDefault="008E589A" w:rsidP="008E589A">
      <w:pPr>
        <w:pStyle w:val="TextoNormalSangraFrancesa"/>
        <w:rPr>
          <w:rStyle w:val="TextoNormalCaracter"/>
        </w:rPr>
      </w:pPr>
      <w:bookmarkStart w:id="769" w:name="DESCRIPTORALFABETICO286"/>
      <w:r w:rsidRPr="008E589A">
        <w:rPr>
          <w:rStyle w:val="TextoNormalNegritaCaracter"/>
        </w:rPr>
        <w:t>Cuestiones prejudiciales</w:t>
      </w:r>
      <w:bookmarkEnd w:id="769"/>
      <w:r w:rsidRPr="008E589A">
        <w:rPr>
          <w:rStyle w:val="TextoNormalCaracter"/>
        </w:rPr>
        <w:t xml:space="preserve">, Auto </w:t>
      </w:r>
      <w:hyperlink w:anchor="AUTO_1997_175" w:history="1">
        <w:r w:rsidRPr="008E589A">
          <w:rPr>
            <w:rStyle w:val="TextoNormalCaracter"/>
          </w:rPr>
          <w:t>175/1997</w:t>
        </w:r>
      </w:hyperlink>
      <w:r w:rsidRPr="008E589A">
        <w:rPr>
          <w:rStyle w:val="TextoNormalCaracter"/>
        </w:rPr>
        <w:t>.</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D</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770" w:name="DESCRIPTORALFABETICO347"/>
      <w:r w:rsidRPr="008E589A">
        <w:rPr>
          <w:rStyle w:val="TextoNormalNegritaCaracter"/>
        </w:rPr>
        <w:t>Decaimiento del nombramiento de abogado de oficio</w:t>
      </w:r>
      <w:bookmarkEnd w:id="770"/>
      <w:r w:rsidRPr="008E589A">
        <w:rPr>
          <w:rStyle w:val="TextoNormalCaracter"/>
        </w:rPr>
        <w:t xml:space="preserve">, Sentencia </w:t>
      </w:r>
      <w:hyperlink w:anchor="SENTENCIA_1997_120" w:history="1">
        <w:r w:rsidRPr="008E589A">
          <w:rPr>
            <w:rStyle w:val="TextoNormalCaracter"/>
          </w:rPr>
          <w:t>120/1997</w:t>
        </w:r>
      </w:hyperlink>
      <w:r w:rsidRPr="008E589A">
        <w:rPr>
          <w:rStyle w:val="TextoNormalCaracter"/>
        </w:rPr>
        <w:t>, f. 4.</w:t>
      </w:r>
    </w:p>
    <w:p w:rsidR="008E589A" w:rsidRPr="008E589A" w:rsidRDefault="008E589A" w:rsidP="008E589A">
      <w:pPr>
        <w:pStyle w:val="TextoNormalSangraFrancesa"/>
        <w:rPr>
          <w:rStyle w:val="TextoNormalCaracter"/>
        </w:rPr>
      </w:pPr>
      <w:bookmarkStart w:id="771" w:name="DESCRIPTORALFABETICO274"/>
      <w:r w:rsidRPr="008E589A">
        <w:rPr>
          <w:rStyle w:val="TextoNormalNegritaCaracter"/>
        </w:rPr>
        <w:lastRenderedPageBreak/>
        <w:t>Declaración de culpabilidad penal</w:t>
      </w:r>
      <w:bookmarkEnd w:id="771"/>
      <w:r w:rsidRPr="008E589A">
        <w:rPr>
          <w:rStyle w:val="TextoNormalCaracter"/>
        </w:rPr>
        <w:t xml:space="preserve">, Sentencia </w:t>
      </w:r>
      <w:hyperlink w:anchor="SENTENCIA_1997_92" w:history="1">
        <w:r w:rsidRPr="008E589A">
          <w:rPr>
            <w:rStyle w:val="TextoNormalCaracter"/>
          </w:rPr>
          <w:t>92/1997</w:t>
        </w:r>
      </w:hyperlink>
      <w:r w:rsidRPr="008E589A">
        <w:rPr>
          <w:rStyle w:val="TextoNormalCaracter"/>
        </w:rPr>
        <w:t>, f. 4.</w:t>
      </w:r>
    </w:p>
    <w:p w:rsidR="008E589A" w:rsidRPr="008E589A" w:rsidRDefault="008E589A" w:rsidP="008E589A">
      <w:pPr>
        <w:pStyle w:val="TextoNormalSangraFrancesa"/>
        <w:rPr>
          <w:rStyle w:val="TextoNormalCaracter"/>
        </w:rPr>
      </w:pPr>
      <w:bookmarkStart w:id="772" w:name="DESCRIPTORALFABETICO283"/>
      <w:r w:rsidRPr="008E589A">
        <w:rPr>
          <w:rStyle w:val="TextoNormalNegritaCaracter"/>
        </w:rPr>
        <w:t>Declaración de incompetencia de jurisdicción</w:t>
      </w:r>
      <w:bookmarkEnd w:id="772"/>
      <w:r w:rsidRPr="008E589A">
        <w:rPr>
          <w:rStyle w:val="TextoNormalCaracter"/>
        </w:rPr>
        <w:t xml:space="preserve">, Sentencia </w:t>
      </w:r>
      <w:hyperlink w:anchor="SENTENCIA_1997_136" w:history="1">
        <w:r w:rsidRPr="008E589A">
          <w:rPr>
            <w:rStyle w:val="TextoNormalCaracter"/>
          </w:rPr>
          <w:t>136/1997</w:t>
        </w:r>
      </w:hyperlink>
      <w:r w:rsidRPr="008E589A">
        <w:rPr>
          <w:rStyle w:val="TextoNormalCaracter"/>
        </w:rPr>
        <w:t>, ff. 1, 2, 3, 4.</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35" w:history="1">
        <w:r w:rsidRPr="008E589A">
          <w:rPr>
            <w:rStyle w:val="TextoNormalCaracter"/>
          </w:rPr>
          <w:t>235/1997</w:t>
        </w:r>
      </w:hyperlink>
      <w:r w:rsidRPr="008E589A">
        <w:rPr>
          <w:rStyle w:val="TextoNormalCaracter"/>
        </w:rPr>
        <w:t>.</w:t>
      </w:r>
    </w:p>
    <w:p w:rsidR="008E589A" w:rsidRPr="008E589A" w:rsidRDefault="008E589A" w:rsidP="008E589A">
      <w:pPr>
        <w:pStyle w:val="TextoNormalSangraFrancesa"/>
        <w:rPr>
          <w:rStyle w:val="TextoNormalCaracter"/>
        </w:rPr>
      </w:pPr>
      <w:bookmarkStart w:id="773" w:name="DESCRIPTORALFABETICO103"/>
      <w:r w:rsidRPr="008E589A">
        <w:rPr>
          <w:rStyle w:val="TextoNormalNegritaCaracter"/>
        </w:rPr>
        <w:t>Declaración de incompetencia del Tribunal Constitucional</w:t>
      </w:r>
      <w:bookmarkEnd w:id="773"/>
      <w:r w:rsidRPr="008E589A">
        <w:rPr>
          <w:rStyle w:val="TextoNormalCaracter"/>
        </w:rPr>
        <w:t xml:space="preserve">, Autos </w:t>
      </w:r>
      <w:hyperlink w:anchor="AUTO_1997_138" w:history="1">
        <w:r w:rsidRPr="008E589A">
          <w:rPr>
            <w:rStyle w:val="TextoNormalCaracter"/>
          </w:rPr>
          <w:t>138/1997</w:t>
        </w:r>
      </w:hyperlink>
      <w:r w:rsidRPr="008E589A">
        <w:rPr>
          <w:rStyle w:val="TextoNormalCaracter"/>
        </w:rPr>
        <w:t xml:space="preserve">; </w:t>
      </w:r>
      <w:hyperlink w:anchor="AUTO_1997_204" w:history="1">
        <w:r w:rsidRPr="008E589A">
          <w:rPr>
            <w:rStyle w:val="TextoNormalCaracter"/>
          </w:rPr>
          <w:t>204/1997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Declaración de incompetencia por el Juez</w:t>
      </w:r>
      <w:r>
        <w:t xml:space="preserve"> véase </w:t>
      </w:r>
      <w:hyperlink w:anchor="DESCRIPTORALFABETICO283" w:history="1">
        <w:r w:rsidRPr="008E589A">
          <w:rPr>
            <w:rStyle w:val="TextoNormalNegritaCaracter"/>
          </w:rPr>
          <w:t>Declaración de incompetencia de jurisdicción</w:t>
        </w:r>
      </w:hyperlink>
    </w:p>
    <w:p w:rsidR="008E589A" w:rsidRPr="008E589A" w:rsidRDefault="008E589A" w:rsidP="008E589A">
      <w:pPr>
        <w:pStyle w:val="TextoNormalSangraFrancesa"/>
        <w:rPr>
          <w:rStyle w:val="TextoNormalCaracter"/>
        </w:rPr>
      </w:pPr>
      <w:bookmarkStart w:id="774" w:name="DESCRIPTORALFABETICO358"/>
      <w:r w:rsidRPr="008E589A">
        <w:rPr>
          <w:rStyle w:val="TextoNormalNegritaCaracter"/>
        </w:rPr>
        <w:t>Declaración judicial de suficiencia de la representación procesal</w:t>
      </w:r>
      <w:bookmarkEnd w:id="774"/>
      <w:r w:rsidRPr="008E589A">
        <w:rPr>
          <w:rStyle w:val="TextoNormalCaracter"/>
        </w:rPr>
        <w:t xml:space="preserve">, Sentencia </w:t>
      </w:r>
      <w:hyperlink w:anchor="SENTENCIA_1997_101" w:history="1">
        <w:r w:rsidRPr="008E589A">
          <w:rPr>
            <w:rStyle w:val="TextoNormalCaracter"/>
          </w:rPr>
          <w:t>101/1997</w:t>
        </w:r>
      </w:hyperlink>
      <w:r w:rsidRPr="008E589A">
        <w:rPr>
          <w:rStyle w:val="TextoNormalCaracter"/>
        </w:rPr>
        <w:t>, f. 5.</w:t>
      </w:r>
    </w:p>
    <w:p w:rsidR="008E589A" w:rsidRPr="008E589A" w:rsidRDefault="008E589A" w:rsidP="008E589A">
      <w:pPr>
        <w:pStyle w:val="TextoNormalSangraFrancesa"/>
        <w:rPr>
          <w:rStyle w:val="TextoNormalCaracter"/>
        </w:rPr>
      </w:pPr>
      <w:bookmarkStart w:id="775" w:name="DESCRIPTORALFABETICO288"/>
      <w:r w:rsidRPr="008E589A">
        <w:rPr>
          <w:rStyle w:val="TextoNormalNegritaCaracter"/>
        </w:rPr>
        <w:t>Declinatoria de jurisdicción</w:t>
      </w:r>
      <w:bookmarkEnd w:id="775"/>
      <w:r w:rsidRPr="008E589A">
        <w:rPr>
          <w:rStyle w:val="TextoNormalCaracter"/>
        </w:rPr>
        <w:t xml:space="preserve">, Sentencia </w:t>
      </w:r>
      <w:hyperlink w:anchor="SENTENCIA_1997_136" w:history="1">
        <w:r w:rsidRPr="008E589A">
          <w:rPr>
            <w:rStyle w:val="TextoNormalCaracter"/>
          </w:rPr>
          <w:t>136/1997</w:t>
        </w:r>
      </w:hyperlink>
      <w:r w:rsidRPr="008E589A">
        <w:rPr>
          <w:rStyle w:val="TextoNormalCaracter"/>
        </w:rPr>
        <w:t>, f. 3.</w:t>
      </w:r>
    </w:p>
    <w:p w:rsidR="008E589A" w:rsidRPr="008E589A" w:rsidRDefault="008E589A" w:rsidP="008E589A">
      <w:pPr>
        <w:pStyle w:val="TextoNormalSangraFrancesa"/>
        <w:rPr>
          <w:rStyle w:val="TextoNormalCaracter"/>
        </w:rPr>
      </w:pPr>
      <w:bookmarkStart w:id="776" w:name="DESCRIPTORALFABETICO237"/>
      <w:r w:rsidRPr="008E589A">
        <w:rPr>
          <w:rStyle w:val="TextoNormalNegritaCaracter"/>
        </w:rPr>
        <w:t>Decretos-leyes</w:t>
      </w:r>
      <w:bookmarkEnd w:id="776"/>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777" w:name="DESCRIPTORALFABETICO127"/>
      <w:r w:rsidRPr="008E589A">
        <w:rPr>
          <w:rStyle w:val="TextoNormalNegritaCaracter"/>
        </w:rPr>
        <w:t>Defectos no subsanados por Auto de admisión</w:t>
      </w:r>
      <w:bookmarkEnd w:id="777"/>
      <w:r w:rsidRPr="008E589A">
        <w:rPr>
          <w:rStyle w:val="TextoNormalCaracter"/>
        </w:rPr>
        <w:t xml:space="preserve">, Sentencia </w:t>
      </w:r>
      <w:hyperlink w:anchor="SENTENCIA_1997_106" w:history="1">
        <w:r w:rsidRPr="008E589A">
          <w:rPr>
            <w:rStyle w:val="TextoNormalCaracter"/>
          </w:rPr>
          <w:t>106/1997</w:t>
        </w:r>
      </w:hyperlink>
      <w:r w:rsidRPr="008E589A">
        <w:rPr>
          <w:rStyle w:val="TextoNormalCaracter"/>
        </w:rPr>
        <w:t>, f. 2.</w:t>
      </w:r>
    </w:p>
    <w:p w:rsidR="008E589A" w:rsidRPr="008E589A" w:rsidRDefault="008E589A" w:rsidP="008E589A">
      <w:pPr>
        <w:pStyle w:val="TextoNormalSangraFrancesa"/>
        <w:rPr>
          <w:rStyle w:val="TextoNormalCaracter"/>
        </w:rPr>
      </w:pPr>
      <w:bookmarkStart w:id="778" w:name="DESCRIPTORALFABETICO314"/>
      <w:r w:rsidRPr="008E589A">
        <w:rPr>
          <w:rStyle w:val="TextoNormalNegritaCaracter"/>
        </w:rPr>
        <w:t>Defectos procesales sin relevancia constitucional</w:t>
      </w:r>
      <w:bookmarkEnd w:id="778"/>
      <w:r w:rsidRPr="008E589A">
        <w:rPr>
          <w:rStyle w:val="TextoNormalCaracter"/>
        </w:rPr>
        <w:t xml:space="preserve">, Sentencias </w:t>
      </w:r>
      <w:hyperlink w:anchor="SENTENCIA_1997_89" w:history="1">
        <w:r w:rsidRPr="008E589A">
          <w:rPr>
            <w:rStyle w:val="TextoNormalCaracter"/>
          </w:rPr>
          <w:t>89/1997</w:t>
        </w:r>
      </w:hyperlink>
      <w:r w:rsidRPr="008E589A">
        <w:rPr>
          <w:rStyle w:val="TextoNormalCaracter"/>
        </w:rPr>
        <w:t xml:space="preserve">, ff. 3, 4; </w:t>
      </w:r>
      <w:hyperlink w:anchor="SENTENCIA_1997_105" w:history="1">
        <w:r w:rsidRPr="008E589A">
          <w:rPr>
            <w:rStyle w:val="TextoNormalCaracter"/>
          </w:rPr>
          <w:t>105/1997</w:t>
        </w:r>
      </w:hyperlink>
      <w:r w:rsidRPr="008E589A">
        <w:rPr>
          <w:rStyle w:val="TextoNormalCaracter"/>
        </w:rPr>
        <w:t>, f. 6.</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08" w:history="1">
        <w:r w:rsidRPr="008E589A">
          <w:rPr>
            <w:rStyle w:val="TextoNormalCaracter"/>
          </w:rPr>
          <w:t>208/1997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Demora procesal</w:t>
      </w:r>
      <w:r>
        <w:t xml:space="preserve"> véase </w:t>
      </w:r>
      <w:hyperlink w:anchor="DESCRIPTORALFABETICO317" w:history="1">
        <w:r w:rsidRPr="008E589A">
          <w:rPr>
            <w:rStyle w:val="TextoNormalNegritaCaracter"/>
          </w:rPr>
          <w:t>Dilaciones indebidas en el procedimiento</w:t>
        </w:r>
      </w:hyperlink>
    </w:p>
    <w:p w:rsidR="008E589A" w:rsidRPr="008E589A" w:rsidRDefault="008E589A" w:rsidP="008E589A">
      <w:pPr>
        <w:pStyle w:val="TextoNormalSangraFrancesa"/>
        <w:rPr>
          <w:rStyle w:val="TextoNormalCaracter"/>
        </w:rPr>
      </w:pPr>
      <w:bookmarkStart w:id="779" w:name="DESCRIPTORALFABETICO346"/>
      <w:r w:rsidRPr="008E589A">
        <w:rPr>
          <w:rStyle w:val="TextoNormalNegritaCaracter"/>
        </w:rPr>
        <w:t>Denegación de abogado de oficio</w:t>
      </w:r>
      <w:bookmarkEnd w:id="779"/>
      <w:r w:rsidRPr="008E589A">
        <w:rPr>
          <w:rStyle w:val="TextoNormalCaracter"/>
        </w:rPr>
        <w:t xml:space="preserve">, Sentencia </w:t>
      </w:r>
      <w:hyperlink w:anchor="SENTENCIA_1997_120" w:history="1">
        <w:r w:rsidRPr="008E589A">
          <w:rPr>
            <w:rStyle w:val="TextoNormalCaracter"/>
          </w:rPr>
          <w:t>120/1997</w:t>
        </w:r>
      </w:hyperlink>
      <w:r w:rsidRPr="008E589A">
        <w:rPr>
          <w:rStyle w:val="TextoNormalCaracter"/>
        </w:rPr>
        <w:t>, f. 4.</w:t>
      </w:r>
    </w:p>
    <w:p w:rsidR="008E589A" w:rsidRPr="008E589A" w:rsidRDefault="008E589A" w:rsidP="008E589A">
      <w:pPr>
        <w:pStyle w:val="TextoNormalSangraFrancesa"/>
        <w:rPr>
          <w:rStyle w:val="TextoNormalCaracter"/>
        </w:rPr>
      </w:pPr>
      <w:bookmarkStart w:id="780" w:name="DESCRIPTORALFABETICO366"/>
      <w:r w:rsidRPr="008E589A">
        <w:rPr>
          <w:rStyle w:val="TextoNormalNegritaCaracter"/>
        </w:rPr>
        <w:t>Denegación de audiencia al rebelde</w:t>
      </w:r>
      <w:bookmarkEnd w:id="780"/>
      <w:r w:rsidRPr="008E589A">
        <w:rPr>
          <w:rStyle w:val="TextoNormalCaracter"/>
        </w:rPr>
        <w:t xml:space="preserve">, Sentencia </w:t>
      </w:r>
      <w:hyperlink w:anchor="SENTENCIA_1997_106" w:history="1">
        <w:r w:rsidRPr="008E589A">
          <w:rPr>
            <w:rStyle w:val="TextoNormalCaracter"/>
          </w:rPr>
          <w:t>106/1997</w:t>
        </w:r>
      </w:hyperlink>
      <w:r w:rsidRPr="008E589A">
        <w:rPr>
          <w:rStyle w:val="TextoNormalCaracter"/>
        </w:rPr>
        <w:t>, f. 3.</w:t>
      </w:r>
    </w:p>
    <w:p w:rsidR="008E589A" w:rsidRPr="008E589A" w:rsidRDefault="008E589A" w:rsidP="008E589A">
      <w:pPr>
        <w:pStyle w:val="TextoNormalSangraFrancesa"/>
        <w:rPr>
          <w:rStyle w:val="TextoNormalCaracter"/>
        </w:rPr>
      </w:pPr>
      <w:bookmarkStart w:id="781" w:name="DESCRIPTORALFABETICO320"/>
      <w:r w:rsidRPr="008E589A">
        <w:rPr>
          <w:rStyle w:val="TextoNormalNegritaCaracter"/>
        </w:rPr>
        <w:t>Denegación de ejecución provisional de sentencia no firme</w:t>
      </w:r>
      <w:bookmarkEnd w:id="781"/>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ff. 1, 2.</w:t>
      </w:r>
    </w:p>
    <w:p w:rsidR="008E589A" w:rsidRPr="008E589A" w:rsidRDefault="008E589A" w:rsidP="008E589A">
      <w:pPr>
        <w:pStyle w:val="TextoNormalSangraFrancesa"/>
        <w:rPr>
          <w:rStyle w:val="TextoNormalCaracter"/>
        </w:rPr>
      </w:pPr>
      <w:bookmarkStart w:id="782" w:name="DESCRIPTORALFABETICO321"/>
      <w:r w:rsidRPr="008E589A">
        <w:rPr>
          <w:rStyle w:val="TextoNormalNegritaCaracter"/>
        </w:rPr>
        <w:t>Denegación de ejecución provisional de sentencia recaída en procedimiento de tutela de derechos fundamentales en el ámbito laboral</w:t>
      </w:r>
      <w:bookmarkEnd w:id="782"/>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 5.</w:t>
      </w:r>
    </w:p>
    <w:p w:rsidR="008E589A" w:rsidRPr="008E589A" w:rsidRDefault="008E589A" w:rsidP="008E589A">
      <w:pPr>
        <w:pStyle w:val="TextoNormalSangraFrancesa"/>
        <w:rPr>
          <w:rStyle w:val="TextoNormalCaracter"/>
        </w:rPr>
      </w:pPr>
      <w:bookmarkStart w:id="783" w:name="DESCRIPTORALFABETICO264"/>
      <w:r w:rsidRPr="008E589A">
        <w:rPr>
          <w:rStyle w:val="TextoNormalNegritaCaracter"/>
        </w:rPr>
        <w:t>Denegación de la suspensión de la ejecución de la pena</w:t>
      </w:r>
      <w:bookmarkEnd w:id="783"/>
      <w:r w:rsidRPr="008E589A">
        <w:rPr>
          <w:rStyle w:val="TextoNormalCaracter"/>
        </w:rPr>
        <w:t xml:space="preserve">, Sentencia </w:t>
      </w:r>
      <w:hyperlink w:anchor="SENTENCIA_1997_115" w:history="1">
        <w:r w:rsidRPr="008E589A">
          <w:rPr>
            <w:rStyle w:val="TextoNormalCaracter"/>
          </w:rPr>
          <w:t>115/1997</w:t>
        </w:r>
      </w:hyperlink>
      <w:r w:rsidRPr="008E589A">
        <w:rPr>
          <w:rStyle w:val="TextoNormalCaracter"/>
        </w:rPr>
        <w:t>, f. 2.</w:t>
      </w:r>
    </w:p>
    <w:p w:rsidR="008E589A" w:rsidRPr="008E589A" w:rsidRDefault="008E589A" w:rsidP="008E589A">
      <w:pPr>
        <w:pStyle w:val="TextoNormalSangraFrancesa"/>
        <w:rPr>
          <w:rStyle w:val="TextoNormalCaracter"/>
        </w:rPr>
      </w:pPr>
      <w:bookmarkStart w:id="784" w:name="DESCRIPTORALFABETICO356"/>
      <w:r w:rsidRPr="008E589A">
        <w:rPr>
          <w:rStyle w:val="TextoNormalNegritaCaracter"/>
        </w:rPr>
        <w:t>Denegación de postulación</w:t>
      </w:r>
      <w:bookmarkEnd w:id="784"/>
      <w:r w:rsidRPr="008E589A">
        <w:rPr>
          <w:rStyle w:val="TextoNormalCaracter"/>
        </w:rPr>
        <w:t xml:space="preserve">, Sentencia </w:t>
      </w:r>
      <w:hyperlink w:anchor="SENTENCIA_1997_120" w:history="1">
        <w:r w:rsidRPr="008E589A">
          <w:rPr>
            <w:rStyle w:val="TextoNormalCaracter"/>
          </w:rPr>
          <w:t>120/1997</w:t>
        </w:r>
      </w:hyperlink>
      <w:r w:rsidRPr="008E589A">
        <w:rPr>
          <w:rStyle w:val="TextoNormalCaracter"/>
        </w:rPr>
        <w:t>, f. 4.</w:t>
      </w:r>
    </w:p>
    <w:p w:rsidR="008E589A" w:rsidRPr="008E589A" w:rsidRDefault="008E589A" w:rsidP="008E589A">
      <w:pPr>
        <w:pStyle w:val="TextoNormalSangraFrancesa"/>
        <w:rPr>
          <w:rStyle w:val="TextoNormalCaracter"/>
        </w:rPr>
      </w:pPr>
      <w:bookmarkStart w:id="785" w:name="DESCRIPTORALFABETICO335"/>
      <w:r w:rsidRPr="008E589A">
        <w:rPr>
          <w:rStyle w:val="TextoNormalNegritaCaracter"/>
        </w:rPr>
        <w:t>Denegación de prueba</w:t>
      </w:r>
      <w:bookmarkEnd w:id="785"/>
      <w:r w:rsidRPr="008E589A">
        <w:rPr>
          <w:rStyle w:val="TextoNormalCaracter"/>
        </w:rPr>
        <w:t xml:space="preserve">, Sentencias </w:t>
      </w:r>
      <w:hyperlink w:anchor="SENTENCIA_1997_116" w:history="1">
        <w:r w:rsidRPr="008E589A">
          <w:rPr>
            <w:rStyle w:val="TextoNormalCaracter"/>
          </w:rPr>
          <w:t>116/1997</w:t>
        </w:r>
      </w:hyperlink>
      <w:r w:rsidRPr="008E589A">
        <w:rPr>
          <w:rStyle w:val="TextoNormalCaracter"/>
        </w:rPr>
        <w:t xml:space="preserve">, f. 5; </w:t>
      </w:r>
      <w:hyperlink w:anchor="SENTENCIA_1997_122" w:history="1">
        <w:r w:rsidRPr="008E589A">
          <w:rPr>
            <w:rStyle w:val="TextoNormalCaracter"/>
          </w:rPr>
          <w:t>122/1997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236" w:history="1">
        <w:r w:rsidRPr="008E589A">
          <w:rPr>
            <w:rStyle w:val="TextoNormalCaracter"/>
          </w:rPr>
          <w:t>236/1997</w:t>
        </w:r>
      </w:hyperlink>
      <w:r w:rsidRPr="008E589A">
        <w:rPr>
          <w:rStyle w:val="TextoNormalCaracter"/>
        </w:rPr>
        <w:t xml:space="preserve">; </w:t>
      </w:r>
      <w:hyperlink w:anchor="AUTO_1997_238" w:history="1">
        <w:r w:rsidRPr="008E589A">
          <w:rPr>
            <w:rStyle w:val="TextoNormalCaracter"/>
          </w:rPr>
          <w:t>238/1997</w:t>
        </w:r>
      </w:hyperlink>
      <w:r w:rsidRPr="008E589A">
        <w:rPr>
          <w:rStyle w:val="TextoNormalCaracter"/>
        </w:rPr>
        <w:t xml:space="preserve">; </w:t>
      </w:r>
      <w:hyperlink w:anchor="AUTO_1997_263" w:history="1">
        <w:r w:rsidRPr="008E589A">
          <w:rPr>
            <w:rStyle w:val="TextoNormalCaracter"/>
          </w:rPr>
          <w:t>263/1997</w:t>
        </w:r>
      </w:hyperlink>
      <w:r w:rsidRPr="008E589A">
        <w:rPr>
          <w:rStyle w:val="TextoNormalCaracter"/>
        </w:rPr>
        <w:t xml:space="preserve">; </w:t>
      </w:r>
      <w:hyperlink w:anchor="AUTO_1997_268" w:history="1">
        <w:r w:rsidRPr="008E589A">
          <w:rPr>
            <w:rStyle w:val="TextoNormalCaracter"/>
          </w:rPr>
          <w:t>268/1997</w:t>
        </w:r>
      </w:hyperlink>
      <w:r w:rsidRPr="008E589A">
        <w:rPr>
          <w:rStyle w:val="TextoNormalCaracter"/>
        </w:rPr>
        <w:t xml:space="preserve">; </w:t>
      </w:r>
      <w:hyperlink w:anchor="AUTO_1997_294" w:history="1">
        <w:r w:rsidRPr="008E589A">
          <w:rPr>
            <w:rStyle w:val="TextoNormalCaracter"/>
          </w:rPr>
          <w:t>294/1997</w:t>
        </w:r>
      </w:hyperlink>
      <w:r w:rsidRPr="008E589A">
        <w:rPr>
          <w:rStyle w:val="TextoNormalCaracter"/>
        </w:rPr>
        <w:t>.</w:t>
      </w:r>
    </w:p>
    <w:p w:rsidR="008E589A" w:rsidRPr="008E589A" w:rsidRDefault="008E589A" w:rsidP="008E589A">
      <w:pPr>
        <w:pStyle w:val="TextoNormalSangraFrancesa"/>
        <w:rPr>
          <w:rStyle w:val="TextoNormalCaracter"/>
        </w:rPr>
      </w:pPr>
      <w:bookmarkStart w:id="786" w:name="DESCRIPTORALFABETICO343"/>
      <w:r w:rsidRPr="008E589A">
        <w:rPr>
          <w:rStyle w:val="TextoNormalNegritaCaracter"/>
        </w:rPr>
        <w:t>Denegación de suspensión de la vista</w:t>
      </w:r>
      <w:bookmarkEnd w:id="786"/>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 7.</w:t>
      </w:r>
    </w:p>
    <w:p w:rsidR="008E589A" w:rsidRPr="008E589A" w:rsidRDefault="008E589A" w:rsidP="008E589A">
      <w:pPr>
        <w:pStyle w:val="TextoNormalSangraFrancesa"/>
        <w:rPr>
          <w:rStyle w:val="TextoNormalCaracter"/>
        </w:rPr>
      </w:pPr>
      <w:bookmarkStart w:id="787" w:name="DESCRIPTORALFABETICO24"/>
      <w:r w:rsidRPr="008E589A">
        <w:rPr>
          <w:rStyle w:val="TextoNormalNegritaCaracter"/>
        </w:rPr>
        <w:t>Derecho a acceder a las funciones públicas</w:t>
      </w:r>
      <w:bookmarkEnd w:id="787"/>
      <w:r w:rsidRPr="008E589A">
        <w:rPr>
          <w:rStyle w:val="TextoNormalCaracter"/>
        </w:rPr>
        <w:t xml:space="preserve">, Sentencia </w:t>
      </w:r>
      <w:hyperlink w:anchor="SENTENCIA_1997_96" w:history="1">
        <w:r w:rsidRPr="008E589A">
          <w:rPr>
            <w:rStyle w:val="TextoNormalCaracter"/>
          </w:rPr>
          <w:t>96/1997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54" w:history="1">
        <w:r w:rsidRPr="008E589A">
          <w:rPr>
            <w:rStyle w:val="TextoNormalCaracter"/>
          </w:rPr>
          <w:t>254/1997</w:t>
        </w:r>
      </w:hyperlink>
      <w:r w:rsidRPr="008E589A">
        <w:rPr>
          <w:rStyle w:val="TextoNormalCaracter"/>
        </w:rPr>
        <w:t>.</w:t>
      </w:r>
    </w:p>
    <w:p w:rsidR="008E589A" w:rsidRPr="008E589A" w:rsidRDefault="008E589A" w:rsidP="008E589A">
      <w:pPr>
        <w:pStyle w:val="TextoNormalSangraFrancesa"/>
        <w:rPr>
          <w:rStyle w:val="TextoNormalCaracter"/>
        </w:rPr>
      </w:pPr>
      <w:bookmarkStart w:id="788" w:name="DESCRIPTORALFABETICO26"/>
      <w:r w:rsidRPr="008E589A">
        <w:rPr>
          <w:rStyle w:val="TextoNormalNegritaCaracter"/>
        </w:rPr>
        <w:t>Derecho a acceder a los cargos públicos</w:t>
      </w:r>
      <w:bookmarkEnd w:id="788"/>
      <w:r w:rsidRPr="008E589A">
        <w:rPr>
          <w:rStyle w:val="TextoNormalCaracter"/>
        </w:rPr>
        <w:t xml:space="preserve">, Auto </w:t>
      </w:r>
      <w:hyperlink w:anchor="AUTO_1997_254" w:history="1">
        <w:r w:rsidRPr="008E589A">
          <w:rPr>
            <w:rStyle w:val="TextoNormalCaracter"/>
          </w:rPr>
          <w:t>254/1997</w:t>
        </w:r>
      </w:hyperlink>
      <w:r w:rsidRPr="008E589A">
        <w:rPr>
          <w:rStyle w:val="TextoNormalCaracter"/>
        </w:rPr>
        <w:t>.</w:t>
      </w:r>
    </w:p>
    <w:p w:rsidR="008E589A" w:rsidRPr="008E589A" w:rsidRDefault="008E589A" w:rsidP="008E589A">
      <w:pPr>
        <w:pStyle w:val="TextoNormalSangraFrancesa"/>
        <w:rPr>
          <w:rStyle w:val="TextoNormalCaracter"/>
        </w:rPr>
      </w:pPr>
      <w:bookmarkStart w:id="789" w:name="DESCRIPTORALFABETICO84"/>
      <w:r w:rsidRPr="008E589A">
        <w:rPr>
          <w:rStyle w:val="TextoNormalNegritaCaracter"/>
        </w:rPr>
        <w:t>Derecho a comunicar libremente información</w:t>
      </w:r>
      <w:bookmarkEnd w:id="789"/>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790" w:name="DESCRIPTORALFABETICO71"/>
      <w:r w:rsidRPr="008E589A">
        <w:rPr>
          <w:rStyle w:val="TextoNormalNegritaCaracter"/>
        </w:rPr>
        <w:t>Derecho a la asistencia letrada</w:t>
      </w:r>
      <w:bookmarkEnd w:id="790"/>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120" w:history="1">
        <w:r w:rsidRPr="008E589A">
          <w:rPr>
            <w:rStyle w:val="TextoNormalCaracter"/>
          </w:rPr>
          <w:t>120/1997</w:t>
        </w:r>
      </w:hyperlink>
      <w:r w:rsidRPr="008E589A">
        <w:rPr>
          <w:rStyle w:val="TextoNormalCaracter"/>
        </w:rPr>
        <w:t>, f. 4.</w:t>
      </w:r>
    </w:p>
    <w:p w:rsidR="008E589A" w:rsidRPr="008E589A" w:rsidRDefault="008E589A" w:rsidP="008E589A">
      <w:pPr>
        <w:pStyle w:val="TextoNormalSangraFrancesa"/>
        <w:rPr>
          <w:rStyle w:val="TextoNormalCaracter"/>
        </w:rPr>
      </w:pPr>
      <w:bookmarkStart w:id="791" w:name="DESCRIPTORALFABETICO70"/>
      <w:r w:rsidRPr="008E589A">
        <w:rPr>
          <w:rStyle w:val="TextoNormalNegritaCaracter"/>
        </w:rPr>
        <w:t>Derecho a la defensa</w:t>
      </w:r>
      <w:bookmarkEnd w:id="791"/>
      <w:r w:rsidRPr="008E589A">
        <w:rPr>
          <w:rStyle w:val="TextoNormalCaracter"/>
        </w:rPr>
        <w:t xml:space="preserve">, Sentencias </w:t>
      </w:r>
      <w:hyperlink w:anchor="SENTENCIA_1997_98" w:history="1">
        <w:r w:rsidRPr="008E589A">
          <w:rPr>
            <w:rStyle w:val="TextoNormalCaracter"/>
          </w:rPr>
          <w:t>98/1997</w:t>
        </w:r>
      </w:hyperlink>
      <w:r w:rsidRPr="008E589A">
        <w:rPr>
          <w:rStyle w:val="TextoNormalCaracter"/>
        </w:rPr>
        <w:t xml:space="preserve">, f. 6; </w:t>
      </w:r>
      <w:hyperlink w:anchor="SENTENCIA_1997_135" w:history="1">
        <w:r w:rsidRPr="008E589A">
          <w:rPr>
            <w:rStyle w:val="TextoNormalCaracter"/>
          </w:rPr>
          <w:t>135/1997</w:t>
        </w:r>
      </w:hyperlink>
      <w:r w:rsidRPr="008E589A">
        <w:rPr>
          <w:rStyle w:val="TextoNormalCaracter"/>
        </w:rPr>
        <w:t>, f. 6.</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114" w:history="1">
        <w:r w:rsidRPr="008E589A">
          <w:rPr>
            <w:rStyle w:val="TextoNormalCaracter"/>
          </w:rPr>
          <w:t>114/1997</w:t>
        </w:r>
      </w:hyperlink>
      <w:r w:rsidRPr="008E589A">
        <w:rPr>
          <w:rStyle w:val="TextoNormalCaracter"/>
        </w:rPr>
        <w:t>, f. 5.</w:t>
      </w:r>
    </w:p>
    <w:p w:rsidR="008E589A" w:rsidRPr="008E589A" w:rsidRDefault="008E589A" w:rsidP="008E589A">
      <w:pPr>
        <w:pStyle w:val="TextoNormalSangraFrancesa"/>
        <w:rPr>
          <w:rStyle w:val="TextoNormalCaracter"/>
        </w:rPr>
      </w:pPr>
      <w:bookmarkStart w:id="792" w:name="DESCRIPTORALFABETICO45"/>
      <w:r w:rsidRPr="008E589A">
        <w:rPr>
          <w:rStyle w:val="TextoNormalNegritaCaracter"/>
        </w:rPr>
        <w:t>Derecho a la ejecución de resoluciones judiciales</w:t>
      </w:r>
      <w:bookmarkEnd w:id="792"/>
      <w:r w:rsidRPr="008E589A">
        <w:rPr>
          <w:rStyle w:val="TextoNormalCaracter"/>
        </w:rPr>
        <w:t xml:space="preserve">, Auto </w:t>
      </w:r>
      <w:hyperlink w:anchor="AUTO_1997_157" w:history="1">
        <w:r w:rsidRPr="008E589A">
          <w:rPr>
            <w:rStyle w:val="TextoNormalCaracter"/>
          </w:rPr>
          <w:t>157/1997</w:t>
        </w:r>
      </w:hyperlink>
      <w:r w:rsidRPr="008E589A">
        <w:rPr>
          <w:rStyle w:val="TextoNormalCaracter"/>
        </w:rPr>
        <w:t>.</w:t>
      </w:r>
    </w:p>
    <w:p w:rsidR="008E589A" w:rsidRPr="008E589A" w:rsidRDefault="008E589A" w:rsidP="008E589A">
      <w:pPr>
        <w:pStyle w:val="TextoNormalSangraFrancesa"/>
        <w:rPr>
          <w:rStyle w:val="TextoNormalCaracter"/>
        </w:rPr>
      </w:pPr>
      <w:bookmarkStart w:id="793" w:name="DESCRIPTORALFABETICO46"/>
      <w:r w:rsidRPr="008E589A">
        <w:rPr>
          <w:rStyle w:val="TextoNormalNegritaCaracter"/>
        </w:rPr>
        <w:t>Derecho a la ejecución de sentencias</w:t>
      </w:r>
      <w:bookmarkEnd w:id="793"/>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ff. 1, 2, 3, 4, 5, 6, 7.</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136" w:history="1">
        <w:r w:rsidRPr="008E589A">
          <w:rPr>
            <w:rStyle w:val="TextoNormalCaracter"/>
          </w:rPr>
          <w:t>136/1997</w:t>
        </w:r>
      </w:hyperlink>
      <w:r w:rsidRPr="008E589A">
        <w:rPr>
          <w:rStyle w:val="TextoNormalCaracter"/>
        </w:rPr>
        <w:t>, f. 3.</w:t>
      </w:r>
    </w:p>
    <w:p w:rsidR="008E589A" w:rsidRPr="008E589A" w:rsidRDefault="008E589A" w:rsidP="008E589A">
      <w:pPr>
        <w:pStyle w:val="TextoNormalSangraFrancesa"/>
        <w:rPr>
          <w:rStyle w:val="TextoNormalCaracter"/>
        </w:rPr>
      </w:pPr>
      <w:bookmarkStart w:id="794" w:name="DESCRIPTORALFABETICO32"/>
      <w:r w:rsidRPr="008E589A">
        <w:rPr>
          <w:rStyle w:val="TextoNormalNegritaCaracter"/>
        </w:rPr>
        <w:t>Derecho a la igualdad</w:t>
      </w:r>
      <w:bookmarkEnd w:id="794"/>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 3.</w:t>
      </w:r>
    </w:p>
    <w:p w:rsidR="008E589A" w:rsidRPr="008E589A" w:rsidRDefault="008E589A" w:rsidP="008E589A">
      <w:pPr>
        <w:pStyle w:val="TextoNormalSangraFrancesa"/>
        <w:rPr>
          <w:rStyle w:val="TextoNormalCaracter"/>
        </w:rPr>
      </w:pPr>
      <w:bookmarkStart w:id="795" w:name="DESCRIPTORALFABETICO35"/>
      <w:r w:rsidRPr="008E589A">
        <w:rPr>
          <w:rStyle w:val="TextoNormalNegritaCaracter"/>
        </w:rPr>
        <w:t>Derecho a la inviolabilidad del domicilio</w:t>
      </w:r>
      <w:bookmarkEnd w:id="795"/>
      <w:r w:rsidRPr="008E589A">
        <w:rPr>
          <w:rStyle w:val="TextoNormalCaracter"/>
        </w:rPr>
        <w:t xml:space="preserve">, Auto </w:t>
      </w:r>
      <w:hyperlink w:anchor="AUTO_1997_175" w:history="1">
        <w:r w:rsidRPr="008E589A">
          <w:rPr>
            <w:rStyle w:val="TextoNormalCaracter"/>
          </w:rPr>
          <w:t>175/1997</w:t>
        </w:r>
      </w:hyperlink>
      <w:r w:rsidRPr="008E589A">
        <w:rPr>
          <w:rStyle w:val="TextoNormalCaracter"/>
        </w:rPr>
        <w:t>.</w:t>
      </w:r>
    </w:p>
    <w:p w:rsidR="008E589A" w:rsidRPr="008E589A" w:rsidRDefault="008E589A" w:rsidP="008E589A">
      <w:pPr>
        <w:pStyle w:val="TextoNormalSangraFrancesa"/>
        <w:rPr>
          <w:rStyle w:val="TextoNormalCaracter"/>
        </w:rPr>
      </w:pPr>
      <w:bookmarkStart w:id="796" w:name="DESCRIPTORALFABETICO36"/>
      <w:r w:rsidRPr="008E589A">
        <w:rPr>
          <w:rStyle w:val="TextoNormalNegritaCaracter"/>
        </w:rPr>
        <w:t>Derecho a la libertad personal</w:t>
      </w:r>
      <w:bookmarkEnd w:id="796"/>
      <w:r w:rsidRPr="008E589A">
        <w:rPr>
          <w:rStyle w:val="TextoNormalCaracter"/>
        </w:rPr>
        <w:t xml:space="preserve">, Sentencias </w:t>
      </w:r>
      <w:hyperlink w:anchor="SENTENCIA_1997_98" w:history="1">
        <w:r w:rsidRPr="008E589A">
          <w:rPr>
            <w:rStyle w:val="TextoNormalCaracter"/>
          </w:rPr>
          <w:t>98/1997</w:t>
        </w:r>
      </w:hyperlink>
      <w:r w:rsidRPr="008E589A">
        <w:rPr>
          <w:rStyle w:val="TextoNormalCaracter"/>
        </w:rPr>
        <w:t xml:space="preserve">, f. 2; </w:t>
      </w:r>
      <w:hyperlink w:anchor="SENTENCIA_1997_107" w:history="1">
        <w:r w:rsidRPr="008E589A">
          <w:rPr>
            <w:rStyle w:val="TextoNormalCaracter"/>
          </w:rPr>
          <w:t>107/1997</w:t>
        </w:r>
      </w:hyperlink>
      <w:r w:rsidRPr="008E589A">
        <w:rPr>
          <w:rStyle w:val="TextoNormalCaracter"/>
        </w:rPr>
        <w:t xml:space="preserve">, ff. 1, 2, 3, 4, 5, 6; </w:t>
      </w:r>
      <w:hyperlink w:anchor="SENTENCIA_1997_108" w:history="1">
        <w:r w:rsidRPr="008E589A">
          <w:rPr>
            <w:rStyle w:val="TextoNormalCaracter"/>
          </w:rPr>
          <w:t>108/1997</w:t>
        </w:r>
      </w:hyperlink>
      <w:r w:rsidRPr="008E589A">
        <w:rPr>
          <w:rStyle w:val="TextoNormalCaracter"/>
        </w:rPr>
        <w:t>, ff. 1, 2, 3, 4.</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77" w:history="1">
        <w:r w:rsidRPr="008E589A">
          <w:rPr>
            <w:rStyle w:val="TextoNormalCaracter"/>
          </w:rPr>
          <w:t>277/1997</w:t>
        </w:r>
      </w:hyperlink>
      <w:r w:rsidRPr="008E589A">
        <w:rPr>
          <w:rStyle w:val="TextoNormalCaracter"/>
        </w:rPr>
        <w:t>.</w:t>
      </w:r>
    </w:p>
    <w:p w:rsidR="008E589A" w:rsidRPr="008E589A" w:rsidRDefault="008E589A" w:rsidP="008E589A">
      <w:pPr>
        <w:pStyle w:val="TextoNormalSangraFrancesa"/>
        <w:rPr>
          <w:rStyle w:val="TextoNormalCaracter"/>
        </w:rPr>
      </w:pPr>
      <w:bookmarkStart w:id="797" w:name="DESCRIPTORALFABETICO37"/>
      <w:r w:rsidRPr="008E589A">
        <w:rPr>
          <w:rStyle w:val="TextoNormalNegritaCaracter"/>
        </w:rPr>
        <w:t>Derecho a la presunción de inocencia</w:t>
      </w:r>
      <w:bookmarkEnd w:id="797"/>
      <w:r w:rsidRPr="008E589A">
        <w:rPr>
          <w:rStyle w:val="TextoNormalCaracter"/>
        </w:rPr>
        <w:t xml:space="preserve">, Sentencias </w:t>
      </w:r>
      <w:hyperlink w:anchor="SENTENCIA_1997_107" w:history="1">
        <w:r w:rsidRPr="008E589A">
          <w:rPr>
            <w:rStyle w:val="TextoNormalCaracter"/>
          </w:rPr>
          <w:t>107/1997</w:t>
        </w:r>
      </w:hyperlink>
      <w:r w:rsidRPr="008E589A">
        <w:rPr>
          <w:rStyle w:val="TextoNormalCaracter"/>
        </w:rPr>
        <w:t xml:space="preserve">, f. 2; </w:t>
      </w:r>
      <w:hyperlink w:anchor="SENTENCIA_1997_123" w:history="1">
        <w:r w:rsidRPr="008E589A">
          <w:rPr>
            <w:rStyle w:val="TextoNormalCaracter"/>
          </w:rPr>
          <w:t>123/1997</w:t>
        </w:r>
      </w:hyperlink>
      <w:r w:rsidRPr="008E589A">
        <w:rPr>
          <w:rStyle w:val="TextoNormalCaracter"/>
        </w:rPr>
        <w:t xml:space="preserve">, f. 6; </w:t>
      </w:r>
      <w:hyperlink w:anchor="SENTENCIA_1997_131" w:history="1">
        <w:r w:rsidRPr="008E589A">
          <w:rPr>
            <w:rStyle w:val="TextoNormalCaracter"/>
          </w:rPr>
          <w:t>131/1997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246" w:history="1">
        <w:r w:rsidRPr="008E589A">
          <w:rPr>
            <w:rStyle w:val="TextoNormalCaracter"/>
          </w:rPr>
          <w:t>246/1997</w:t>
        </w:r>
      </w:hyperlink>
      <w:r w:rsidRPr="008E589A">
        <w:rPr>
          <w:rStyle w:val="TextoNormalCaracter"/>
        </w:rPr>
        <w:t xml:space="preserve">; </w:t>
      </w:r>
      <w:hyperlink w:anchor="AUTO_1997_275" w:history="1">
        <w:r w:rsidRPr="008E589A">
          <w:rPr>
            <w:rStyle w:val="TextoNormalCaracter"/>
          </w:rPr>
          <w:t>275/1997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Sentencias </w:t>
      </w:r>
      <w:hyperlink w:anchor="SENTENCIA_1997_123" w:history="1">
        <w:r w:rsidRPr="008E589A">
          <w:rPr>
            <w:rStyle w:val="TextoNormalCaracter"/>
          </w:rPr>
          <w:t>123/1997</w:t>
        </w:r>
      </w:hyperlink>
      <w:r w:rsidRPr="008E589A">
        <w:rPr>
          <w:rStyle w:val="TextoNormalCaracter"/>
        </w:rPr>
        <w:t xml:space="preserve">, f. 6; </w:t>
      </w:r>
      <w:hyperlink w:anchor="SENTENCIA_1997_131" w:history="1">
        <w:r w:rsidRPr="008E589A">
          <w:rPr>
            <w:rStyle w:val="TextoNormalCaracter"/>
          </w:rPr>
          <w:t>131/1997</w:t>
        </w:r>
      </w:hyperlink>
      <w:r w:rsidRPr="008E589A">
        <w:rPr>
          <w:rStyle w:val="TextoNormalCaracter"/>
        </w:rPr>
        <w:t>, f. 2.</w:t>
      </w:r>
    </w:p>
    <w:p w:rsidR="008E589A" w:rsidRPr="008E589A" w:rsidRDefault="008E589A" w:rsidP="008E589A">
      <w:pPr>
        <w:pStyle w:val="TextoNormalSangraFrancesa"/>
        <w:rPr>
          <w:rStyle w:val="TextoNormalCaracter"/>
        </w:rPr>
      </w:pPr>
      <w:bookmarkStart w:id="798" w:name="DESCRIPTORALFABETICO73"/>
      <w:r w:rsidRPr="008E589A">
        <w:rPr>
          <w:rStyle w:val="TextoNormalNegritaCaracter"/>
        </w:rPr>
        <w:t>Derecho a la prueba</w:t>
      </w:r>
      <w:bookmarkEnd w:id="798"/>
      <w:r w:rsidRPr="008E589A">
        <w:rPr>
          <w:rStyle w:val="TextoNormalCaracter"/>
        </w:rPr>
        <w:t xml:space="preserve">, Sentencias </w:t>
      </w:r>
      <w:hyperlink w:anchor="SENTENCIA_1997_114" w:history="1">
        <w:r w:rsidRPr="008E589A">
          <w:rPr>
            <w:rStyle w:val="TextoNormalCaracter"/>
          </w:rPr>
          <w:t>114/1997</w:t>
        </w:r>
      </w:hyperlink>
      <w:r w:rsidRPr="008E589A">
        <w:rPr>
          <w:rStyle w:val="TextoNormalCaracter"/>
        </w:rPr>
        <w:t xml:space="preserve">, f. 4; </w:t>
      </w:r>
      <w:hyperlink w:anchor="SENTENCIA_1997_116" w:history="1">
        <w:r w:rsidRPr="008E589A">
          <w:rPr>
            <w:rStyle w:val="TextoNormalCaracter"/>
          </w:rPr>
          <w:t>116/1997</w:t>
        </w:r>
      </w:hyperlink>
      <w:r w:rsidRPr="008E589A">
        <w:rPr>
          <w:rStyle w:val="TextoNormalCaracter"/>
        </w:rPr>
        <w:t xml:space="preserve">, ff. 3, 5; </w:t>
      </w:r>
      <w:hyperlink w:anchor="SENTENCIA_1997_122" w:history="1">
        <w:r w:rsidRPr="008E589A">
          <w:rPr>
            <w:rStyle w:val="TextoNormalCaracter"/>
          </w:rPr>
          <w:t>122/1997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263" w:history="1">
        <w:r w:rsidRPr="008E589A">
          <w:rPr>
            <w:rStyle w:val="TextoNormalCaracter"/>
          </w:rPr>
          <w:t>263/1997</w:t>
        </w:r>
      </w:hyperlink>
      <w:r w:rsidRPr="008E589A">
        <w:rPr>
          <w:rStyle w:val="TextoNormalCaracter"/>
        </w:rPr>
        <w:t xml:space="preserve">; </w:t>
      </w:r>
      <w:hyperlink w:anchor="AUTO_1997_290" w:history="1">
        <w:r w:rsidRPr="008E589A">
          <w:rPr>
            <w:rStyle w:val="TextoNormalCaracter"/>
          </w:rPr>
          <w:t>290/1997</w:t>
        </w:r>
      </w:hyperlink>
      <w:r w:rsidRPr="008E589A">
        <w:rPr>
          <w:rStyle w:val="TextoNormalCaracter"/>
        </w:rPr>
        <w:t xml:space="preserve">; </w:t>
      </w:r>
      <w:hyperlink w:anchor="AUTO_1997_294" w:history="1">
        <w:r w:rsidRPr="008E589A">
          <w:rPr>
            <w:rStyle w:val="TextoNormalCaracter"/>
          </w:rPr>
          <w:t>294/1997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lastRenderedPageBreak/>
        <w:t xml:space="preserve">    Doctrina constitucional, </w:t>
      </w:r>
      <w:r w:rsidRPr="008E589A">
        <w:rPr>
          <w:rStyle w:val="TextoNormalCaracter"/>
        </w:rPr>
        <w:t xml:space="preserve">Sentencia </w:t>
      </w:r>
      <w:hyperlink w:anchor="SENTENCIA_1997_122" w:history="1">
        <w:r w:rsidRPr="008E589A">
          <w:rPr>
            <w:rStyle w:val="TextoNormalCaracter"/>
          </w:rPr>
          <w:t>122/1997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89" w:history="1">
        <w:r w:rsidRPr="008E589A">
          <w:rPr>
            <w:rStyle w:val="TextoNormalCaracter"/>
          </w:rPr>
          <w:t>89/1997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236" w:history="1">
        <w:r w:rsidRPr="008E589A">
          <w:rPr>
            <w:rStyle w:val="TextoNormalCaracter"/>
          </w:rPr>
          <w:t>236/1997</w:t>
        </w:r>
      </w:hyperlink>
      <w:r w:rsidRPr="008E589A">
        <w:rPr>
          <w:rStyle w:val="TextoNormalCaracter"/>
        </w:rPr>
        <w:t xml:space="preserve">; </w:t>
      </w:r>
      <w:hyperlink w:anchor="AUTO_1997_238" w:history="1">
        <w:r w:rsidRPr="008E589A">
          <w:rPr>
            <w:rStyle w:val="TextoNormalCaracter"/>
          </w:rPr>
          <w:t>238/1997</w:t>
        </w:r>
      </w:hyperlink>
      <w:r w:rsidRPr="008E589A">
        <w:rPr>
          <w:rStyle w:val="TextoNormalCaracter"/>
        </w:rPr>
        <w:t xml:space="preserve">; </w:t>
      </w:r>
      <w:hyperlink w:anchor="AUTO_1997_268" w:history="1">
        <w:r w:rsidRPr="008E589A">
          <w:rPr>
            <w:rStyle w:val="TextoNormalCaracter"/>
          </w:rPr>
          <w:t>268/1997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116" w:history="1">
        <w:r w:rsidRPr="008E589A">
          <w:rPr>
            <w:rStyle w:val="TextoNormalCaracter"/>
          </w:rPr>
          <w:t>116/1997</w:t>
        </w:r>
      </w:hyperlink>
      <w:r w:rsidRPr="008E589A">
        <w:rPr>
          <w:rStyle w:val="TextoNormalCaracter"/>
        </w:rPr>
        <w:t>, f. 5.</w:t>
      </w:r>
    </w:p>
    <w:p w:rsidR="008E589A" w:rsidRPr="008E589A" w:rsidRDefault="008E589A" w:rsidP="008E589A">
      <w:pPr>
        <w:pStyle w:val="TextoNormalSangraFrancesa"/>
        <w:rPr>
          <w:rStyle w:val="TextoNormalCaracter"/>
        </w:rPr>
      </w:pPr>
      <w:bookmarkStart w:id="799" w:name="DESCRIPTORALFABETICO38"/>
      <w:r w:rsidRPr="008E589A">
        <w:rPr>
          <w:rStyle w:val="TextoNormalNegritaCaracter"/>
        </w:rPr>
        <w:t>Derecho a la tutela judicial efectiva</w:t>
      </w:r>
      <w:bookmarkEnd w:id="799"/>
      <w:r w:rsidRPr="008E589A">
        <w:rPr>
          <w:rStyle w:val="TextoNormalCaracter"/>
        </w:rPr>
        <w:t xml:space="preserve">, Sentencias </w:t>
      </w:r>
      <w:hyperlink w:anchor="SENTENCIA_1997_116" w:history="1">
        <w:r w:rsidRPr="008E589A">
          <w:rPr>
            <w:rStyle w:val="TextoNormalCaracter"/>
          </w:rPr>
          <w:t>116/1997</w:t>
        </w:r>
      </w:hyperlink>
      <w:r w:rsidRPr="008E589A">
        <w:rPr>
          <w:rStyle w:val="TextoNormalCaracter"/>
        </w:rPr>
        <w:t xml:space="preserve">, f. 5; </w:t>
      </w:r>
      <w:hyperlink w:anchor="SENTENCIA_1997_132" w:history="1">
        <w:r w:rsidRPr="008E589A">
          <w:rPr>
            <w:rStyle w:val="TextoNormalCaracter"/>
          </w:rPr>
          <w:t>132/1997</w:t>
        </w:r>
      </w:hyperlink>
      <w:r w:rsidRPr="008E589A">
        <w:rPr>
          <w:rStyle w:val="TextoNormalCaracter"/>
        </w:rPr>
        <w:t xml:space="preserve">, f. 2; </w:t>
      </w:r>
      <w:hyperlink w:anchor="SENTENCIA_1997_136" w:history="1">
        <w:r w:rsidRPr="008E589A">
          <w:rPr>
            <w:rStyle w:val="TextoNormalCaracter"/>
          </w:rPr>
          <w:t>136/1997</w:t>
        </w:r>
      </w:hyperlink>
      <w:r w:rsidRPr="008E589A">
        <w:rPr>
          <w:rStyle w:val="TextoNormalCaracter"/>
        </w:rPr>
        <w:t xml:space="preserve">, ff. 1, 2, 3, 4; </w:t>
      </w:r>
      <w:hyperlink w:anchor="SENTENCIA_1997_140" w:history="1">
        <w:r w:rsidRPr="008E589A">
          <w:rPr>
            <w:rStyle w:val="TextoNormalCaracter"/>
          </w:rPr>
          <w:t>140/1997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75" w:history="1">
        <w:r w:rsidRPr="008E589A">
          <w:rPr>
            <w:rStyle w:val="TextoNormalCaracter"/>
          </w:rPr>
          <w:t>175/1997</w:t>
        </w:r>
      </w:hyperlink>
      <w:r w:rsidRPr="008E589A">
        <w:rPr>
          <w:rStyle w:val="TextoNormalCaracter"/>
        </w:rPr>
        <w:t>.</w:t>
      </w:r>
    </w:p>
    <w:p w:rsidR="008E589A" w:rsidRPr="008E589A" w:rsidRDefault="008E589A" w:rsidP="008E589A">
      <w:pPr>
        <w:pStyle w:val="TextoNormalSangraFrancesa"/>
        <w:rPr>
          <w:rStyle w:val="TextoNormalCaracter"/>
        </w:rPr>
      </w:pPr>
      <w:bookmarkStart w:id="800" w:name="DESCRIPTORALFABETICO64"/>
      <w:r w:rsidRPr="008E589A">
        <w:rPr>
          <w:rStyle w:val="TextoNormalNegritaCaracter"/>
        </w:rPr>
        <w:t>Derecho a la tutela judicial sin indefensión</w:t>
      </w:r>
      <w:bookmarkEnd w:id="800"/>
      <w:r w:rsidRPr="008E589A">
        <w:rPr>
          <w:rStyle w:val="TextoNormalCaracter"/>
        </w:rPr>
        <w:t xml:space="preserve">, Sentencias </w:t>
      </w:r>
      <w:hyperlink w:anchor="SENTENCIA_1997_97" w:history="1">
        <w:r w:rsidRPr="008E589A">
          <w:rPr>
            <w:rStyle w:val="TextoNormalCaracter"/>
          </w:rPr>
          <w:t>97/1997</w:t>
        </w:r>
      </w:hyperlink>
      <w:r w:rsidRPr="008E589A">
        <w:rPr>
          <w:rStyle w:val="TextoNormalCaracter"/>
        </w:rPr>
        <w:t xml:space="preserve">, f. 3; </w:t>
      </w:r>
      <w:hyperlink w:anchor="SENTENCIA_1997_99" w:history="1">
        <w:r w:rsidRPr="008E589A">
          <w:rPr>
            <w:rStyle w:val="TextoNormalCaracter"/>
          </w:rPr>
          <w:t>99/1997</w:t>
        </w:r>
      </w:hyperlink>
      <w:r w:rsidRPr="008E589A">
        <w:rPr>
          <w:rStyle w:val="TextoNormalCaracter"/>
        </w:rPr>
        <w:t xml:space="preserve">, f. 4; </w:t>
      </w:r>
      <w:hyperlink w:anchor="SENTENCIA_1997_100" w:history="1">
        <w:r w:rsidRPr="008E589A">
          <w:rPr>
            <w:rStyle w:val="TextoNormalCaracter"/>
          </w:rPr>
          <w:t>100/1997</w:t>
        </w:r>
      </w:hyperlink>
      <w:r w:rsidRPr="008E589A">
        <w:rPr>
          <w:rStyle w:val="TextoNormalCaracter"/>
        </w:rPr>
        <w:t xml:space="preserve">, ff. 1, 2, 3; </w:t>
      </w:r>
      <w:hyperlink w:anchor="SENTENCIA_1997_110" w:history="1">
        <w:r w:rsidRPr="008E589A">
          <w:rPr>
            <w:rStyle w:val="TextoNormalCaracter"/>
          </w:rPr>
          <w:t>110/1997</w:t>
        </w:r>
      </w:hyperlink>
      <w:r w:rsidRPr="008E589A">
        <w:rPr>
          <w:rStyle w:val="TextoNormalCaracter"/>
        </w:rPr>
        <w:t xml:space="preserve">, ff. 1, 2, 3; </w:t>
      </w:r>
      <w:hyperlink w:anchor="SENTENCIA_1997_118" w:history="1">
        <w:r w:rsidRPr="008E589A">
          <w:rPr>
            <w:rStyle w:val="TextoNormalCaracter"/>
          </w:rPr>
          <w:t>118/1997</w:t>
        </w:r>
      </w:hyperlink>
      <w:r w:rsidRPr="008E589A">
        <w:rPr>
          <w:rStyle w:val="TextoNormalCaracter"/>
        </w:rPr>
        <w:t xml:space="preserve">, f. 2; </w:t>
      </w:r>
      <w:hyperlink w:anchor="SENTENCIA_1997_135" w:history="1">
        <w:r w:rsidRPr="008E589A">
          <w:rPr>
            <w:rStyle w:val="TextoNormalCaracter"/>
          </w:rPr>
          <w:t>135/1997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97" w:history="1">
        <w:r w:rsidRPr="008E589A">
          <w:rPr>
            <w:rStyle w:val="TextoNormalCaracter"/>
          </w:rPr>
          <w:t>97/1997</w:t>
        </w:r>
      </w:hyperlink>
      <w:r w:rsidRPr="008E589A">
        <w:rPr>
          <w:rStyle w:val="TextoNormalCaracter"/>
        </w:rPr>
        <w:t>, f. 3.</w:t>
      </w:r>
    </w:p>
    <w:p w:rsidR="008E589A" w:rsidRPr="008E589A" w:rsidRDefault="008E589A" w:rsidP="008E589A">
      <w:pPr>
        <w:pStyle w:val="TextoNormalSangraFrancesa"/>
        <w:rPr>
          <w:rStyle w:val="TextoNormalCaracter"/>
        </w:rPr>
      </w:pPr>
      <w:bookmarkStart w:id="801" w:name="DESCRIPTORALFABETICO75"/>
      <w:r w:rsidRPr="008E589A">
        <w:rPr>
          <w:rStyle w:val="TextoNormalNegritaCaracter"/>
        </w:rPr>
        <w:t>Derecho a ser informado de la acusación</w:t>
      </w:r>
      <w:bookmarkEnd w:id="801"/>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 5.</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40" w:history="1">
        <w:r w:rsidRPr="008E589A">
          <w:rPr>
            <w:rStyle w:val="TextoNormalCaracter"/>
          </w:rPr>
          <w:t>240/1997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102" w:history="1">
        <w:r w:rsidRPr="008E589A">
          <w:rPr>
            <w:rStyle w:val="TextoNormalCaracter"/>
          </w:rPr>
          <w:t>102/1997</w:t>
        </w:r>
      </w:hyperlink>
      <w:r w:rsidRPr="008E589A">
        <w:rPr>
          <w:rStyle w:val="TextoNormalCaracter"/>
        </w:rPr>
        <w:t>, f. 4.</w:t>
      </w:r>
    </w:p>
    <w:p w:rsidR="008E589A" w:rsidRPr="008E589A" w:rsidRDefault="008E589A" w:rsidP="008E589A">
      <w:pPr>
        <w:pStyle w:val="TextoNormalSangraFrancesa"/>
        <w:rPr>
          <w:rStyle w:val="TextoNormalCaracter"/>
        </w:rPr>
      </w:pPr>
      <w:bookmarkStart w:id="802" w:name="DESCRIPTORALFABETICO72"/>
      <w:r w:rsidRPr="008E589A">
        <w:rPr>
          <w:rStyle w:val="TextoNormalNegritaCaracter"/>
        </w:rPr>
        <w:t>Derecho a ser oído</w:t>
      </w:r>
      <w:bookmarkEnd w:id="802"/>
      <w:r w:rsidRPr="008E589A">
        <w:rPr>
          <w:rStyle w:val="TextoNormalCaracter"/>
        </w:rPr>
        <w:t xml:space="preserve">, Sentencias </w:t>
      </w:r>
      <w:hyperlink w:anchor="SENTENCIA_1997_108" w:history="1">
        <w:r w:rsidRPr="008E589A">
          <w:rPr>
            <w:rStyle w:val="TextoNormalCaracter"/>
          </w:rPr>
          <w:t>108/1997</w:t>
        </w:r>
      </w:hyperlink>
      <w:r w:rsidRPr="008E589A">
        <w:rPr>
          <w:rStyle w:val="TextoNormalCaracter"/>
        </w:rPr>
        <w:t xml:space="preserve">, f. 2; </w:t>
      </w:r>
      <w:hyperlink w:anchor="SENTENCIA_1997_135" w:history="1">
        <w:r w:rsidRPr="008E589A">
          <w:rPr>
            <w:rStyle w:val="TextoNormalCaracter"/>
          </w:rPr>
          <w:t>135/1997</w:t>
        </w:r>
      </w:hyperlink>
      <w:r w:rsidRPr="008E589A">
        <w:rPr>
          <w:rStyle w:val="TextoNormalCaracter"/>
        </w:rPr>
        <w:t>, ff. 3, 4.</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94" w:history="1">
        <w:r w:rsidRPr="008E589A">
          <w:rPr>
            <w:rStyle w:val="TextoNormalCaracter"/>
          </w:rPr>
          <w:t>294/1997</w:t>
        </w:r>
      </w:hyperlink>
      <w:r w:rsidRPr="008E589A">
        <w:rPr>
          <w:rStyle w:val="TextoNormalCaracter"/>
        </w:rPr>
        <w:t>.</w:t>
      </w:r>
    </w:p>
    <w:p w:rsidR="008E589A" w:rsidRPr="008E589A" w:rsidRDefault="008E589A" w:rsidP="008E589A">
      <w:pPr>
        <w:pStyle w:val="TextoNormalSangraFrancesa"/>
        <w:rPr>
          <w:rStyle w:val="TextoNormalCaracter"/>
        </w:rPr>
      </w:pPr>
      <w:bookmarkStart w:id="803" w:name="DESCRIPTORALFABETICO76"/>
      <w:r w:rsidRPr="008E589A">
        <w:rPr>
          <w:rStyle w:val="TextoNormalNegritaCaracter"/>
        </w:rPr>
        <w:t>Derecho a un juez imparcial</w:t>
      </w:r>
      <w:bookmarkEnd w:id="803"/>
      <w:r w:rsidRPr="008E589A">
        <w:rPr>
          <w:rStyle w:val="TextoNormalCaracter"/>
        </w:rPr>
        <w:t xml:space="preserve">, Sentencia </w:t>
      </w:r>
      <w:hyperlink w:anchor="SENTENCIA_1997_98" w:history="1">
        <w:r w:rsidRPr="008E589A">
          <w:rPr>
            <w:rStyle w:val="TextoNormalCaracter"/>
          </w:rPr>
          <w:t>98/1997</w:t>
        </w:r>
      </w:hyperlink>
      <w:r w:rsidRPr="008E589A">
        <w:rPr>
          <w:rStyle w:val="TextoNormalCaracter"/>
        </w:rPr>
        <w:t>, f. 5.</w:t>
      </w:r>
    </w:p>
    <w:p w:rsidR="008E589A" w:rsidRPr="008E589A" w:rsidRDefault="008E589A" w:rsidP="008E589A">
      <w:pPr>
        <w:pStyle w:val="TextoNormalSangraFrancesa"/>
        <w:rPr>
          <w:rStyle w:val="TextoNormalCaracter"/>
        </w:rPr>
      </w:pPr>
      <w:bookmarkStart w:id="804" w:name="DESCRIPTORALFABETICO69"/>
      <w:r w:rsidRPr="008E589A">
        <w:rPr>
          <w:rStyle w:val="TextoNormalNegritaCaracter"/>
        </w:rPr>
        <w:t>Derecho a un proceso con todas las garantías</w:t>
      </w:r>
      <w:bookmarkEnd w:id="804"/>
      <w:r w:rsidRPr="008E589A">
        <w:rPr>
          <w:rStyle w:val="TextoNormalCaracter"/>
        </w:rPr>
        <w:t xml:space="preserve">, Sentencia </w:t>
      </w:r>
      <w:hyperlink w:anchor="SENTENCIA_1997_92" w:history="1">
        <w:r w:rsidRPr="008E589A">
          <w:rPr>
            <w:rStyle w:val="TextoNormalCaracter"/>
          </w:rPr>
          <w:t>92/1997</w:t>
        </w:r>
      </w:hyperlink>
      <w:r w:rsidRPr="008E589A">
        <w:rPr>
          <w:rStyle w:val="TextoNormalCaracter"/>
        </w:rPr>
        <w:t>, f. 3.</w:t>
      </w:r>
    </w:p>
    <w:p w:rsidR="008E589A" w:rsidRPr="008E589A" w:rsidRDefault="008E589A" w:rsidP="008E589A">
      <w:pPr>
        <w:pStyle w:val="TextoNormalSangraFrancesa"/>
        <w:rPr>
          <w:rStyle w:val="TextoNormalCaracter"/>
        </w:rPr>
      </w:pPr>
      <w:bookmarkStart w:id="805" w:name="DESCRIPTORALFABETICO77"/>
      <w:r w:rsidRPr="008E589A">
        <w:rPr>
          <w:rStyle w:val="TextoNormalNegritaCaracter"/>
        </w:rPr>
        <w:t>Derecho a un proceso sin dilaciones indebidas</w:t>
      </w:r>
      <w:bookmarkEnd w:id="805"/>
      <w:r w:rsidRPr="008E589A">
        <w:rPr>
          <w:rStyle w:val="TextoNormalCaracter"/>
        </w:rPr>
        <w:t xml:space="preserve">, Sentencias </w:t>
      </w:r>
      <w:hyperlink w:anchor="SENTENCIA_1997_107" w:history="1">
        <w:r w:rsidRPr="008E589A">
          <w:rPr>
            <w:rStyle w:val="TextoNormalCaracter"/>
          </w:rPr>
          <w:t>107/1997</w:t>
        </w:r>
      </w:hyperlink>
      <w:r w:rsidRPr="008E589A">
        <w:rPr>
          <w:rStyle w:val="TextoNormalCaracter"/>
        </w:rPr>
        <w:t xml:space="preserve">, f. 3; </w:t>
      </w:r>
      <w:hyperlink w:anchor="SENTENCIA_1997_109" w:history="1">
        <w:r w:rsidRPr="008E589A">
          <w:rPr>
            <w:rStyle w:val="TextoNormalCaracter"/>
          </w:rPr>
          <w:t>109/1997</w:t>
        </w:r>
      </w:hyperlink>
      <w:r w:rsidRPr="008E589A">
        <w:rPr>
          <w:rStyle w:val="TextoNormalCaracter"/>
        </w:rPr>
        <w:t>, f. 3.</w:t>
      </w:r>
    </w:p>
    <w:p w:rsidR="008E589A" w:rsidRPr="008E589A" w:rsidRDefault="008E589A" w:rsidP="008E589A">
      <w:pPr>
        <w:pStyle w:val="TextoNormalSangraFrancesa"/>
        <w:rPr>
          <w:rStyle w:val="TextoNormalNegritaCaracter"/>
        </w:rPr>
      </w:pPr>
      <w:r w:rsidRPr="008E589A">
        <w:rPr>
          <w:rStyle w:val="TextoNormalCursivaCaracter"/>
        </w:rPr>
        <w:t>Derecho a utilizar los medios de prueba pertinentes</w:t>
      </w:r>
      <w:r>
        <w:t xml:space="preserve"> véase </w:t>
      </w:r>
      <w:hyperlink w:anchor="DESCRIPTORALFABETICO73" w:history="1">
        <w:r w:rsidRPr="008E589A">
          <w:rPr>
            <w:rStyle w:val="TextoNormalNegritaCaracter"/>
          </w:rPr>
          <w:t>Derecho a la prueba</w:t>
        </w:r>
      </w:hyperlink>
    </w:p>
    <w:p w:rsidR="008E589A" w:rsidRPr="008E589A" w:rsidRDefault="008E589A" w:rsidP="008E589A">
      <w:pPr>
        <w:pStyle w:val="TextoNormalSangraFrancesa"/>
        <w:rPr>
          <w:rStyle w:val="TextoNormalCaracter"/>
        </w:rPr>
      </w:pPr>
      <w:bookmarkStart w:id="806" w:name="DESCRIPTORALFABETICO79"/>
      <w:r w:rsidRPr="008E589A">
        <w:rPr>
          <w:rStyle w:val="TextoNormalNegritaCaracter"/>
        </w:rPr>
        <w:t>Derecho al juez legal</w:t>
      </w:r>
      <w:bookmarkEnd w:id="806"/>
      <w:r w:rsidRPr="008E589A">
        <w:rPr>
          <w:rStyle w:val="TextoNormalCaracter"/>
        </w:rPr>
        <w:t xml:space="preserve">, Auto </w:t>
      </w:r>
      <w:hyperlink w:anchor="AUTO_1997_175" w:history="1">
        <w:r w:rsidRPr="008E589A">
          <w:rPr>
            <w:rStyle w:val="TextoNormalCaracter"/>
          </w:rPr>
          <w:t>175/1997</w:t>
        </w:r>
      </w:hyperlink>
      <w:r w:rsidRPr="008E589A">
        <w:rPr>
          <w:rStyle w:val="TextoNormalCaracter"/>
        </w:rPr>
        <w:t>.</w:t>
      </w:r>
    </w:p>
    <w:p w:rsidR="008E589A" w:rsidRPr="008E589A" w:rsidRDefault="008E589A" w:rsidP="008E589A">
      <w:pPr>
        <w:pStyle w:val="TextoNormalSangraFrancesa"/>
        <w:rPr>
          <w:rStyle w:val="TextoNormalCaracter"/>
        </w:rPr>
      </w:pPr>
      <w:bookmarkStart w:id="807" w:name="DESCRIPTORALFABETICO47"/>
      <w:r w:rsidRPr="008E589A">
        <w:rPr>
          <w:rStyle w:val="TextoNormalNegritaCaracter"/>
        </w:rPr>
        <w:t>Derecho al recurso legal</w:t>
      </w:r>
      <w:bookmarkEnd w:id="807"/>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 </w:t>
      </w:r>
      <w:hyperlink w:anchor="SENTENCIA_1997_93" w:history="1">
        <w:r w:rsidRPr="008E589A">
          <w:rPr>
            <w:rStyle w:val="TextoNormalCaracter"/>
          </w:rPr>
          <w:t>93/1997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132" w:history="1">
        <w:r w:rsidRPr="008E589A">
          <w:rPr>
            <w:rStyle w:val="TextoNormalCaracter"/>
          </w:rPr>
          <w:t>132/1997</w:t>
        </w:r>
      </w:hyperlink>
      <w:r w:rsidRPr="008E589A">
        <w:rPr>
          <w:rStyle w:val="TextoNormalCaracter"/>
        </w:rPr>
        <w:t>, f. 2.</w:t>
      </w:r>
    </w:p>
    <w:p w:rsidR="008E589A" w:rsidRPr="008E589A" w:rsidRDefault="008E589A" w:rsidP="008E589A">
      <w:pPr>
        <w:pStyle w:val="TextoNormalSangraFrancesa"/>
        <w:rPr>
          <w:rStyle w:val="TextoNormalCaracter"/>
        </w:rPr>
      </w:pPr>
      <w:bookmarkStart w:id="808" w:name="DESCRIPTORALFABETICO51"/>
      <w:r w:rsidRPr="008E589A">
        <w:rPr>
          <w:rStyle w:val="TextoNormalNegritaCaracter"/>
        </w:rPr>
        <w:t>Derecho al recurso penal</w:t>
      </w:r>
      <w:bookmarkEnd w:id="808"/>
      <w:r w:rsidRPr="008E589A">
        <w:rPr>
          <w:rStyle w:val="TextoNormalCaracter"/>
        </w:rPr>
        <w:t xml:space="preserve">, Sentencia </w:t>
      </w:r>
      <w:hyperlink w:anchor="SENTENCIA_1997_88" w:history="1">
        <w:r w:rsidRPr="008E589A">
          <w:rPr>
            <w:rStyle w:val="TextoNormalCaracter"/>
          </w:rPr>
          <w:t>88/1997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Derecho del acusado a ser oído</w:t>
      </w:r>
      <w:r>
        <w:t xml:space="preserve"> véase </w:t>
      </w:r>
      <w:hyperlink w:anchor="DESCRIPTORALFABETICO72" w:history="1">
        <w:r w:rsidRPr="008E589A">
          <w:rPr>
            <w:rStyle w:val="TextoNormalNegritaCaracter"/>
          </w:rPr>
          <w:t>Derecho a ser oído</w:t>
        </w:r>
      </w:hyperlink>
    </w:p>
    <w:p w:rsidR="008E589A" w:rsidRPr="008E589A" w:rsidRDefault="008E589A" w:rsidP="008E589A">
      <w:pPr>
        <w:pStyle w:val="TextoNormalSangraFrancesa"/>
        <w:rPr>
          <w:rStyle w:val="TextoNormalNegritaCaracter"/>
        </w:rPr>
      </w:pPr>
      <w:r w:rsidRPr="008E589A">
        <w:rPr>
          <w:rStyle w:val="TextoNormalCursivaCaracter"/>
        </w:rPr>
        <w:t>Derechos &lt;em&gt;ex lege&lt;/em&gt;</w:t>
      </w:r>
      <w:r>
        <w:t xml:space="preserve"> véase </w:t>
      </w:r>
      <w:hyperlink w:anchor="DESCRIPTORALFABETICO83" w:history="1">
        <w:r w:rsidRPr="008E589A">
          <w:rPr>
            <w:rStyle w:val="TextoNormalNegritaCaracter"/>
          </w:rPr>
          <w:t>Derechos de configuración legal</w:t>
        </w:r>
      </w:hyperlink>
    </w:p>
    <w:p w:rsidR="008E589A" w:rsidRPr="008E589A" w:rsidRDefault="008E589A" w:rsidP="008E589A">
      <w:pPr>
        <w:pStyle w:val="TextoNormalSangraFrancesa"/>
        <w:rPr>
          <w:rStyle w:val="TextoNormalCaracter"/>
        </w:rPr>
      </w:pPr>
      <w:bookmarkStart w:id="809" w:name="DESCRIPTORALFABETICO83"/>
      <w:r w:rsidRPr="008E589A">
        <w:rPr>
          <w:rStyle w:val="TextoNormalNegritaCaracter"/>
        </w:rPr>
        <w:t>Derechos de configuración legal</w:t>
      </w:r>
      <w:bookmarkEnd w:id="809"/>
      <w:r w:rsidRPr="008E589A">
        <w:rPr>
          <w:rStyle w:val="TextoNormalCaracter"/>
        </w:rPr>
        <w:t xml:space="preserve">, Auto </w:t>
      </w:r>
      <w:hyperlink w:anchor="AUTO_1997_240" w:history="1">
        <w:r w:rsidRPr="008E589A">
          <w:rPr>
            <w:rStyle w:val="TextoNormalCaracter"/>
          </w:rPr>
          <w:t>240/1997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Derechos y libertades fundamentales</w:t>
      </w:r>
      <w:r>
        <w:t xml:space="preserve"> véase </w:t>
      </w:r>
      <w:hyperlink w:anchor="DESCRIPTORALFABETICO88" w:history="1">
        <w:r w:rsidRPr="008E589A">
          <w:rPr>
            <w:rStyle w:val="TextoNormalNegritaCaracter"/>
          </w:rPr>
          <w:t>Teoría general de los derechos fundamentales</w:t>
        </w:r>
      </w:hyperlink>
    </w:p>
    <w:p w:rsidR="008E589A" w:rsidRPr="008E589A" w:rsidRDefault="008E589A" w:rsidP="008E589A">
      <w:pPr>
        <w:pStyle w:val="TextoNormalSangraFrancesa"/>
        <w:rPr>
          <w:rStyle w:val="TextoNormalCaracter"/>
        </w:rPr>
      </w:pPr>
      <w:bookmarkStart w:id="810" w:name="DESCRIPTORALFABETICO136"/>
      <w:r w:rsidRPr="008E589A">
        <w:rPr>
          <w:rStyle w:val="TextoNormalNegritaCaracter"/>
        </w:rPr>
        <w:t>Derechos y libertades no susceptibles de amparo</w:t>
      </w:r>
      <w:bookmarkEnd w:id="810"/>
      <w:r w:rsidRPr="008E589A">
        <w:rPr>
          <w:rStyle w:val="TextoNormalCaracter"/>
        </w:rPr>
        <w:t xml:space="preserve">, Auto </w:t>
      </w:r>
      <w:hyperlink w:anchor="AUTO_1997_221" w:history="1">
        <w:r w:rsidRPr="008E589A">
          <w:rPr>
            <w:rStyle w:val="TextoNormalCaracter"/>
          </w:rPr>
          <w:t>221/1997</w:t>
        </w:r>
      </w:hyperlink>
      <w:r w:rsidRPr="008E589A">
        <w:rPr>
          <w:rStyle w:val="TextoNormalCaracter"/>
        </w:rPr>
        <w:t>.</w:t>
      </w:r>
    </w:p>
    <w:p w:rsidR="008E589A" w:rsidRPr="008E589A" w:rsidRDefault="008E589A" w:rsidP="008E589A">
      <w:pPr>
        <w:pStyle w:val="TextoNormalSangraFrancesa"/>
        <w:rPr>
          <w:rStyle w:val="TextoNormalCaracter"/>
        </w:rPr>
      </w:pPr>
      <w:bookmarkStart w:id="811" w:name="DESCRIPTORALFABETICO114"/>
      <w:r w:rsidRPr="008E589A">
        <w:rPr>
          <w:rStyle w:val="TextoNormalNegritaCaracter"/>
        </w:rPr>
        <w:t>Desestimación de recurso de súplica contra providencias del Tribunal Constitucional</w:t>
      </w:r>
      <w:bookmarkEnd w:id="811"/>
      <w:r w:rsidRPr="008E589A">
        <w:rPr>
          <w:rStyle w:val="TextoNormalCaracter"/>
        </w:rPr>
        <w:t xml:space="preserve">, Autos </w:t>
      </w:r>
      <w:hyperlink w:anchor="AUTO_1997_176" w:history="1">
        <w:r w:rsidRPr="008E589A">
          <w:rPr>
            <w:rStyle w:val="TextoNormalCaracter"/>
          </w:rPr>
          <w:t>176/1997</w:t>
        </w:r>
      </w:hyperlink>
      <w:r w:rsidRPr="008E589A">
        <w:rPr>
          <w:rStyle w:val="TextoNormalCaracter"/>
        </w:rPr>
        <w:t xml:space="preserve">; </w:t>
      </w:r>
      <w:hyperlink w:anchor="AUTO_1997_244" w:history="1">
        <w:r w:rsidRPr="008E589A">
          <w:rPr>
            <w:rStyle w:val="TextoNormalCaracter"/>
          </w:rPr>
          <w:t>244/1997</w:t>
        </w:r>
      </w:hyperlink>
      <w:r w:rsidRPr="008E589A">
        <w:rPr>
          <w:rStyle w:val="TextoNormalCaracter"/>
        </w:rPr>
        <w:t xml:space="preserve">; </w:t>
      </w:r>
      <w:hyperlink w:anchor="AUTO_1997_258" w:history="1">
        <w:r w:rsidRPr="008E589A">
          <w:rPr>
            <w:rStyle w:val="TextoNormalCaracter"/>
          </w:rPr>
          <w:t>258/1997</w:t>
        </w:r>
      </w:hyperlink>
      <w:r w:rsidRPr="008E589A">
        <w:rPr>
          <w:rStyle w:val="TextoNormalCaracter"/>
        </w:rPr>
        <w:t xml:space="preserve">; </w:t>
      </w:r>
      <w:hyperlink w:anchor="AUTO_1997_260" w:history="1">
        <w:r w:rsidRPr="008E589A">
          <w:rPr>
            <w:rStyle w:val="TextoNormalCaracter"/>
          </w:rPr>
          <w:t>260/1997</w:t>
        </w:r>
      </w:hyperlink>
      <w:r w:rsidRPr="008E589A">
        <w:rPr>
          <w:rStyle w:val="TextoNormalCaracter"/>
        </w:rPr>
        <w:t>.</w:t>
      </w:r>
    </w:p>
    <w:p w:rsidR="008E589A" w:rsidRPr="008E589A" w:rsidRDefault="008E589A" w:rsidP="008E589A">
      <w:pPr>
        <w:pStyle w:val="TextoNormalSangraFrancesa"/>
        <w:rPr>
          <w:rStyle w:val="TextoNormalCaracter"/>
        </w:rPr>
      </w:pPr>
      <w:bookmarkStart w:id="812" w:name="DESCRIPTORALFABETICO112"/>
      <w:r w:rsidRPr="008E589A">
        <w:rPr>
          <w:rStyle w:val="TextoNormalNegritaCaracter"/>
        </w:rPr>
        <w:t>Desestimación previa por el Tribunal Constitucional en idéntico supuesto</w:t>
      </w:r>
      <w:bookmarkEnd w:id="812"/>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Procedencia, </w:t>
      </w:r>
      <w:r w:rsidRPr="008E589A">
        <w:rPr>
          <w:rStyle w:val="TextoNormalCaracter"/>
        </w:rPr>
        <w:t xml:space="preserve">Auto </w:t>
      </w:r>
      <w:hyperlink w:anchor="AUTO_1997_137" w:history="1">
        <w:r w:rsidRPr="008E589A">
          <w:rPr>
            <w:rStyle w:val="TextoNormalCaracter"/>
          </w:rPr>
          <w:t>137/1997</w:t>
        </w:r>
      </w:hyperlink>
      <w:r w:rsidRPr="008E589A">
        <w:rPr>
          <w:rStyle w:val="TextoNormalCaracter"/>
        </w:rPr>
        <w:t>.</w:t>
      </w:r>
    </w:p>
    <w:p w:rsidR="008E589A" w:rsidRPr="008E589A" w:rsidRDefault="008E589A" w:rsidP="008E589A">
      <w:pPr>
        <w:pStyle w:val="TextoNormalSangraFrancesa"/>
        <w:rPr>
          <w:rStyle w:val="TextoNormalCaracter"/>
        </w:rPr>
      </w:pPr>
      <w:bookmarkStart w:id="813" w:name="DESCRIPTORALFABETICO116"/>
      <w:r w:rsidRPr="008E589A">
        <w:rPr>
          <w:rStyle w:val="TextoNormalNegritaCaracter"/>
        </w:rPr>
        <w:t>Desistimiento en el conflicto positivo de competencia</w:t>
      </w:r>
      <w:bookmarkEnd w:id="813"/>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Procedencia, </w:t>
      </w:r>
      <w:r w:rsidRPr="008E589A">
        <w:rPr>
          <w:rStyle w:val="TextoNormalCaracter"/>
        </w:rPr>
        <w:t xml:space="preserve">Auto </w:t>
      </w:r>
      <w:hyperlink w:anchor="AUTO_1997_190" w:history="1">
        <w:r w:rsidRPr="008E589A">
          <w:rPr>
            <w:rStyle w:val="TextoNormalCaracter"/>
          </w:rPr>
          <w:t>190/1997</w:t>
        </w:r>
      </w:hyperlink>
      <w:r w:rsidRPr="008E589A">
        <w:rPr>
          <w:rStyle w:val="TextoNormalCaracter"/>
        </w:rPr>
        <w:t>.</w:t>
      </w:r>
    </w:p>
    <w:p w:rsidR="008E589A" w:rsidRPr="008E589A" w:rsidRDefault="008E589A" w:rsidP="008E589A">
      <w:pPr>
        <w:pStyle w:val="TextoNormalSangraFrancesa"/>
        <w:rPr>
          <w:rStyle w:val="TextoNormalCaracter"/>
        </w:rPr>
      </w:pPr>
      <w:bookmarkStart w:id="814" w:name="DESCRIPTORALFABETICO117"/>
      <w:r w:rsidRPr="008E589A">
        <w:rPr>
          <w:rStyle w:val="TextoNormalNegritaCaracter"/>
        </w:rPr>
        <w:t>Desistimiento en el recurso de inconstitucionalidad</w:t>
      </w:r>
      <w:bookmarkEnd w:id="814"/>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Procedencia, </w:t>
      </w:r>
      <w:r w:rsidRPr="008E589A">
        <w:rPr>
          <w:rStyle w:val="TextoNormalCaracter"/>
        </w:rPr>
        <w:t xml:space="preserve">Auto </w:t>
      </w:r>
      <w:hyperlink w:anchor="AUTO_1997_173" w:history="1">
        <w:r w:rsidRPr="008E589A">
          <w:rPr>
            <w:rStyle w:val="TextoNormalCaracter"/>
          </w:rPr>
          <w:t>173/1997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Diferencia de trato</w:t>
      </w:r>
      <w:r>
        <w:t xml:space="preserve"> véase </w:t>
      </w:r>
      <w:hyperlink w:anchor="DESCRIPTORALFABETICO34" w:history="1">
        <w:r w:rsidRPr="008E589A">
          <w:rPr>
            <w:rStyle w:val="TextoNormalNegritaCaracter"/>
          </w:rPr>
          <w:t>Tratamiento diferenciado</w:t>
        </w:r>
      </w:hyperlink>
    </w:p>
    <w:p w:rsidR="008E589A" w:rsidRPr="008E589A" w:rsidRDefault="008E589A" w:rsidP="008E589A">
      <w:pPr>
        <w:pStyle w:val="TextoNormalSangraFrancesa"/>
        <w:rPr>
          <w:rStyle w:val="TextoNormalCaracter"/>
        </w:rPr>
      </w:pPr>
      <w:bookmarkStart w:id="815" w:name="DESCRIPTORALFABETICO318"/>
      <w:r w:rsidRPr="008E589A">
        <w:rPr>
          <w:rStyle w:val="TextoNormalNegritaCaracter"/>
        </w:rPr>
        <w:t>Dilaciones en ejecución de sentencia</w:t>
      </w:r>
      <w:bookmarkEnd w:id="815"/>
      <w:r w:rsidRPr="008E589A">
        <w:rPr>
          <w:rStyle w:val="TextoNormalCaracter"/>
        </w:rPr>
        <w:t xml:space="preserve">, Sentencia </w:t>
      </w:r>
      <w:hyperlink w:anchor="SENTENCIA_1997_109" w:history="1">
        <w:r w:rsidRPr="008E589A">
          <w:rPr>
            <w:rStyle w:val="TextoNormalCaracter"/>
          </w:rPr>
          <w:t>109/1997</w:t>
        </w:r>
      </w:hyperlink>
      <w:r w:rsidRPr="008E589A">
        <w:rPr>
          <w:rStyle w:val="TextoNormalCaracter"/>
        </w:rPr>
        <w:t>, ff. 1, 2, 3.</w:t>
      </w:r>
    </w:p>
    <w:p w:rsidR="008E589A" w:rsidRPr="008E589A" w:rsidRDefault="008E589A" w:rsidP="008E589A">
      <w:pPr>
        <w:pStyle w:val="TextoNormalSangraFrancesa"/>
        <w:rPr>
          <w:rStyle w:val="TextoNormalCaracter"/>
        </w:rPr>
      </w:pPr>
      <w:bookmarkStart w:id="816" w:name="DESCRIPTORALFABETICO317"/>
      <w:r w:rsidRPr="008E589A">
        <w:rPr>
          <w:rStyle w:val="TextoNormalNegritaCaracter"/>
        </w:rPr>
        <w:t>Dilaciones indebidas en el procedimiento</w:t>
      </w:r>
      <w:bookmarkEnd w:id="816"/>
      <w:r w:rsidRPr="008E589A">
        <w:rPr>
          <w:rStyle w:val="TextoNormalCaracter"/>
        </w:rPr>
        <w:t xml:space="preserve">, Sentencia </w:t>
      </w:r>
      <w:hyperlink w:anchor="SENTENCIA_1997_109" w:history="1">
        <w:r w:rsidRPr="008E589A">
          <w:rPr>
            <w:rStyle w:val="TextoNormalCaracter"/>
          </w:rPr>
          <w:t>109/1997</w:t>
        </w:r>
      </w:hyperlink>
      <w:r w:rsidRPr="008E589A">
        <w:rPr>
          <w:rStyle w:val="TextoNormalCaracter"/>
        </w:rPr>
        <w:t>, f. 2.</w:t>
      </w:r>
    </w:p>
    <w:p w:rsidR="008E589A" w:rsidRPr="008E589A" w:rsidRDefault="008E589A" w:rsidP="008E589A">
      <w:pPr>
        <w:pStyle w:val="TextoNormalSangraFrancesa"/>
        <w:rPr>
          <w:rStyle w:val="TextoNormalCaracter"/>
        </w:rPr>
      </w:pPr>
      <w:bookmarkStart w:id="817" w:name="DESCRIPTORALFABETICO407"/>
      <w:r w:rsidRPr="008E589A">
        <w:rPr>
          <w:rStyle w:val="TextoNormalNegritaCaracter"/>
        </w:rPr>
        <w:t>Diligencias previas</w:t>
      </w:r>
      <w:bookmarkEnd w:id="817"/>
      <w:r w:rsidRPr="008E589A">
        <w:rPr>
          <w:rStyle w:val="TextoNormalCaracter"/>
        </w:rPr>
        <w:t xml:space="preserve">, Auto </w:t>
      </w:r>
      <w:hyperlink w:anchor="AUTO_1997_195" w:history="1">
        <w:r w:rsidRPr="008E589A">
          <w:rPr>
            <w:rStyle w:val="TextoNormalCaracter"/>
          </w:rPr>
          <w:t>195/1997</w:t>
        </w:r>
      </w:hyperlink>
      <w:r w:rsidRPr="008E589A">
        <w:rPr>
          <w:rStyle w:val="TextoNormalCaracter"/>
        </w:rPr>
        <w:t>.</w:t>
      </w:r>
    </w:p>
    <w:p w:rsidR="008E589A" w:rsidRPr="008E589A" w:rsidRDefault="008E589A" w:rsidP="008E589A">
      <w:pPr>
        <w:pStyle w:val="TextoNormalSangraFrancesa"/>
        <w:rPr>
          <w:rStyle w:val="TextoNormalCaracter"/>
        </w:rPr>
      </w:pPr>
      <w:bookmarkStart w:id="818" w:name="DESCRIPTORALFABETICO340"/>
      <w:r w:rsidRPr="008E589A">
        <w:rPr>
          <w:rStyle w:val="TextoNormalNegritaCaracter"/>
        </w:rPr>
        <w:t>Discrepancia en la valoración de la prueba</w:t>
      </w:r>
      <w:bookmarkEnd w:id="818"/>
      <w:r w:rsidRPr="008E589A">
        <w:rPr>
          <w:rStyle w:val="TextoNormalCaracter"/>
        </w:rPr>
        <w:t xml:space="preserve">, Auto </w:t>
      </w:r>
      <w:hyperlink w:anchor="AUTO_1997_246" w:history="1">
        <w:r w:rsidRPr="008E589A">
          <w:rPr>
            <w:rStyle w:val="TextoNormalCaracter"/>
          </w:rPr>
          <w:t>246/1997</w:t>
        </w:r>
      </w:hyperlink>
      <w:r w:rsidRPr="008E589A">
        <w:rPr>
          <w:rStyle w:val="TextoNormalCaracter"/>
        </w:rPr>
        <w:t>.</w:t>
      </w:r>
    </w:p>
    <w:p w:rsidR="008E589A" w:rsidRPr="008E589A" w:rsidRDefault="008E589A" w:rsidP="008E589A">
      <w:pPr>
        <w:pStyle w:val="TextoNormalSangraFrancesa"/>
        <w:rPr>
          <w:rStyle w:val="TextoNormalCaracter"/>
        </w:rPr>
      </w:pPr>
      <w:bookmarkStart w:id="819" w:name="DESCRIPTORALFABETICO68"/>
      <w:r w:rsidRPr="008E589A">
        <w:rPr>
          <w:rStyle w:val="TextoNormalNegritaCaracter"/>
        </w:rPr>
        <w:t>Discriminación por razón de sexo</w:t>
      </w:r>
      <w:bookmarkEnd w:id="819"/>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8, VP I, VP II.</w:t>
      </w:r>
    </w:p>
    <w:p w:rsidR="008E589A" w:rsidRPr="008E589A" w:rsidRDefault="008E589A" w:rsidP="008E589A">
      <w:pPr>
        <w:pStyle w:val="TextoNormalSangraFrancesa"/>
        <w:rPr>
          <w:rStyle w:val="TextoNormalCaracter"/>
        </w:rPr>
      </w:pPr>
      <w:bookmarkStart w:id="820" w:name="DESCRIPTORALFABETICO86"/>
      <w:r w:rsidRPr="008E589A">
        <w:rPr>
          <w:rStyle w:val="TextoNormalNegritaCaracter"/>
        </w:rPr>
        <w:t>Discriminación sindical</w:t>
      </w:r>
      <w:bookmarkEnd w:id="820"/>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ff. 1, 2, 3, 4, 5, 6.</w:t>
      </w:r>
    </w:p>
    <w:p w:rsidR="008E589A" w:rsidRPr="008E589A" w:rsidRDefault="008E589A" w:rsidP="008E589A">
      <w:pPr>
        <w:pStyle w:val="TextoNormalSangraFrancesa"/>
        <w:rPr>
          <w:rStyle w:val="TextoNormalNegritaCaracter"/>
        </w:rPr>
      </w:pPr>
      <w:r w:rsidRPr="008E589A">
        <w:rPr>
          <w:rStyle w:val="TextoNormalCursivaCaracter"/>
        </w:rPr>
        <w:t>Distribución de competencias</w:t>
      </w:r>
      <w:r>
        <w:t xml:space="preserve"> véase </w:t>
      </w:r>
      <w:hyperlink w:anchor="DESCRIPTORALFABETICO1" w:history="1">
        <w:r w:rsidRPr="008E589A">
          <w:rPr>
            <w:rStyle w:val="TextoNormalNegritaCaracter"/>
          </w:rPr>
          <w:t>Orden constitucional de competencias</w:t>
        </w:r>
      </w:hyperlink>
    </w:p>
    <w:p w:rsidR="008E589A" w:rsidRPr="008E589A" w:rsidRDefault="008E589A" w:rsidP="008E589A">
      <w:pPr>
        <w:pStyle w:val="TextoNormalSangraFrancesa"/>
        <w:rPr>
          <w:rStyle w:val="TextoNormalCaracter"/>
        </w:rPr>
      </w:pPr>
      <w:bookmarkStart w:id="821" w:name="DESCRIPTORALFABETICO219"/>
      <w:r w:rsidRPr="008E589A">
        <w:rPr>
          <w:rStyle w:val="TextoNormalNegritaCaracter"/>
        </w:rPr>
        <w:t>Divorcio</w:t>
      </w:r>
      <w:bookmarkEnd w:id="821"/>
      <w:r w:rsidRPr="008E589A">
        <w:rPr>
          <w:rStyle w:val="TextoNormalCaracter"/>
        </w:rPr>
        <w:t xml:space="preserve">, Sentencia </w:t>
      </w:r>
      <w:hyperlink w:anchor="SENTENCIA_1997_118" w:history="1">
        <w:r w:rsidRPr="008E589A">
          <w:rPr>
            <w:rStyle w:val="TextoNormalCaracter"/>
          </w:rPr>
          <w:t>118/1997</w:t>
        </w:r>
      </w:hyperlink>
      <w:r w:rsidRPr="008E589A">
        <w:rPr>
          <w:rStyle w:val="TextoNormalCaracter"/>
        </w:rPr>
        <w:t>, ff. 1, 2, 3, 4.</w:t>
      </w:r>
    </w:p>
    <w:p w:rsidR="008E589A" w:rsidRPr="008E589A" w:rsidRDefault="008E589A" w:rsidP="008E589A">
      <w:pPr>
        <w:pStyle w:val="TextoNormalSangraFrancesa"/>
        <w:rPr>
          <w:rStyle w:val="TextoNormalCaracter"/>
        </w:rPr>
      </w:pPr>
      <w:bookmarkStart w:id="822" w:name="DESCRIPTORALFABETICO49"/>
      <w:r w:rsidRPr="008E589A">
        <w:rPr>
          <w:rStyle w:val="TextoNormalNegritaCaracter"/>
        </w:rPr>
        <w:lastRenderedPageBreak/>
        <w:t>Doble instancia</w:t>
      </w:r>
      <w:bookmarkEnd w:id="822"/>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 3.</w:t>
      </w:r>
    </w:p>
    <w:p w:rsidR="008E589A" w:rsidRPr="008E589A" w:rsidRDefault="008E589A" w:rsidP="008E589A">
      <w:pPr>
        <w:pStyle w:val="TextoNormalSangraFrancesa"/>
        <w:rPr>
          <w:rStyle w:val="TextoNormalCaracter"/>
        </w:rPr>
      </w:pPr>
      <w:bookmarkStart w:id="823" w:name="DESCRIPTORALFABETICO50"/>
      <w:r w:rsidRPr="008E589A">
        <w:rPr>
          <w:rStyle w:val="TextoNormalNegritaCaracter"/>
        </w:rPr>
        <w:t>Doble instancia civil</w:t>
      </w:r>
      <w:bookmarkEnd w:id="823"/>
      <w:r w:rsidRPr="008E589A">
        <w:rPr>
          <w:rStyle w:val="TextoNormalCaracter"/>
        </w:rPr>
        <w:t xml:space="preserve">, Auto </w:t>
      </w:r>
      <w:hyperlink w:anchor="AUTO_1997_148" w:history="1">
        <w:r w:rsidRPr="008E589A">
          <w:rPr>
            <w:rStyle w:val="TextoNormalCaracter"/>
          </w:rPr>
          <w:t>148/1997</w:t>
        </w:r>
      </w:hyperlink>
      <w:r w:rsidRPr="008E589A">
        <w:rPr>
          <w:rStyle w:val="TextoNormalCaracter"/>
        </w:rPr>
        <w:t>.</w:t>
      </w:r>
    </w:p>
    <w:p w:rsidR="008E589A" w:rsidRPr="008E589A" w:rsidRDefault="008E589A" w:rsidP="008E589A">
      <w:pPr>
        <w:pStyle w:val="TextoNormalSangraFrancesa"/>
        <w:rPr>
          <w:rStyle w:val="TextoNormalCaracter"/>
        </w:rPr>
      </w:pPr>
      <w:bookmarkStart w:id="824" w:name="DESCRIPTORALFABETICO52"/>
      <w:r w:rsidRPr="008E589A">
        <w:rPr>
          <w:rStyle w:val="TextoNormalNegritaCaracter"/>
        </w:rPr>
        <w:t>Doble instancia penal</w:t>
      </w:r>
      <w:bookmarkEnd w:id="824"/>
      <w:r w:rsidRPr="008E589A">
        <w:rPr>
          <w:rStyle w:val="TextoNormalCaracter"/>
        </w:rPr>
        <w:t xml:space="preserve">, Sentencia </w:t>
      </w:r>
      <w:hyperlink w:anchor="SENTENCIA_1997_88" w:history="1">
        <w:r w:rsidRPr="008E589A">
          <w:rPr>
            <w:rStyle w:val="TextoNormalCaracter"/>
          </w:rPr>
          <w:t>88/1997</w:t>
        </w:r>
      </w:hyperlink>
      <w:r w:rsidRPr="008E589A">
        <w:rPr>
          <w:rStyle w:val="TextoNormalCaracter"/>
        </w:rPr>
        <w:t>, f. 2.</w:t>
      </w:r>
    </w:p>
    <w:p w:rsidR="008E589A" w:rsidRPr="008E589A" w:rsidRDefault="008E589A" w:rsidP="008E589A">
      <w:pPr>
        <w:pStyle w:val="TextoNormalSangraFrancesa"/>
        <w:rPr>
          <w:rStyle w:val="TextoNormalCaracter"/>
        </w:rPr>
      </w:pPr>
      <w:bookmarkStart w:id="825" w:name="DESCRIPTORALFABETICO304"/>
      <w:r w:rsidRPr="008E589A">
        <w:rPr>
          <w:rStyle w:val="TextoNormalNegritaCaracter"/>
        </w:rPr>
        <w:t>Doble notificación de sentencias penales</w:t>
      </w:r>
      <w:bookmarkEnd w:id="825"/>
      <w:r w:rsidRPr="008E589A">
        <w:rPr>
          <w:rStyle w:val="TextoNormalCaracter"/>
        </w:rPr>
        <w:t xml:space="preserve">, Sentencia </w:t>
      </w:r>
      <w:hyperlink w:anchor="SENTENCIA_1997_88" w:history="1">
        <w:r w:rsidRPr="008E589A">
          <w:rPr>
            <w:rStyle w:val="TextoNormalCaracter"/>
          </w:rPr>
          <w:t>88/1997</w:t>
        </w:r>
      </w:hyperlink>
      <w:r w:rsidRPr="008E589A">
        <w:rPr>
          <w:rStyle w:val="TextoNormalCaracter"/>
        </w:rPr>
        <w:t>, ff. 3, 4.</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E</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826" w:name="DESCRIPTORALFABETICO319"/>
      <w:r w:rsidRPr="008E589A">
        <w:rPr>
          <w:rStyle w:val="TextoNormalNegritaCaracter"/>
        </w:rPr>
        <w:t>Ejecución de sentencias</w:t>
      </w:r>
      <w:bookmarkEnd w:id="826"/>
      <w:r w:rsidRPr="008E589A">
        <w:rPr>
          <w:rStyle w:val="TextoNormalCaracter"/>
        </w:rPr>
        <w:t xml:space="preserve">, Sentencias </w:t>
      </w:r>
      <w:hyperlink w:anchor="SENTENCIA_1997_105" w:history="1">
        <w:r w:rsidRPr="008E589A">
          <w:rPr>
            <w:rStyle w:val="TextoNormalCaracter"/>
          </w:rPr>
          <w:t>105/1997</w:t>
        </w:r>
      </w:hyperlink>
      <w:r w:rsidRPr="008E589A">
        <w:rPr>
          <w:rStyle w:val="TextoNormalCaracter"/>
        </w:rPr>
        <w:t xml:space="preserve">, ff. 2, 4; </w:t>
      </w:r>
      <w:hyperlink w:anchor="SENTENCIA_1997_136" w:history="1">
        <w:r w:rsidRPr="008E589A">
          <w:rPr>
            <w:rStyle w:val="TextoNormalCaracter"/>
          </w:rPr>
          <w:t>136/1997</w:t>
        </w:r>
      </w:hyperlink>
      <w:r w:rsidRPr="008E589A">
        <w:rPr>
          <w:rStyle w:val="TextoNormalCaracter"/>
        </w:rPr>
        <w:t>, f. 3.</w:t>
      </w:r>
    </w:p>
    <w:p w:rsidR="008E589A" w:rsidRPr="008E589A" w:rsidRDefault="008E589A" w:rsidP="008E589A">
      <w:pPr>
        <w:pStyle w:val="TextoNormalSangraFrancesa"/>
        <w:rPr>
          <w:rStyle w:val="TextoNormalCaracter"/>
        </w:rPr>
      </w:pPr>
      <w:bookmarkStart w:id="827" w:name="DESCRIPTORALFABETICO322"/>
      <w:r w:rsidRPr="008E589A">
        <w:rPr>
          <w:rStyle w:val="TextoNormalNegritaCaracter"/>
        </w:rPr>
        <w:t>Ejecución inmediata de sentencia no firme</w:t>
      </w:r>
      <w:bookmarkEnd w:id="827"/>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 2.</w:t>
      </w:r>
    </w:p>
    <w:p w:rsidR="008E589A" w:rsidRPr="008E589A" w:rsidRDefault="008E589A" w:rsidP="008E589A">
      <w:pPr>
        <w:pStyle w:val="TextoNormalSangraFrancesa"/>
        <w:rPr>
          <w:rStyle w:val="TextoNormalCaracter"/>
        </w:rPr>
      </w:pPr>
      <w:bookmarkStart w:id="828" w:name="DESCRIPTORALFABETICO323"/>
      <w:r w:rsidRPr="008E589A">
        <w:rPr>
          <w:rStyle w:val="TextoNormalNegritaCaracter"/>
        </w:rPr>
        <w:t>Ejecución provisional de sentencia</w:t>
      </w:r>
      <w:bookmarkEnd w:id="828"/>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Ejecutividad de las sentencias</w:t>
      </w:r>
      <w:r>
        <w:t xml:space="preserve"> véase </w:t>
      </w:r>
      <w:hyperlink w:anchor="DESCRIPTORALFABETICO319" w:history="1">
        <w:r w:rsidRPr="008E589A">
          <w:rPr>
            <w:rStyle w:val="TextoNormalNegritaCaracter"/>
          </w:rPr>
          <w:t>Ejecución de sentencias</w:t>
        </w:r>
      </w:hyperlink>
    </w:p>
    <w:p w:rsidR="008E589A" w:rsidRPr="008E589A" w:rsidRDefault="008E589A" w:rsidP="008E589A">
      <w:pPr>
        <w:pStyle w:val="TextoNormalSangraFrancesa"/>
        <w:rPr>
          <w:rStyle w:val="TextoNormalCaracter"/>
        </w:rPr>
      </w:pPr>
      <w:bookmarkStart w:id="829" w:name="DESCRIPTORALFABETICO29"/>
      <w:r w:rsidRPr="008E589A">
        <w:rPr>
          <w:rStyle w:val="TextoNormalNegritaCaracter"/>
        </w:rPr>
        <w:t>Ejercicio abusivo del derecho a la huelga</w:t>
      </w:r>
      <w:bookmarkEnd w:id="829"/>
      <w:r w:rsidRPr="008E589A">
        <w:rPr>
          <w:rStyle w:val="TextoNormalCaracter"/>
        </w:rPr>
        <w:t xml:space="preserve">, Sentencia </w:t>
      </w:r>
      <w:hyperlink w:anchor="SENTENCIA_1997_137" w:history="1">
        <w:r w:rsidRPr="008E589A">
          <w:rPr>
            <w:rStyle w:val="TextoNormalCaracter"/>
          </w:rPr>
          <w:t>137/1997</w:t>
        </w:r>
      </w:hyperlink>
      <w:r w:rsidRPr="008E589A">
        <w:rPr>
          <w:rStyle w:val="TextoNormalCaracter"/>
        </w:rPr>
        <w:t>, f. 3.</w:t>
      </w:r>
    </w:p>
    <w:p w:rsidR="008E589A" w:rsidRPr="008E589A" w:rsidRDefault="008E589A" w:rsidP="008E589A">
      <w:pPr>
        <w:pStyle w:val="TextoNormalSangraFrancesa"/>
        <w:rPr>
          <w:rStyle w:val="TextoNormalCaracter"/>
        </w:rPr>
      </w:pPr>
      <w:bookmarkStart w:id="830" w:name="DESCRIPTORALFABETICO277"/>
      <w:r w:rsidRPr="008E589A">
        <w:rPr>
          <w:rStyle w:val="TextoNormalNegritaCaracter"/>
        </w:rPr>
        <w:t>Elecciones a la Junta de Personal de las Cortes Generales</w:t>
      </w:r>
      <w:bookmarkEnd w:id="830"/>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 5.</w:t>
      </w:r>
    </w:p>
    <w:p w:rsidR="008E589A" w:rsidRPr="008E589A" w:rsidRDefault="008E589A" w:rsidP="008E589A">
      <w:pPr>
        <w:pStyle w:val="TextoNormalSangraFrancesa"/>
        <w:rPr>
          <w:rStyle w:val="TextoNormalCaracter"/>
        </w:rPr>
      </w:pPr>
      <w:bookmarkStart w:id="831" w:name="DESCRIPTORALFABETICO301"/>
      <w:r w:rsidRPr="008E589A">
        <w:rPr>
          <w:rStyle w:val="TextoNormalNegritaCaracter"/>
        </w:rPr>
        <w:t>Emplazamiento</w:t>
      </w:r>
      <w:bookmarkEnd w:id="831"/>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 </w:t>
      </w:r>
      <w:hyperlink w:anchor="SENTENCIA_1997_97" w:history="1">
        <w:r w:rsidRPr="008E589A">
          <w:rPr>
            <w:rStyle w:val="TextoNormalCaracter"/>
          </w:rPr>
          <w:t>97/1997</w:t>
        </w:r>
      </w:hyperlink>
      <w:r w:rsidRPr="008E589A">
        <w:rPr>
          <w:rStyle w:val="TextoNormalCaracter"/>
        </w:rPr>
        <w:t>, f. 3.</w:t>
      </w:r>
    </w:p>
    <w:p w:rsidR="008E589A" w:rsidRPr="008E589A" w:rsidRDefault="008E589A" w:rsidP="008E589A">
      <w:pPr>
        <w:pStyle w:val="TextoNormalSangraFrancesa"/>
        <w:rPr>
          <w:rStyle w:val="TextoNormalCaracter"/>
        </w:rPr>
      </w:pPr>
      <w:bookmarkStart w:id="832" w:name="DESCRIPTORALFABETICO302"/>
      <w:r w:rsidRPr="008E589A">
        <w:rPr>
          <w:rStyle w:val="TextoNormalNegritaCaracter"/>
        </w:rPr>
        <w:t>Emplazamiento de sociedades inscritas en el Registro Mercantil</w:t>
      </w:r>
      <w:bookmarkEnd w:id="832"/>
      <w:r w:rsidRPr="008E589A">
        <w:rPr>
          <w:rStyle w:val="TextoNormalCaracter"/>
        </w:rPr>
        <w:t xml:space="preserve">, Sentencia </w:t>
      </w:r>
      <w:hyperlink w:anchor="SENTENCIA_1997_100" w:history="1">
        <w:r w:rsidRPr="008E589A">
          <w:rPr>
            <w:rStyle w:val="TextoNormalCaracter"/>
          </w:rPr>
          <w:t>100/1997</w:t>
        </w:r>
      </w:hyperlink>
      <w:r w:rsidRPr="008E589A">
        <w:rPr>
          <w:rStyle w:val="TextoNormalCaracter"/>
        </w:rPr>
        <w:t>, f. 3.</w:t>
      </w:r>
    </w:p>
    <w:p w:rsidR="008E589A" w:rsidRPr="008E589A" w:rsidRDefault="008E589A" w:rsidP="008E589A">
      <w:pPr>
        <w:pStyle w:val="TextoNormalSangraFrancesa"/>
        <w:rPr>
          <w:rStyle w:val="TextoNormalCaracter"/>
        </w:rPr>
      </w:pPr>
      <w:bookmarkStart w:id="833" w:name="DESCRIPTORALFABETICO303"/>
      <w:r w:rsidRPr="008E589A">
        <w:rPr>
          <w:rStyle w:val="TextoNormalNegritaCaracter"/>
        </w:rPr>
        <w:t>Emplazamiento edictal</w:t>
      </w:r>
      <w:bookmarkEnd w:id="833"/>
      <w:r w:rsidRPr="008E589A">
        <w:rPr>
          <w:rStyle w:val="TextoNormalCaracter"/>
        </w:rPr>
        <w:t xml:space="preserve">, Sentencias </w:t>
      </w:r>
      <w:hyperlink w:anchor="SENTENCIA_1997_97" w:history="1">
        <w:r w:rsidRPr="008E589A">
          <w:rPr>
            <w:rStyle w:val="TextoNormalCaracter"/>
          </w:rPr>
          <w:t>97/1997</w:t>
        </w:r>
      </w:hyperlink>
      <w:r w:rsidRPr="008E589A">
        <w:rPr>
          <w:rStyle w:val="TextoNormalCaracter"/>
        </w:rPr>
        <w:t xml:space="preserve">, f. 3; </w:t>
      </w:r>
      <w:hyperlink w:anchor="SENTENCIA_1997_118" w:history="1">
        <w:r w:rsidRPr="008E589A">
          <w:rPr>
            <w:rStyle w:val="TextoNormalCaracter"/>
          </w:rPr>
          <w:t>118/1997</w:t>
        </w:r>
      </w:hyperlink>
      <w:r w:rsidRPr="008E589A">
        <w:rPr>
          <w:rStyle w:val="TextoNormalCaracter"/>
        </w:rPr>
        <w:t xml:space="preserve">, f. 2; </w:t>
      </w:r>
      <w:hyperlink w:anchor="SENTENCIA_1997_135" w:history="1">
        <w:r w:rsidRPr="008E589A">
          <w:rPr>
            <w:rStyle w:val="TextoNormalCaracter"/>
          </w:rPr>
          <w:t>135/1997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Sentencias </w:t>
      </w:r>
      <w:hyperlink w:anchor="SENTENCIA_1997_97" w:history="1">
        <w:r w:rsidRPr="008E589A">
          <w:rPr>
            <w:rStyle w:val="TextoNormalCaracter"/>
          </w:rPr>
          <w:t>97/1997</w:t>
        </w:r>
      </w:hyperlink>
      <w:r w:rsidRPr="008E589A">
        <w:rPr>
          <w:rStyle w:val="TextoNormalCaracter"/>
        </w:rPr>
        <w:t xml:space="preserve">, f. 3; </w:t>
      </w:r>
      <w:hyperlink w:anchor="SENTENCIA_1997_100" w:history="1">
        <w:r w:rsidRPr="008E589A">
          <w:rPr>
            <w:rStyle w:val="TextoNormalCaracter"/>
          </w:rPr>
          <w:t>100/1997</w:t>
        </w:r>
      </w:hyperlink>
      <w:r w:rsidRPr="008E589A">
        <w:rPr>
          <w:rStyle w:val="TextoNormalCaracter"/>
        </w:rPr>
        <w:t xml:space="preserve">, f. 2; </w:t>
      </w:r>
      <w:hyperlink w:anchor="SENTENCIA_1997_118" w:history="1">
        <w:r w:rsidRPr="008E589A">
          <w:rPr>
            <w:rStyle w:val="TextoNormalCaracter"/>
          </w:rPr>
          <w:t>118/1997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Empleados laborales</w:t>
      </w:r>
      <w:r>
        <w:t xml:space="preserve"> véase </w:t>
      </w:r>
      <w:hyperlink w:anchor="DESCRIPTORALFABETICO281" w:history="1">
        <w:r w:rsidRPr="008E589A">
          <w:rPr>
            <w:rStyle w:val="TextoNormalNegritaCaracter"/>
          </w:rPr>
          <w:t>Trabajadores</w:t>
        </w:r>
      </w:hyperlink>
    </w:p>
    <w:p w:rsidR="008E589A" w:rsidRPr="008E589A" w:rsidRDefault="008E589A" w:rsidP="008E589A">
      <w:pPr>
        <w:pStyle w:val="TextoNormalSangraFrancesa"/>
        <w:rPr>
          <w:rStyle w:val="TextoNormalCaracter"/>
        </w:rPr>
      </w:pPr>
      <w:bookmarkStart w:id="834" w:name="DESCRIPTORALFABETICO213"/>
      <w:r w:rsidRPr="008E589A">
        <w:rPr>
          <w:rStyle w:val="TextoNormalNegritaCaracter"/>
        </w:rPr>
        <w:t>Enseñanza</w:t>
      </w:r>
      <w:bookmarkEnd w:id="834"/>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ff. 1, 2, 3, 4, 5.</w:t>
      </w:r>
    </w:p>
    <w:p w:rsidR="008E589A" w:rsidRPr="008E589A" w:rsidRDefault="008E589A" w:rsidP="008E589A">
      <w:pPr>
        <w:pStyle w:val="TextoNormalSangraFrancesa"/>
        <w:rPr>
          <w:rStyle w:val="TextoNormalCaracter"/>
        </w:rPr>
      </w:pPr>
      <w:bookmarkStart w:id="835" w:name="DESCRIPTORALFABETICO200"/>
      <w:r w:rsidRPr="008E589A">
        <w:rPr>
          <w:rStyle w:val="TextoNormalNegritaCaracter"/>
        </w:rPr>
        <w:t>Enseñanza en catalán</w:t>
      </w:r>
      <w:bookmarkEnd w:id="835"/>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ff. 1, 2, 3, 4, 5.</w:t>
      </w:r>
    </w:p>
    <w:p w:rsidR="008E589A" w:rsidRPr="008E589A" w:rsidRDefault="008E589A" w:rsidP="008E589A">
      <w:pPr>
        <w:pStyle w:val="TextoNormalSangraFrancesa"/>
        <w:rPr>
          <w:rStyle w:val="TextoNormalCaracter"/>
        </w:rPr>
      </w:pPr>
      <w:bookmarkStart w:id="836" w:name="DESCRIPTORALFABETICO326"/>
      <w:r w:rsidRPr="008E589A">
        <w:rPr>
          <w:rStyle w:val="TextoNormalNegritaCaracter"/>
        </w:rPr>
        <w:t>Error en la apreciación de requisitos procesales</w:t>
      </w:r>
      <w:bookmarkEnd w:id="836"/>
      <w:r w:rsidRPr="008E589A">
        <w:rPr>
          <w:rStyle w:val="TextoNormalCaracter"/>
        </w:rPr>
        <w:t xml:space="preserve">, Sentencia </w:t>
      </w:r>
      <w:hyperlink w:anchor="SENTENCIA_1997_127" w:history="1">
        <w:r w:rsidRPr="008E589A">
          <w:rPr>
            <w:rStyle w:val="TextoNormalCaracter"/>
          </w:rPr>
          <w:t>127/1997</w:t>
        </w:r>
      </w:hyperlink>
      <w:r w:rsidRPr="008E589A">
        <w:rPr>
          <w:rStyle w:val="TextoNormalCaracter"/>
        </w:rPr>
        <w:t>, f. 2.</w:t>
      </w:r>
    </w:p>
    <w:p w:rsidR="008E589A" w:rsidRPr="008E589A" w:rsidRDefault="008E589A" w:rsidP="008E589A">
      <w:pPr>
        <w:pStyle w:val="TextoNormalSangraFrancesa"/>
        <w:rPr>
          <w:rStyle w:val="TextoNormalCaracter"/>
        </w:rPr>
      </w:pPr>
      <w:bookmarkStart w:id="837" w:name="DESCRIPTORALFABETICO327"/>
      <w:r w:rsidRPr="008E589A">
        <w:rPr>
          <w:rStyle w:val="TextoNormalNegritaCaracter"/>
        </w:rPr>
        <w:t>Error irrelevante</w:t>
      </w:r>
      <w:bookmarkEnd w:id="837"/>
      <w:r w:rsidRPr="008E589A">
        <w:rPr>
          <w:rStyle w:val="TextoNormalCaracter"/>
        </w:rPr>
        <w:t xml:space="preserve">, Auto </w:t>
      </w:r>
      <w:hyperlink w:anchor="AUTO_1997_182" w:history="1">
        <w:r w:rsidRPr="008E589A">
          <w:rPr>
            <w:rStyle w:val="TextoNormalCaracter"/>
          </w:rPr>
          <w:t>182/1997</w:t>
        </w:r>
      </w:hyperlink>
      <w:r w:rsidRPr="008E589A">
        <w:rPr>
          <w:rStyle w:val="TextoNormalCaracter"/>
        </w:rPr>
        <w:t>.</w:t>
      </w:r>
    </w:p>
    <w:p w:rsidR="008E589A" w:rsidRPr="008E589A" w:rsidRDefault="008E589A" w:rsidP="008E589A">
      <w:pPr>
        <w:pStyle w:val="TextoNormalSangraFrancesa"/>
        <w:rPr>
          <w:rStyle w:val="TextoNormalCaracter"/>
        </w:rPr>
      </w:pPr>
      <w:bookmarkStart w:id="838" w:name="DESCRIPTORALFABETICO325"/>
      <w:r w:rsidRPr="008E589A">
        <w:rPr>
          <w:rStyle w:val="TextoNormalNegritaCaracter"/>
        </w:rPr>
        <w:t>Error judicial</w:t>
      </w:r>
      <w:bookmarkEnd w:id="838"/>
      <w:r w:rsidRPr="008E589A">
        <w:rPr>
          <w:rStyle w:val="TextoNormalCaracter"/>
        </w:rPr>
        <w:t xml:space="preserve">, Sentencia </w:t>
      </w:r>
      <w:hyperlink w:anchor="SENTENCIA_1997_124" w:history="1">
        <w:r w:rsidRPr="008E589A">
          <w:rPr>
            <w:rStyle w:val="TextoNormalCaracter"/>
          </w:rPr>
          <w:t>124/1997</w:t>
        </w:r>
      </w:hyperlink>
      <w:r w:rsidRPr="008E589A">
        <w:rPr>
          <w:rStyle w:val="TextoNormalCaracter"/>
        </w:rPr>
        <w:t>, f. 3.</w:t>
      </w:r>
    </w:p>
    <w:p w:rsidR="008E589A" w:rsidRPr="008E589A" w:rsidRDefault="008E589A" w:rsidP="008E589A">
      <w:pPr>
        <w:pStyle w:val="TextoNormalSangraFrancesa"/>
        <w:rPr>
          <w:rStyle w:val="TextoNormalCaracter"/>
        </w:rPr>
      </w:pPr>
      <w:bookmarkStart w:id="839" w:name="DESCRIPTORALFABETICO328"/>
      <w:r w:rsidRPr="008E589A">
        <w:rPr>
          <w:rStyle w:val="TextoNormalNegritaCaracter"/>
        </w:rPr>
        <w:t>Error material</w:t>
      </w:r>
      <w:bookmarkEnd w:id="839"/>
      <w:r w:rsidRPr="008E589A">
        <w:rPr>
          <w:rStyle w:val="TextoNormalCaracter"/>
        </w:rPr>
        <w:t xml:space="preserve">, Sentencia </w:t>
      </w:r>
      <w:hyperlink w:anchor="SENTENCIA_1997_124" w:history="1">
        <w:r w:rsidRPr="008E589A">
          <w:rPr>
            <w:rStyle w:val="TextoNormalCaracter"/>
          </w:rPr>
          <w:t>124/1997</w:t>
        </w:r>
      </w:hyperlink>
      <w:r w:rsidRPr="008E589A">
        <w:rPr>
          <w:rStyle w:val="TextoNormalCaracter"/>
        </w:rPr>
        <w:t>, ff. 1, 2, 3.</w:t>
      </w:r>
    </w:p>
    <w:p w:rsidR="008E589A" w:rsidRPr="008E589A" w:rsidRDefault="008E589A" w:rsidP="008E589A">
      <w:pPr>
        <w:pStyle w:val="TextoNormalSangraFrancesa"/>
        <w:rPr>
          <w:rStyle w:val="TextoNormalCaracter"/>
        </w:rPr>
      </w:pPr>
      <w:bookmarkStart w:id="840" w:name="DESCRIPTORALFABETICO53"/>
      <w:r w:rsidRPr="008E589A">
        <w:rPr>
          <w:rStyle w:val="TextoNormalNegritaCaracter"/>
        </w:rPr>
        <w:t>Error patente</w:t>
      </w:r>
      <w:bookmarkEnd w:id="840"/>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127" w:history="1">
        <w:r w:rsidRPr="008E589A">
          <w:rPr>
            <w:rStyle w:val="TextoNormalCaracter"/>
          </w:rPr>
          <w:t>127/1997</w:t>
        </w:r>
      </w:hyperlink>
      <w:r w:rsidRPr="008E589A">
        <w:rPr>
          <w:rStyle w:val="TextoNormalCaracter"/>
        </w:rPr>
        <w:t>, f. 2.</w:t>
      </w:r>
    </w:p>
    <w:p w:rsidR="008E589A" w:rsidRPr="008E589A" w:rsidRDefault="008E589A" w:rsidP="008E589A">
      <w:pPr>
        <w:pStyle w:val="TextoNormalSangraFrancesa"/>
        <w:rPr>
          <w:rStyle w:val="TextoNormalCaracter"/>
        </w:rPr>
      </w:pPr>
      <w:bookmarkStart w:id="841" w:name="DESCRIPTORALFABETICO332"/>
      <w:r w:rsidRPr="008E589A">
        <w:rPr>
          <w:rStyle w:val="TextoNormalNegritaCaracter"/>
        </w:rPr>
        <w:t>Escrito de personación</w:t>
      </w:r>
      <w:bookmarkEnd w:id="841"/>
      <w:r w:rsidRPr="008E589A">
        <w:rPr>
          <w:rStyle w:val="TextoNormalCaracter"/>
        </w:rPr>
        <w:t xml:space="preserve">, Auto </w:t>
      </w:r>
      <w:hyperlink w:anchor="AUTO_1997_294" w:history="1">
        <w:r w:rsidRPr="008E589A">
          <w:rPr>
            <w:rStyle w:val="TextoNormalCaracter"/>
          </w:rPr>
          <w:t>294/1997</w:t>
        </w:r>
      </w:hyperlink>
      <w:r w:rsidRPr="008E589A">
        <w:rPr>
          <w:rStyle w:val="TextoNormalCaracter"/>
        </w:rPr>
        <w:t>.</w:t>
      </w:r>
    </w:p>
    <w:p w:rsidR="008E589A" w:rsidRPr="008E589A" w:rsidRDefault="008E589A" w:rsidP="008E589A">
      <w:pPr>
        <w:pStyle w:val="TextoNormalSangraFrancesa"/>
        <w:rPr>
          <w:rStyle w:val="TextoNormalCaracter"/>
        </w:rPr>
      </w:pPr>
      <w:bookmarkStart w:id="842" w:name="DESCRIPTORALFABETICO244"/>
      <w:r w:rsidRPr="008E589A">
        <w:rPr>
          <w:rStyle w:val="TextoNormalNegritaCaracter"/>
        </w:rPr>
        <w:t>Especialidades procesales</w:t>
      </w:r>
      <w:bookmarkEnd w:id="842"/>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 3.</w:t>
      </w:r>
    </w:p>
    <w:p w:rsidR="008E589A" w:rsidRPr="008E589A" w:rsidRDefault="008E589A" w:rsidP="008E589A">
      <w:pPr>
        <w:pStyle w:val="TextoNormalSangraFrancesa"/>
        <w:rPr>
          <w:rStyle w:val="TextoNormalCaracter"/>
        </w:rPr>
      </w:pPr>
      <w:bookmarkStart w:id="843" w:name="DESCRIPTORALFABETICO115"/>
      <w:r w:rsidRPr="008E589A">
        <w:rPr>
          <w:rStyle w:val="TextoNormalNegritaCaracter"/>
        </w:rPr>
        <w:t>Estimación de recurso de súplica contra providencias del Tribunal Constitucional</w:t>
      </w:r>
      <w:bookmarkEnd w:id="843"/>
      <w:r w:rsidRPr="008E589A">
        <w:rPr>
          <w:rStyle w:val="TextoNormalCaracter"/>
        </w:rPr>
        <w:t xml:space="preserve">, Auto </w:t>
      </w:r>
      <w:hyperlink w:anchor="AUTO_1997_273" w:history="1">
        <w:r w:rsidRPr="008E589A">
          <w:rPr>
            <w:rStyle w:val="TextoNormalCaracter"/>
          </w:rPr>
          <w:t>273/1997</w:t>
        </w:r>
      </w:hyperlink>
      <w:r w:rsidRPr="008E589A">
        <w:rPr>
          <w:rStyle w:val="TextoNormalCaracter"/>
        </w:rPr>
        <w:t>.</w:t>
      </w:r>
    </w:p>
    <w:p w:rsidR="008E589A" w:rsidRPr="008E589A" w:rsidRDefault="008E589A" w:rsidP="008E589A">
      <w:pPr>
        <w:pStyle w:val="TextoNormalSangraFrancesa"/>
        <w:rPr>
          <w:rStyle w:val="TextoNormalCaracter"/>
        </w:rPr>
      </w:pPr>
      <w:bookmarkStart w:id="844" w:name="DESCRIPTORALFABETICO148"/>
      <w:r w:rsidRPr="008E589A">
        <w:rPr>
          <w:rStyle w:val="TextoNormalNegritaCaracter"/>
        </w:rPr>
        <w:t>Excepciones al requisito de agotamiento</w:t>
      </w:r>
      <w:bookmarkEnd w:id="844"/>
      <w:r w:rsidRPr="008E589A">
        <w:rPr>
          <w:rStyle w:val="TextoNormalCaracter"/>
        </w:rPr>
        <w:t xml:space="preserve">, Sentencia </w:t>
      </w:r>
      <w:hyperlink w:anchor="SENTENCIA_1997_136" w:history="1">
        <w:r w:rsidRPr="008E589A">
          <w:rPr>
            <w:rStyle w:val="TextoNormalCaracter"/>
          </w:rPr>
          <w:t>136/1997</w:t>
        </w:r>
      </w:hyperlink>
      <w:r w:rsidRPr="008E589A">
        <w:rPr>
          <w:rStyle w:val="TextoNormalCaracter"/>
        </w:rPr>
        <w:t>, f. 2.</w:t>
      </w:r>
    </w:p>
    <w:p w:rsidR="008E589A" w:rsidRPr="008E589A" w:rsidRDefault="008E589A" w:rsidP="008E589A">
      <w:pPr>
        <w:pStyle w:val="TextoNormalSangraFrancesa"/>
        <w:rPr>
          <w:rStyle w:val="TextoNormalCaracter"/>
        </w:rPr>
      </w:pPr>
      <w:bookmarkStart w:id="845" w:name="DESCRIPTORALFABETICO330"/>
      <w:r w:rsidRPr="008E589A">
        <w:rPr>
          <w:rStyle w:val="TextoNormalNegritaCaracter"/>
        </w:rPr>
        <w:t>Excepciones procesales</w:t>
      </w:r>
      <w:bookmarkEnd w:id="845"/>
      <w:r w:rsidRPr="008E589A">
        <w:rPr>
          <w:rStyle w:val="TextoNormalCaracter"/>
        </w:rPr>
        <w:t xml:space="preserve">, Sentencia </w:t>
      </w:r>
      <w:hyperlink w:anchor="SENTENCIA_1997_99" w:history="1">
        <w:r w:rsidRPr="008E589A">
          <w:rPr>
            <w:rStyle w:val="TextoNormalCaracter"/>
          </w:rPr>
          <w:t>99/1997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35" w:history="1">
        <w:r w:rsidRPr="008E589A">
          <w:rPr>
            <w:rStyle w:val="TextoNormalCaracter"/>
          </w:rPr>
          <w:t>135/1997</w:t>
        </w:r>
      </w:hyperlink>
      <w:r w:rsidRPr="008E589A">
        <w:rPr>
          <w:rStyle w:val="TextoNormalCaracter"/>
        </w:rPr>
        <w:t>.</w:t>
      </w:r>
    </w:p>
    <w:p w:rsidR="008E589A" w:rsidRPr="008E589A" w:rsidRDefault="008E589A" w:rsidP="008E589A">
      <w:pPr>
        <w:pStyle w:val="TextoNormalSangraFrancesa"/>
        <w:rPr>
          <w:rStyle w:val="TextoNormalCaracter"/>
        </w:rPr>
      </w:pPr>
      <w:bookmarkStart w:id="846" w:name="DESCRIPTORALFABETICO31"/>
      <w:r w:rsidRPr="008E589A">
        <w:rPr>
          <w:rStyle w:val="TextoNormalNegritaCaracter"/>
        </w:rPr>
        <w:t>Exclusión de coacciones a terceros</w:t>
      </w:r>
      <w:bookmarkEnd w:id="846"/>
      <w:r w:rsidRPr="008E589A">
        <w:rPr>
          <w:rStyle w:val="TextoNormalCaracter"/>
        </w:rPr>
        <w:t xml:space="preserve">, Sentencia </w:t>
      </w:r>
      <w:hyperlink w:anchor="SENTENCIA_1997_137" w:history="1">
        <w:r w:rsidRPr="008E589A">
          <w:rPr>
            <w:rStyle w:val="TextoNormalCaracter"/>
          </w:rPr>
          <w:t>137/1997</w:t>
        </w:r>
      </w:hyperlink>
      <w:r w:rsidRPr="008E589A">
        <w:rPr>
          <w:rStyle w:val="TextoNormalCaracter"/>
        </w:rPr>
        <w:t>, f. 3.</w:t>
      </w:r>
    </w:p>
    <w:p w:rsidR="008E589A" w:rsidRPr="008E589A" w:rsidRDefault="008E589A" w:rsidP="008E589A">
      <w:pPr>
        <w:pStyle w:val="TextoNormalSangraFrancesa"/>
        <w:rPr>
          <w:rStyle w:val="TextoNormalCaracter"/>
        </w:rPr>
      </w:pPr>
      <w:bookmarkStart w:id="847" w:name="DESCRIPTORALFABETICO199"/>
      <w:r w:rsidRPr="008E589A">
        <w:rPr>
          <w:rStyle w:val="TextoNormalNegritaCaracter"/>
        </w:rPr>
        <w:t>Exención de la enseñanza en lenguas oficiales</w:t>
      </w:r>
      <w:bookmarkEnd w:id="847"/>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2.</w:t>
      </w:r>
    </w:p>
    <w:p w:rsidR="008E589A" w:rsidRPr="008E589A" w:rsidRDefault="008E589A" w:rsidP="008E589A">
      <w:pPr>
        <w:pStyle w:val="TextoNormalSangraFrancesa"/>
        <w:rPr>
          <w:rStyle w:val="TextoNormalCaracter"/>
        </w:rPr>
      </w:pPr>
      <w:bookmarkStart w:id="848" w:name="DESCRIPTORALFABETICO202"/>
      <w:r w:rsidRPr="008E589A">
        <w:rPr>
          <w:rStyle w:val="TextoNormalNegritaCaracter"/>
        </w:rPr>
        <w:t>Exigencia de titulación</w:t>
      </w:r>
      <w:bookmarkEnd w:id="848"/>
      <w:r w:rsidRPr="008E589A">
        <w:rPr>
          <w:rStyle w:val="TextoNormalCaracter"/>
        </w:rPr>
        <w:t xml:space="preserve">, Sentencia </w:t>
      </w:r>
      <w:hyperlink w:anchor="SENTENCIA_1997_130" w:history="1">
        <w:r w:rsidRPr="008E589A">
          <w:rPr>
            <w:rStyle w:val="TextoNormalCaracter"/>
          </w:rPr>
          <w:t>130/1997</w:t>
        </w:r>
      </w:hyperlink>
      <w:r w:rsidRPr="008E589A">
        <w:rPr>
          <w:rStyle w:val="TextoNormalCaracter"/>
        </w:rPr>
        <w:t>, f. 3.</w:t>
      </w:r>
    </w:p>
    <w:p w:rsidR="008E589A" w:rsidRPr="008E589A" w:rsidRDefault="008E589A" w:rsidP="008E589A">
      <w:pPr>
        <w:pStyle w:val="TextoNormalSangraFrancesa"/>
        <w:rPr>
          <w:rStyle w:val="TextoNormalCaracter"/>
        </w:rPr>
      </w:pPr>
      <w:bookmarkStart w:id="849" w:name="DESCRIPTORALFABETICO149"/>
      <w:r w:rsidRPr="008E589A">
        <w:rPr>
          <w:rStyle w:val="TextoNormalNegritaCaracter"/>
        </w:rPr>
        <w:t>Existencia de agotamiento</w:t>
      </w:r>
      <w:bookmarkEnd w:id="849"/>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 2.</w:t>
      </w:r>
    </w:p>
    <w:p w:rsidR="008E589A" w:rsidRPr="008E589A" w:rsidRDefault="008E589A" w:rsidP="008E589A">
      <w:pPr>
        <w:pStyle w:val="TextoNormalSangraFrancesa"/>
        <w:rPr>
          <w:rStyle w:val="TextoNormalCaracter"/>
        </w:rPr>
      </w:pPr>
      <w:bookmarkStart w:id="850" w:name="DESCRIPTORALFABETICO131"/>
      <w:r w:rsidRPr="008E589A">
        <w:rPr>
          <w:rStyle w:val="TextoNormalNegritaCaracter"/>
        </w:rPr>
        <w:t>Existencia de invocación del derecho vulnerado</w:t>
      </w:r>
      <w:bookmarkEnd w:id="850"/>
      <w:r w:rsidRPr="008E589A">
        <w:rPr>
          <w:rStyle w:val="TextoNormalCaracter"/>
        </w:rPr>
        <w:t xml:space="preserve">, Sentencias </w:t>
      </w:r>
      <w:hyperlink w:anchor="SENTENCIA_1997_90" w:history="1">
        <w:r w:rsidRPr="008E589A">
          <w:rPr>
            <w:rStyle w:val="TextoNormalCaracter"/>
          </w:rPr>
          <w:t>90/1997</w:t>
        </w:r>
      </w:hyperlink>
      <w:r w:rsidRPr="008E589A">
        <w:rPr>
          <w:rStyle w:val="TextoNormalCaracter"/>
        </w:rPr>
        <w:t xml:space="preserve">, f. 2; </w:t>
      </w:r>
      <w:hyperlink w:anchor="SENTENCIA_1997_116" w:history="1">
        <w:r w:rsidRPr="008E589A">
          <w:rPr>
            <w:rStyle w:val="TextoNormalCaracter"/>
          </w:rPr>
          <w:t>116/1997</w:t>
        </w:r>
      </w:hyperlink>
      <w:r w:rsidRPr="008E589A">
        <w:rPr>
          <w:rStyle w:val="TextoNormalCaracter"/>
        </w:rPr>
        <w:t>, f. 3.</w:t>
      </w:r>
    </w:p>
    <w:p w:rsidR="008E589A" w:rsidRPr="008E589A" w:rsidRDefault="008E589A" w:rsidP="008E589A">
      <w:pPr>
        <w:pStyle w:val="TextoNormalSangraFrancesa"/>
        <w:rPr>
          <w:rStyle w:val="TextoNormalCaracter"/>
        </w:rPr>
      </w:pPr>
      <w:bookmarkStart w:id="851" w:name="DESCRIPTORALFABETICO408"/>
      <w:r w:rsidRPr="008E589A">
        <w:rPr>
          <w:rStyle w:val="TextoNormalNegritaCaracter"/>
        </w:rPr>
        <w:t>Extradición</w:t>
      </w:r>
      <w:bookmarkEnd w:id="851"/>
      <w:r w:rsidRPr="008E589A">
        <w:rPr>
          <w:rStyle w:val="TextoNormalCaracter"/>
        </w:rPr>
        <w:t xml:space="preserve">, Auto </w:t>
      </w:r>
      <w:hyperlink w:anchor="AUTO_1997_277" w:history="1">
        <w:r w:rsidRPr="008E589A">
          <w:rPr>
            <w:rStyle w:val="TextoNormalCaracter"/>
          </w:rPr>
          <w:t>277/1997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Extradición pasiva</w:t>
      </w:r>
      <w:r>
        <w:t xml:space="preserve"> véase </w:t>
      </w:r>
      <w:hyperlink w:anchor="DESCRIPTORALFABETICO408" w:history="1">
        <w:r w:rsidRPr="008E589A">
          <w:rPr>
            <w:rStyle w:val="TextoNormalNegritaCaracter"/>
          </w:rPr>
          <w:t>Extradición</w:t>
        </w:r>
      </w:hyperlink>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lastRenderedPageBreak/>
        <w:t>F</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852" w:name="DESCRIPTORALFABETICO415"/>
      <w:r w:rsidRPr="008E589A">
        <w:rPr>
          <w:rStyle w:val="TextoNormalNegritaCaracter"/>
        </w:rPr>
        <w:t>Facultades del Juez instructor para decretar la prisión provisional</w:t>
      </w:r>
      <w:bookmarkEnd w:id="852"/>
      <w:r w:rsidRPr="008E589A">
        <w:rPr>
          <w:rStyle w:val="TextoNormalCaracter"/>
        </w:rPr>
        <w:t xml:space="preserve">, Sentencia </w:t>
      </w:r>
      <w:hyperlink w:anchor="SENTENCIA_1997_98" w:history="1">
        <w:r w:rsidRPr="008E589A">
          <w:rPr>
            <w:rStyle w:val="TextoNormalCaracter"/>
          </w:rPr>
          <w:t>98/1997</w:t>
        </w:r>
      </w:hyperlink>
      <w:r w:rsidRPr="008E589A">
        <w:rPr>
          <w:rStyle w:val="TextoNormalCaracter"/>
        </w:rPr>
        <w:t>, f. 2.</w:t>
      </w:r>
    </w:p>
    <w:p w:rsidR="008E589A" w:rsidRPr="008E589A" w:rsidRDefault="008E589A" w:rsidP="008E589A">
      <w:pPr>
        <w:pStyle w:val="TextoNormalSangraFrancesa"/>
        <w:rPr>
          <w:rStyle w:val="TextoNormalCaracter"/>
        </w:rPr>
      </w:pPr>
      <w:bookmarkStart w:id="853" w:name="DESCRIPTORALFABETICO155"/>
      <w:r w:rsidRPr="008E589A">
        <w:rPr>
          <w:rStyle w:val="TextoNormalNegritaCaracter"/>
        </w:rPr>
        <w:t>Falta de agotamiento de la vía judicial</w:t>
      </w:r>
      <w:bookmarkEnd w:id="853"/>
      <w:r w:rsidRPr="008E589A">
        <w:rPr>
          <w:rStyle w:val="TextoNormalCaracter"/>
        </w:rPr>
        <w:t xml:space="preserve">, Sentencia </w:t>
      </w:r>
      <w:hyperlink w:anchor="SENTENCIA_1997_118" w:history="1">
        <w:r w:rsidRPr="008E589A">
          <w:rPr>
            <w:rStyle w:val="TextoNormalCaracter"/>
          </w:rPr>
          <w:t>118/1997</w:t>
        </w:r>
      </w:hyperlink>
      <w:r w:rsidRPr="008E589A">
        <w:rPr>
          <w:rStyle w:val="TextoNormalCaracter"/>
        </w:rPr>
        <w:t>, VP.</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47" w:history="1">
        <w:r w:rsidRPr="008E589A">
          <w:rPr>
            <w:rStyle w:val="TextoNormalCaracter"/>
          </w:rPr>
          <w:t>147/1997</w:t>
        </w:r>
      </w:hyperlink>
      <w:r w:rsidRPr="008E589A">
        <w:rPr>
          <w:rStyle w:val="TextoNormalCaracter"/>
        </w:rPr>
        <w:t>.</w:t>
      </w:r>
    </w:p>
    <w:p w:rsidR="008E589A" w:rsidRPr="008E589A" w:rsidRDefault="008E589A" w:rsidP="008E589A">
      <w:pPr>
        <w:pStyle w:val="TextoNormalSangraFrancesa"/>
        <w:rPr>
          <w:rStyle w:val="TextoNormalCaracter"/>
        </w:rPr>
      </w:pPr>
      <w:bookmarkStart w:id="854" w:name="DESCRIPTORALFABETICO78"/>
      <w:r w:rsidRPr="008E589A">
        <w:rPr>
          <w:rStyle w:val="TextoNormalNegritaCaracter"/>
        </w:rPr>
        <w:t>Falta de denuncia de las dilaciones</w:t>
      </w:r>
      <w:bookmarkEnd w:id="854"/>
      <w:r w:rsidRPr="008E589A">
        <w:rPr>
          <w:rStyle w:val="TextoNormalCaracter"/>
        </w:rPr>
        <w:t xml:space="preserve">, Sentencia </w:t>
      </w:r>
      <w:hyperlink w:anchor="SENTENCIA_1997_136" w:history="1">
        <w:r w:rsidRPr="008E589A">
          <w:rPr>
            <w:rStyle w:val="TextoNormalCaracter"/>
          </w:rPr>
          <w:t>136/1997</w:t>
        </w:r>
      </w:hyperlink>
      <w:r w:rsidRPr="008E589A">
        <w:rPr>
          <w:rStyle w:val="TextoNormalCaracter"/>
        </w:rPr>
        <w:t>, f. 1.</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68" w:history="1">
        <w:r w:rsidRPr="008E589A">
          <w:rPr>
            <w:rStyle w:val="TextoNormalCaracter"/>
          </w:rPr>
          <w:t>268/1997</w:t>
        </w:r>
      </w:hyperlink>
      <w:r w:rsidRPr="008E589A">
        <w:rPr>
          <w:rStyle w:val="TextoNormalCaracter"/>
        </w:rPr>
        <w:t>.</w:t>
      </w:r>
    </w:p>
    <w:p w:rsidR="008E589A" w:rsidRPr="008E589A" w:rsidRDefault="008E589A" w:rsidP="008E589A">
      <w:pPr>
        <w:pStyle w:val="TextoNormalSangraFrancesa"/>
        <w:rPr>
          <w:rStyle w:val="TextoNormalCaracter"/>
        </w:rPr>
      </w:pPr>
      <w:bookmarkStart w:id="855" w:name="DESCRIPTORALFABETICO132"/>
      <w:r w:rsidRPr="008E589A">
        <w:rPr>
          <w:rStyle w:val="TextoNormalNegritaCaracter"/>
        </w:rPr>
        <w:t>Falta de invocación del derecho vulnerado</w:t>
      </w:r>
      <w:bookmarkEnd w:id="855"/>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157" w:history="1">
        <w:r w:rsidRPr="008E589A">
          <w:rPr>
            <w:rStyle w:val="TextoNormalCaracter"/>
          </w:rPr>
          <w:t>157/1997</w:t>
        </w:r>
      </w:hyperlink>
      <w:r w:rsidRPr="008E589A">
        <w:rPr>
          <w:rStyle w:val="TextoNormalCaracter"/>
        </w:rPr>
        <w:t xml:space="preserve">; </w:t>
      </w:r>
      <w:hyperlink w:anchor="AUTO_1997_246" w:history="1">
        <w:r w:rsidRPr="008E589A">
          <w:rPr>
            <w:rStyle w:val="TextoNormalCaracter"/>
          </w:rPr>
          <w:t>246/1997</w:t>
        </w:r>
      </w:hyperlink>
      <w:r w:rsidRPr="008E589A">
        <w:rPr>
          <w:rStyle w:val="TextoNormalCaracter"/>
        </w:rPr>
        <w:t>.</w:t>
      </w:r>
    </w:p>
    <w:p w:rsidR="008E589A" w:rsidRPr="008E589A" w:rsidRDefault="008E589A" w:rsidP="008E589A">
      <w:pPr>
        <w:pStyle w:val="TextoNormalSangraFrancesa"/>
        <w:rPr>
          <w:rStyle w:val="TextoNormalCaracter"/>
        </w:rPr>
      </w:pPr>
      <w:bookmarkStart w:id="856" w:name="DESCRIPTORALFABETICO409"/>
      <w:r w:rsidRPr="008E589A">
        <w:rPr>
          <w:rStyle w:val="TextoNormalNegritaCaracter"/>
        </w:rPr>
        <w:t>Finalidad de la extradición</w:t>
      </w:r>
      <w:bookmarkEnd w:id="856"/>
      <w:r w:rsidRPr="008E589A">
        <w:rPr>
          <w:rStyle w:val="TextoNormalCaracter"/>
        </w:rPr>
        <w:t xml:space="preserve">, Sentencia </w:t>
      </w:r>
      <w:hyperlink w:anchor="SENTENCIA_1997_102" w:history="1">
        <w:r w:rsidRPr="008E589A">
          <w:rPr>
            <w:rStyle w:val="TextoNormalCaracter"/>
          </w:rPr>
          <w:t>102/1997</w:t>
        </w:r>
      </w:hyperlink>
      <w:r w:rsidRPr="008E589A">
        <w:rPr>
          <w:rStyle w:val="TextoNormalCaracter"/>
        </w:rPr>
        <w:t>, f. 6.</w:t>
      </w:r>
    </w:p>
    <w:p w:rsidR="008E589A" w:rsidRPr="008E589A" w:rsidRDefault="008E589A" w:rsidP="008E589A">
      <w:pPr>
        <w:pStyle w:val="TextoNormalSangraFrancesa"/>
        <w:rPr>
          <w:rStyle w:val="TextoNormalCaracter"/>
        </w:rPr>
      </w:pPr>
      <w:bookmarkStart w:id="857" w:name="DESCRIPTORALFABETICO372"/>
      <w:r w:rsidRPr="008E589A">
        <w:rPr>
          <w:rStyle w:val="TextoNormalNegritaCaracter"/>
        </w:rPr>
        <w:t>Firmeza de la sentencia contradictoria</w:t>
      </w:r>
      <w:bookmarkEnd w:id="857"/>
      <w:r w:rsidRPr="008E589A">
        <w:rPr>
          <w:rStyle w:val="TextoNormalCaracter"/>
        </w:rPr>
        <w:t xml:space="preserve">, Sentencia </w:t>
      </w:r>
      <w:hyperlink w:anchor="SENTENCIA_1997_132" w:history="1">
        <w:r w:rsidRPr="008E589A">
          <w:rPr>
            <w:rStyle w:val="TextoNormalCaracter"/>
          </w:rPr>
          <w:t>132/1997</w:t>
        </w:r>
      </w:hyperlink>
      <w:r w:rsidRPr="008E589A">
        <w:rPr>
          <w:rStyle w:val="TextoNormalCaracter"/>
        </w:rPr>
        <w:t>, ff. 5, 6, VP.</w:t>
      </w:r>
    </w:p>
    <w:p w:rsidR="008E589A" w:rsidRPr="008E589A" w:rsidRDefault="008E589A" w:rsidP="008E589A">
      <w:pPr>
        <w:pStyle w:val="TextoNormalSangraFrancesa"/>
        <w:rPr>
          <w:rStyle w:val="TextoNormalCaracter"/>
        </w:rPr>
      </w:pPr>
      <w:bookmarkStart w:id="858" w:name="DESCRIPTORALFABETICO220"/>
      <w:r w:rsidRPr="008E589A">
        <w:rPr>
          <w:rStyle w:val="TextoNormalNegritaCaracter"/>
        </w:rPr>
        <w:t>Fuerzas Armadas</w:t>
      </w:r>
      <w:bookmarkEnd w:id="858"/>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3.</w:t>
      </w:r>
    </w:p>
    <w:p w:rsidR="008E589A" w:rsidRPr="008E589A" w:rsidRDefault="008E589A" w:rsidP="008E589A">
      <w:pPr>
        <w:pStyle w:val="TextoNormalSangraFrancesa"/>
        <w:rPr>
          <w:rStyle w:val="TextoNormalCaracter"/>
        </w:rPr>
      </w:pPr>
      <w:bookmarkStart w:id="859" w:name="DESCRIPTORALFABETICO119"/>
      <w:r w:rsidRPr="008E589A">
        <w:rPr>
          <w:rStyle w:val="TextoNormalNegritaCaracter"/>
        </w:rPr>
        <w:t>Función de la cuestión de inconstitucionalidad</w:t>
      </w:r>
      <w:bookmarkEnd w:id="859"/>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4.</w:t>
      </w:r>
    </w:p>
    <w:p w:rsidR="008E589A" w:rsidRPr="008E589A" w:rsidRDefault="008E589A" w:rsidP="008E589A">
      <w:pPr>
        <w:pStyle w:val="TextoNormalSangraFrancesa"/>
        <w:rPr>
          <w:rStyle w:val="TextoNormalCaracter"/>
        </w:rPr>
      </w:pPr>
      <w:bookmarkStart w:id="860" w:name="DESCRIPTORALFABETICO221"/>
      <w:r w:rsidRPr="008E589A">
        <w:rPr>
          <w:rStyle w:val="TextoNormalNegritaCaracter"/>
        </w:rPr>
        <w:t>Funcionarios públicos</w:t>
      </w:r>
      <w:bookmarkEnd w:id="860"/>
      <w:r w:rsidRPr="008E589A">
        <w:rPr>
          <w:rStyle w:val="TextoNormalCaracter"/>
        </w:rPr>
        <w:t xml:space="preserve">, Sentencias </w:t>
      </w:r>
      <w:hyperlink w:anchor="SENTENCIA_1997_96" w:history="1">
        <w:r w:rsidRPr="008E589A">
          <w:rPr>
            <w:rStyle w:val="TextoNormalCaracter"/>
          </w:rPr>
          <w:t>96/1997</w:t>
        </w:r>
      </w:hyperlink>
      <w:r w:rsidRPr="008E589A">
        <w:rPr>
          <w:rStyle w:val="TextoNormalCaracter"/>
        </w:rPr>
        <w:t xml:space="preserve">, ff. 3, 6; </w:t>
      </w:r>
      <w:hyperlink w:anchor="SENTENCIA_1997_103" w:history="1">
        <w:r w:rsidRPr="008E589A">
          <w:rPr>
            <w:rStyle w:val="TextoNormalCaracter"/>
          </w:rPr>
          <w:t>103/1997</w:t>
        </w:r>
      </w:hyperlink>
      <w:r w:rsidRPr="008E589A">
        <w:rPr>
          <w:rStyle w:val="TextoNormalCaracter"/>
        </w:rPr>
        <w:t>, f. 2.</w:t>
      </w:r>
    </w:p>
    <w:p w:rsidR="008E589A" w:rsidRPr="008E589A" w:rsidRDefault="008E589A" w:rsidP="008E589A">
      <w:pPr>
        <w:pStyle w:val="TextoNormalSangraFrancesa"/>
        <w:rPr>
          <w:rStyle w:val="TextoNormalCaracter"/>
        </w:rPr>
      </w:pPr>
      <w:bookmarkStart w:id="861" w:name="DESCRIPTORALFABETICO104"/>
      <w:r w:rsidRPr="008E589A">
        <w:rPr>
          <w:rStyle w:val="TextoNormalNegritaCaracter"/>
        </w:rPr>
        <w:t>Funciones de la jurisdicción constitucional</w:t>
      </w:r>
      <w:bookmarkEnd w:id="861"/>
      <w:r w:rsidRPr="008E589A">
        <w:rPr>
          <w:rStyle w:val="TextoNormalCaracter"/>
        </w:rPr>
        <w:t xml:space="preserve">, Sentencia </w:t>
      </w:r>
      <w:hyperlink w:anchor="SENTENCIA_1997_95" w:history="1">
        <w:r w:rsidRPr="008E589A">
          <w:rPr>
            <w:rStyle w:val="TextoNormalCaracter"/>
          </w:rPr>
          <w:t>95/1997</w:t>
        </w:r>
      </w:hyperlink>
      <w:r w:rsidRPr="008E589A">
        <w:rPr>
          <w:rStyle w:val="TextoNormalCaracter"/>
        </w:rPr>
        <w:t>, f. 3.</w:t>
      </w:r>
    </w:p>
    <w:p w:rsidR="008E589A" w:rsidRPr="008E589A" w:rsidRDefault="008E589A" w:rsidP="008E589A">
      <w:pPr>
        <w:pStyle w:val="TextoNormalSangraFrancesa"/>
        <w:rPr>
          <w:rStyle w:val="TextoNormalCaracter"/>
        </w:rPr>
      </w:pPr>
      <w:bookmarkStart w:id="862" w:name="DESCRIPTORALFABETICO369"/>
      <w:r w:rsidRPr="008E589A">
        <w:rPr>
          <w:rStyle w:val="TextoNormalNegritaCaracter"/>
        </w:rPr>
        <w:t>Fundamentación de la infracción legal</w:t>
      </w:r>
      <w:bookmarkEnd w:id="862"/>
      <w:r w:rsidRPr="008E589A">
        <w:rPr>
          <w:rStyle w:val="TextoNormalCaracter"/>
        </w:rPr>
        <w:t xml:space="preserve">, Sentencia </w:t>
      </w:r>
      <w:hyperlink w:anchor="SENTENCIA_1997_132" w:history="1">
        <w:r w:rsidRPr="008E589A">
          <w:rPr>
            <w:rStyle w:val="TextoNormalCaracter"/>
          </w:rPr>
          <w:t>132/1997</w:t>
        </w:r>
      </w:hyperlink>
      <w:r w:rsidRPr="008E589A">
        <w:rPr>
          <w:rStyle w:val="TextoNormalCaracter"/>
        </w:rPr>
        <w:t>, f. 4, VP.</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G</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NegritaCaracter"/>
        </w:rPr>
      </w:pPr>
      <w:r w:rsidRPr="008E589A">
        <w:rPr>
          <w:rStyle w:val="TextoNormalCursivaCaracter"/>
        </w:rPr>
        <w:t>Garantía indemnizatoria</w:t>
      </w:r>
      <w:r>
        <w:t xml:space="preserve"> véase </w:t>
      </w:r>
      <w:hyperlink w:anchor="DESCRIPTORALFABETICO272" w:history="1">
        <w:r w:rsidRPr="008E589A">
          <w:rPr>
            <w:rStyle w:val="TextoNormalNegritaCaracter"/>
          </w:rPr>
          <w:t>Indemnización</w:t>
        </w:r>
      </w:hyperlink>
    </w:p>
    <w:p w:rsidR="008E589A" w:rsidRPr="008E589A" w:rsidRDefault="008E589A" w:rsidP="008E589A">
      <w:pPr>
        <w:pStyle w:val="TextoNormalSangraFrancesa"/>
        <w:rPr>
          <w:rStyle w:val="TextoNormalCaracter"/>
        </w:rPr>
      </w:pPr>
      <w:bookmarkStart w:id="863" w:name="DESCRIPTORALFABETICO194"/>
      <w:r w:rsidRPr="008E589A">
        <w:rPr>
          <w:rStyle w:val="TextoNormalNegritaCaracter"/>
        </w:rPr>
        <w:t>Garantías constitucionales</w:t>
      </w:r>
      <w:bookmarkEnd w:id="863"/>
      <w:r w:rsidRPr="008E589A">
        <w:rPr>
          <w:rStyle w:val="TextoNormalCaracter"/>
        </w:rPr>
        <w:t xml:space="preserve">, Auto </w:t>
      </w:r>
      <w:hyperlink w:anchor="AUTO_1997_267" w:history="1">
        <w:r w:rsidRPr="008E589A">
          <w:rPr>
            <w:rStyle w:val="TextoNormalCaracter"/>
          </w:rPr>
          <w:t>267/1997</w:t>
        </w:r>
      </w:hyperlink>
      <w:r w:rsidRPr="008E589A">
        <w:rPr>
          <w:rStyle w:val="TextoNormalCaracter"/>
        </w:rPr>
        <w:t>.</w:t>
      </w:r>
    </w:p>
    <w:p w:rsidR="008E589A" w:rsidRPr="008E589A" w:rsidRDefault="008E589A" w:rsidP="008E589A">
      <w:pPr>
        <w:pStyle w:val="TextoNormalSangraFrancesa"/>
        <w:rPr>
          <w:rStyle w:val="TextoNormalCaracter"/>
        </w:rPr>
      </w:pPr>
      <w:bookmarkStart w:id="864" w:name="DESCRIPTORALFABETICO387"/>
      <w:r w:rsidRPr="008E589A">
        <w:rPr>
          <w:rStyle w:val="TextoNormalNegritaCaracter"/>
        </w:rPr>
        <w:t>Garantías en el procedimiento de adopción</w:t>
      </w:r>
      <w:bookmarkEnd w:id="864"/>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ff. 3, 6.</w:t>
      </w:r>
    </w:p>
    <w:p w:rsidR="008E589A" w:rsidRPr="008E589A" w:rsidRDefault="008E589A" w:rsidP="008E589A">
      <w:pPr>
        <w:pStyle w:val="TextoNormalSangraFrancesa"/>
        <w:rPr>
          <w:rStyle w:val="TextoNormalCaracter"/>
        </w:rPr>
      </w:pPr>
      <w:bookmarkStart w:id="865" w:name="DESCRIPTORALFABETICO410"/>
      <w:r w:rsidRPr="008E589A">
        <w:rPr>
          <w:rStyle w:val="TextoNormalNegritaCaracter"/>
        </w:rPr>
        <w:t>Garantías en procedimiento de extradición</w:t>
      </w:r>
      <w:bookmarkEnd w:id="865"/>
      <w:r w:rsidRPr="008E589A">
        <w:rPr>
          <w:rStyle w:val="TextoNormalCaracter"/>
        </w:rPr>
        <w:t xml:space="preserve">, Sentencia </w:t>
      </w:r>
      <w:hyperlink w:anchor="SENTENCIA_1997_102" w:history="1">
        <w:r w:rsidRPr="008E589A">
          <w:rPr>
            <w:rStyle w:val="TextoNormalCaracter"/>
          </w:rPr>
          <w:t>102/1997</w:t>
        </w:r>
      </w:hyperlink>
      <w:r w:rsidRPr="008E589A">
        <w:rPr>
          <w:rStyle w:val="TextoNormalCaracter"/>
        </w:rPr>
        <w:t>, f. 6.</w:t>
      </w:r>
    </w:p>
    <w:p w:rsidR="008E589A" w:rsidRPr="008E589A" w:rsidRDefault="008E589A" w:rsidP="008E589A">
      <w:pPr>
        <w:pStyle w:val="TextoNormalSangraFrancesa"/>
        <w:rPr>
          <w:rStyle w:val="TextoNormalNegritaCaracter"/>
        </w:rPr>
      </w:pPr>
      <w:r w:rsidRPr="008E589A">
        <w:rPr>
          <w:rStyle w:val="TextoNormalCursivaCaracter"/>
        </w:rPr>
        <w:t>Garantías jurisdiccionales</w:t>
      </w:r>
      <w:r>
        <w:t xml:space="preserve"> véase </w:t>
      </w:r>
      <w:hyperlink w:anchor="DESCRIPTORALFABETICO80" w:history="1">
        <w:r w:rsidRPr="008E589A">
          <w:rPr>
            <w:rStyle w:val="TextoNormalNegritaCaracter"/>
          </w:rPr>
          <w:t>Garantías procesales</w:t>
        </w:r>
      </w:hyperlink>
    </w:p>
    <w:p w:rsidR="008E589A" w:rsidRPr="008E589A" w:rsidRDefault="008E589A" w:rsidP="008E589A">
      <w:pPr>
        <w:pStyle w:val="TextoNormalSangraFrancesa"/>
        <w:rPr>
          <w:rStyle w:val="TextoNormalCaracter"/>
        </w:rPr>
      </w:pPr>
      <w:bookmarkStart w:id="866" w:name="DESCRIPTORALFABETICO80"/>
      <w:r w:rsidRPr="008E589A">
        <w:rPr>
          <w:rStyle w:val="TextoNormalNegritaCaracter"/>
        </w:rPr>
        <w:t>Garantías procesales</w:t>
      </w:r>
      <w:bookmarkEnd w:id="866"/>
      <w:r w:rsidRPr="008E589A">
        <w:rPr>
          <w:rStyle w:val="TextoNormalCaracter"/>
        </w:rPr>
        <w:t xml:space="preserve">, Sentencias </w:t>
      </w:r>
      <w:hyperlink w:anchor="SENTENCIA_1997_108" w:history="1">
        <w:r w:rsidRPr="008E589A">
          <w:rPr>
            <w:rStyle w:val="TextoNormalCaracter"/>
          </w:rPr>
          <w:t>108/1997</w:t>
        </w:r>
      </w:hyperlink>
      <w:r w:rsidRPr="008E589A">
        <w:rPr>
          <w:rStyle w:val="TextoNormalCaracter"/>
        </w:rPr>
        <w:t xml:space="preserve">, ff. 2, 3; </w:t>
      </w:r>
      <w:hyperlink w:anchor="SENTENCIA_1997_135" w:history="1">
        <w:r w:rsidRPr="008E589A">
          <w:rPr>
            <w:rStyle w:val="TextoNormalCaracter"/>
          </w:rPr>
          <w:t>135/1997</w:t>
        </w:r>
      </w:hyperlink>
      <w:r w:rsidRPr="008E589A">
        <w:rPr>
          <w:rStyle w:val="TextoNormalCaracter"/>
        </w:rPr>
        <w:t>, f. 4.</w:t>
      </w:r>
    </w:p>
    <w:p w:rsidR="008E589A" w:rsidRPr="008E589A" w:rsidRDefault="008E589A" w:rsidP="008E589A">
      <w:pPr>
        <w:pStyle w:val="TextoNormalSangraFrancesa"/>
        <w:rPr>
          <w:rStyle w:val="TextoNormalCaracter"/>
        </w:rPr>
      </w:pPr>
      <w:bookmarkStart w:id="867" w:name="DESCRIPTORALFABETICO11"/>
      <w:r w:rsidRPr="008E589A">
        <w:rPr>
          <w:rStyle w:val="TextoNormalNegritaCaracter"/>
        </w:rPr>
        <w:t>Gasto público</w:t>
      </w:r>
      <w:bookmarkEnd w:id="867"/>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1.</w:t>
      </w:r>
    </w:p>
    <w:p w:rsidR="008E589A" w:rsidRPr="008E589A" w:rsidRDefault="008E589A" w:rsidP="008E589A">
      <w:pPr>
        <w:pStyle w:val="TextoNormalSangraFrancesa"/>
        <w:rPr>
          <w:rStyle w:val="TextoNormalCaracter"/>
        </w:rPr>
      </w:pPr>
      <w:bookmarkStart w:id="868" w:name="DESCRIPTORALFABETICO203"/>
      <w:r w:rsidRPr="008E589A">
        <w:rPr>
          <w:rStyle w:val="TextoNormalNegritaCaracter"/>
        </w:rPr>
        <w:t>Gestores administrativos</w:t>
      </w:r>
      <w:bookmarkEnd w:id="868"/>
      <w:r w:rsidRPr="008E589A">
        <w:rPr>
          <w:rStyle w:val="TextoNormalCaracter"/>
        </w:rPr>
        <w:t xml:space="preserve">, Sentencia </w:t>
      </w:r>
      <w:hyperlink w:anchor="SENTENCIA_1997_130" w:history="1">
        <w:r w:rsidRPr="008E589A">
          <w:rPr>
            <w:rStyle w:val="TextoNormalCaracter"/>
          </w:rPr>
          <w:t>130/1997</w:t>
        </w:r>
      </w:hyperlink>
      <w:r w:rsidRPr="008E589A">
        <w:rPr>
          <w:rStyle w:val="TextoNormalCaracter"/>
        </w:rPr>
        <w:t>, ff. 1, 2, 3, 4, 5.</w:t>
      </w:r>
    </w:p>
    <w:p w:rsidR="008E589A" w:rsidRPr="008E589A" w:rsidRDefault="008E589A" w:rsidP="008E589A">
      <w:pPr>
        <w:pStyle w:val="TextoNormalSangraFrancesa"/>
        <w:rPr>
          <w:rStyle w:val="TextoNormalCaracter"/>
        </w:rPr>
      </w:pPr>
      <w:r w:rsidRPr="008E589A">
        <w:rPr>
          <w:rStyle w:val="TextoNormalCursivaCaracter"/>
        </w:rPr>
        <w:t xml:space="preserve">    Régimen jurídico, </w:t>
      </w:r>
      <w:r w:rsidRPr="008E589A">
        <w:rPr>
          <w:rStyle w:val="TextoNormalCaracter"/>
        </w:rPr>
        <w:t xml:space="preserve">Sentencia </w:t>
      </w:r>
      <w:hyperlink w:anchor="SENTENCIA_1997_130" w:history="1">
        <w:r w:rsidRPr="008E589A">
          <w:rPr>
            <w:rStyle w:val="TextoNormalCaracter"/>
          </w:rPr>
          <w:t>130/1997</w:t>
        </w:r>
      </w:hyperlink>
      <w:r w:rsidRPr="008E589A">
        <w:rPr>
          <w:rStyle w:val="TextoNormalCaracter"/>
        </w:rPr>
        <w:t>, f. 3.</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H</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869" w:name="DESCRIPTORALFABETICO337"/>
      <w:r w:rsidRPr="008E589A">
        <w:rPr>
          <w:rStyle w:val="TextoNormalNegritaCaracter"/>
        </w:rPr>
        <w:t>Hechos probados en otro orden jurisdiccional</w:t>
      </w:r>
      <w:bookmarkEnd w:id="869"/>
      <w:r w:rsidRPr="008E589A">
        <w:rPr>
          <w:rStyle w:val="TextoNormalCaracter"/>
        </w:rPr>
        <w:t xml:space="preserve">, Sentencia </w:t>
      </w:r>
      <w:hyperlink w:anchor="SENTENCIA_1997_89" w:history="1">
        <w:r w:rsidRPr="008E589A">
          <w:rPr>
            <w:rStyle w:val="TextoNormalCaracter"/>
          </w:rPr>
          <w:t>89/1997</w:t>
        </w:r>
      </w:hyperlink>
      <w:r w:rsidRPr="008E589A">
        <w:rPr>
          <w:rStyle w:val="TextoNormalCaracter"/>
        </w:rPr>
        <w:t>, f. 4.</w:t>
      </w:r>
    </w:p>
    <w:p w:rsidR="008E589A" w:rsidRPr="008E589A" w:rsidRDefault="008E589A" w:rsidP="008E589A">
      <w:pPr>
        <w:pStyle w:val="TextoNormalSangraFrancesa"/>
        <w:rPr>
          <w:rStyle w:val="TextoNormalCaracter"/>
        </w:rPr>
      </w:pPr>
      <w:bookmarkStart w:id="870" w:name="DESCRIPTORALFABETICO209"/>
      <w:r w:rsidRPr="008E589A">
        <w:rPr>
          <w:rStyle w:val="TextoNormalNegritaCaracter"/>
        </w:rPr>
        <w:t>Herederos</w:t>
      </w:r>
      <w:bookmarkEnd w:id="870"/>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1.</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I</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871" w:name="DESCRIPTORALFABETICO120"/>
      <w:r w:rsidRPr="008E589A">
        <w:rPr>
          <w:rStyle w:val="TextoNormalNegritaCaracter"/>
        </w:rPr>
        <w:t>Identificación de los preceptos constitucionales</w:t>
      </w:r>
      <w:bookmarkEnd w:id="871"/>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4.</w:t>
      </w:r>
    </w:p>
    <w:p w:rsidR="008E589A" w:rsidRPr="008E589A" w:rsidRDefault="008E589A" w:rsidP="008E589A">
      <w:pPr>
        <w:pStyle w:val="TextoNormalSangraFrancesa"/>
        <w:rPr>
          <w:rStyle w:val="TextoNormalCaracter"/>
        </w:rPr>
      </w:pPr>
      <w:bookmarkStart w:id="872" w:name="DESCRIPTORALFABETICO25"/>
      <w:r w:rsidRPr="008E589A">
        <w:rPr>
          <w:rStyle w:val="TextoNormalNegritaCaracter"/>
        </w:rPr>
        <w:t>Igualdad en el acceso a la función pública</w:t>
      </w:r>
      <w:bookmarkEnd w:id="872"/>
      <w:r w:rsidRPr="008E589A">
        <w:rPr>
          <w:rStyle w:val="TextoNormalCaracter"/>
        </w:rPr>
        <w:t xml:space="preserve">, Sentencia </w:t>
      </w:r>
      <w:hyperlink w:anchor="SENTENCIA_1997_96" w:history="1">
        <w:r w:rsidRPr="008E589A">
          <w:rPr>
            <w:rStyle w:val="TextoNormalCaracter"/>
          </w:rPr>
          <w:t>96/1997</w:t>
        </w:r>
      </w:hyperlink>
      <w:r w:rsidRPr="008E589A">
        <w:rPr>
          <w:rStyle w:val="TextoNormalCaracter"/>
        </w:rPr>
        <w:t>, f. 3.</w:t>
      </w:r>
    </w:p>
    <w:p w:rsidR="008E589A" w:rsidRPr="008E589A" w:rsidRDefault="008E589A" w:rsidP="008E589A">
      <w:pPr>
        <w:pStyle w:val="TextoNormalSangraFrancesa"/>
        <w:rPr>
          <w:rStyle w:val="TextoNormalCaracter"/>
        </w:rPr>
      </w:pPr>
      <w:bookmarkStart w:id="873" w:name="DESCRIPTORALFABETICO33"/>
      <w:r w:rsidRPr="008E589A">
        <w:rPr>
          <w:rStyle w:val="TextoNormalNegritaCaracter"/>
        </w:rPr>
        <w:t>Igualdad en la aplicación de la ley</w:t>
      </w:r>
      <w:bookmarkEnd w:id="873"/>
      <w:r w:rsidRPr="008E589A">
        <w:rPr>
          <w:rStyle w:val="TextoNormalCaracter"/>
        </w:rPr>
        <w:t xml:space="preserve">, Sentencias </w:t>
      </w:r>
      <w:hyperlink w:anchor="SENTENCIA_1997_96" w:history="1">
        <w:r w:rsidRPr="008E589A">
          <w:rPr>
            <w:rStyle w:val="TextoNormalCaracter"/>
          </w:rPr>
          <w:t>96/1997</w:t>
        </w:r>
      </w:hyperlink>
      <w:r w:rsidRPr="008E589A">
        <w:rPr>
          <w:rStyle w:val="TextoNormalCaracter"/>
        </w:rPr>
        <w:t xml:space="preserve">, f. 3; </w:t>
      </w:r>
      <w:hyperlink w:anchor="SENTENCIA_1997_132" w:history="1">
        <w:r w:rsidRPr="008E589A">
          <w:rPr>
            <w:rStyle w:val="TextoNormalCaracter"/>
          </w:rPr>
          <w:t>132/1997</w:t>
        </w:r>
      </w:hyperlink>
      <w:r w:rsidRPr="008E589A">
        <w:rPr>
          <w:rStyle w:val="TextoNormalCaracter"/>
        </w:rPr>
        <w:t>, ff. 7, 8.</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Auto </w:t>
      </w:r>
      <w:hyperlink w:anchor="AUTO_1997_221" w:history="1">
        <w:r w:rsidRPr="008E589A">
          <w:rPr>
            <w:rStyle w:val="TextoNormalCaracter"/>
          </w:rPr>
          <w:t>221/1997</w:t>
        </w:r>
      </w:hyperlink>
      <w:r w:rsidRPr="008E589A">
        <w:rPr>
          <w:rStyle w:val="TextoNormalCaracter"/>
        </w:rPr>
        <w:t>.</w:t>
      </w:r>
    </w:p>
    <w:p w:rsidR="008E589A" w:rsidRPr="008E589A" w:rsidRDefault="008E589A" w:rsidP="008E589A">
      <w:pPr>
        <w:pStyle w:val="TextoNormalSangraFrancesa"/>
        <w:rPr>
          <w:rStyle w:val="TextoNormalCaracter"/>
        </w:rPr>
      </w:pPr>
      <w:bookmarkStart w:id="874" w:name="DESCRIPTORALFABETICO164"/>
      <w:r w:rsidRPr="008E589A">
        <w:rPr>
          <w:rStyle w:val="TextoNormalNegritaCaracter"/>
        </w:rPr>
        <w:t>Imparcialidad objetiva</w:t>
      </w:r>
      <w:bookmarkEnd w:id="874"/>
      <w:r w:rsidRPr="008E589A">
        <w:rPr>
          <w:rStyle w:val="TextoNormalCaracter"/>
        </w:rPr>
        <w:t xml:space="preserve">, Sentencia </w:t>
      </w:r>
      <w:hyperlink w:anchor="SENTENCIA_1997_98" w:history="1">
        <w:r w:rsidRPr="008E589A">
          <w:rPr>
            <w:rStyle w:val="TextoNormalCaracter"/>
          </w:rPr>
          <w:t>98/1997</w:t>
        </w:r>
      </w:hyperlink>
      <w:r w:rsidRPr="008E589A">
        <w:rPr>
          <w:rStyle w:val="TextoNormalCaracter"/>
        </w:rPr>
        <w:t>, f. 5.</w:t>
      </w:r>
    </w:p>
    <w:p w:rsidR="008E589A" w:rsidRPr="008E589A" w:rsidRDefault="008E589A" w:rsidP="008E589A">
      <w:pPr>
        <w:pStyle w:val="TextoNormalSangraFrancesa"/>
        <w:rPr>
          <w:rStyle w:val="TextoNormalCaracter"/>
        </w:rPr>
      </w:pPr>
      <w:bookmarkStart w:id="875" w:name="DESCRIPTORALFABETICO21"/>
      <w:r w:rsidRPr="008E589A">
        <w:rPr>
          <w:rStyle w:val="TextoNormalNegritaCaracter"/>
        </w:rPr>
        <w:t>Impuesto sobre el patrimonio</w:t>
      </w:r>
      <w:bookmarkEnd w:id="875"/>
      <w:r w:rsidRPr="008E589A">
        <w:rPr>
          <w:rStyle w:val="TextoNormalCaracter"/>
        </w:rPr>
        <w:t xml:space="preserve">, Sentencias </w:t>
      </w:r>
      <w:hyperlink w:anchor="SENTENCIA_1997_117" w:history="1">
        <w:r w:rsidRPr="008E589A">
          <w:rPr>
            <w:rStyle w:val="TextoNormalCaracter"/>
          </w:rPr>
          <w:t>117/1997</w:t>
        </w:r>
      </w:hyperlink>
      <w:r w:rsidRPr="008E589A">
        <w:rPr>
          <w:rStyle w:val="TextoNormalCaracter"/>
        </w:rPr>
        <w:t xml:space="preserve">, f. 3; </w:t>
      </w:r>
      <w:hyperlink w:anchor="SENTENCIA_1997_129" w:history="1">
        <w:r w:rsidRPr="008E589A">
          <w:rPr>
            <w:rStyle w:val="TextoNormalCaracter"/>
          </w:rPr>
          <w:t>129/1997</w:t>
        </w:r>
      </w:hyperlink>
      <w:r w:rsidRPr="008E589A">
        <w:rPr>
          <w:rStyle w:val="TextoNormalCaracter"/>
        </w:rPr>
        <w:t>, f. 3.</w:t>
      </w:r>
    </w:p>
    <w:p w:rsidR="008E589A" w:rsidRPr="008E589A" w:rsidRDefault="008E589A" w:rsidP="008E589A">
      <w:pPr>
        <w:pStyle w:val="TextoNormalSangraFrancesa"/>
        <w:rPr>
          <w:rStyle w:val="TextoNormalCaracter"/>
        </w:rPr>
      </w:pPr>
      <w:bookmarkStart w:id="876" w:name="DESCRIPTORALFABETICO20"/>
      <w:r w:rsidRPr="008E589A">
        <w:rPr>
          <w:rStyle w:val="TextoNormalNegritaCaracter"/>
        </w:rPr>
        <w:t>Impuestos</w:t>
      </w:r>
      <w:bookmarkEnd w:id="876"/>
      <w:r w:rsidRPr="008E589A">
        <w:rPr>
          <w:rStyle w:val="TextoNormalCaracter"/>
        </w:rPr>
        <w:t xml:space="preserve">, Sentencia </w:t>
      </w:r>
      <w:hyperlink w:anchor="SENTENCIA_1997_91" w:history="1">
        <w:r w:rsidRPr="008E589A">
          <w:rPr>
            <w:rStyle w:val="TextoNormalCaracter"/>
          </w:rPr>
          <w:t>91/1997</w:t>
        </w:r>
      </w:hyperlink>
      <w:r w:rsidRPr="008E589A">
        <w:rPr>
          <w:rStyle w:val="TextoNormalCaracter"/>
        </w:rPr>
        <w:t>, f. único.</w:t>
      </w:r>
    </w:p>
    <w:p w:rsidR="008E589A" w:rsidRPr="008E589A" w:rsidRDefault="008E589A" w:rsidP="008E589A">
      <w:pPr>
        <w:pStyle w:val="TextoNormalSangraFrancesa"/>
        <w:rPr>
          <w:rStyle w:val="TextoNormalCaracter"/>
        </w:rPr>
      </w:pPr>
      <w:bookmarkStart w:id="877" w:name="DESCRIPTORALFABETICO350"/>
      <w:r w:rsidRPr="008E589A">
        <w:rPr>
          <w:rStyle w:val="TextoNormalNegritaCaracter"/>
        </w:rPr>
        <w:t>Impugnación de la denegación de justicia gratuita</w:t>
      </w:r>
      <w:bookmarkEnd w:id="877"/>
      <w:r w:rsidRPr="008E589A">
        <w:rPr>
          <w:rStyle w:val="TextoNormalCaracter"/>
        </w:rPr>
        <w:t xml:space="preserve">, Autos </w:t>
      </w:r>
      <w:hyperlink w:anchor="AUTO_1997_138" w:history="1">
        <w:r w:rsidRPr="008E589A">
          <w:rPr>
            <w:rStyle w:val="TextoNormalCaracter"/>
          </w:rPr>
          <w:t>138/1997</w:t>
        </w:r>
      </w:hyperlink>
      <w:r w:rsidRPr="008E589A">
        <w:rPr>
          <w:rStyle w:val="TextoNormalCaracter"/>
        </w:rPr>
        <w:t xml:space="preserve">; </w:t>
      </w:r>
      <w:hyperlink w:anchor="AUTO_1997_204" w:history="1">
        <w:r w:rsidRPr="008E589A">
          <w:rPr>
            <w:rStyle w:val="TextoNormalCaracter"/>
          </w:rPr>
          <w:t>204/1997</w:t>
        </w:r>
      </w:hyperlink>
      <w:r w:rsidRPr="008E589A">
        <w:rPr>
          <w:rStyle w:val="TextoNormalCaracter"/>
        </w:rPr>
        <w:t>.</w:t>
      </w:r>
    </w:p>
    <w:p w:rsidR="008E589A" w:rsidRPr="008E589A" w:rsidRDefault="008E589A" w:rsidP="008E589A">
      <w:pPr>
        <w:pStyle w:val="TextoNormalSangraFrancesa"/>
        <w:rPr>
          <w:rStyle w:val="TextoNormalCaracter"/>
        </w:rPr>
      </w:pPr>
      <w:bookmarkStart w:id="878" w:name="DESCRIPTORALFABETICO381"/>
      <w:r w:rsidRPr="008E589A">
        <w:rPr>
          <w:rStyle w:val="TextoNormalNegritaCaracter"/>
        </w:rPr>
        <w:t xml:space="preserve">Impugnación de sentencia declarativa pronunciada </w:t>
      </w:r>
      <w:r w:rsidRPr="008E589A">
        <w:rPr>
          <w:rStyle w:val="TextoNormalNegritaCaracter"/>
          <w:i/>
        </w:rPr>
        <w:t>inaudita parte</w:t>
      </w:r>
      <w:bookmarkEnd w:id="878"/>
      <w:r w:rsidRPr="008E589A">
        <w:rPr>
          <w:rStyle w:val="TextoNormalCaracter"/>
        </w:rPr>
        <w:t xml:space="preserve">, Sentencia </w:t>
      </w:r>
      <w:hyperlink w:anchor="SENTENCIA_1997_118" w:history="1">
        <w:r w:rsidRPr="008E589A">
          <w:rPr>
            <w:rStyle w:val="TextoNormalCaracter"/>
          </w:rPr>
          <w:t>118/1997</w:t>
        </w:r>
      </w:hyperlink>
      <w:r w:rsidRPr="008E589A">
        <w:rPr>
          <w:rStyle w:val="TextoNormalCaracter"/>
        </w:rPr>
        <w:t>, ff. 1, 2, 3, 4.</w:t>
      </w:r>
    </w:p>
    <w:p w:rsidR="008E589A" w:rsidRPr="008E589A" w:rsidRDefault="008E589A" w:rsidP="008E589A">
      <w:pPr>
        <w:pStyle w:val="TextoNormalSangraFrancesa"/>
        <w:rPr>
          <w:rStyle w:val="TextoNormalCaracter"/>
        </w:rPr>
      </w:pPr>
      <w:bookmarkStart w:id="879" w:name="DESCRIPTORALFABETICO140"/>
      <w:r w:rsidRPr="008E589A">
        <w:rPr>
          <w:rStyle w:val="TextoNormalNegritaCaracter"/>
        </w:rPr>
        <w:t>Impugnación indirecta de leyes</w:t>
      </w:r>
      <w:bookmarkEnd w:id="879"/>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 5.</w:t>
      </w:r>
    </w:p>
    <w:p w:rsidR="008E589A" w:rsidRPr="008E589A" w:rsidRDefault="008E589A" w:rsidP="008E589A">
      <w:pPr>
        <w:pStyle w:val="TextoNormalSangraFrancesa"/>
        <w:rPr>
          <w:rStyle w:val="TextoNormalNegritaCaracter"/>
        </w:rPr>
      </w:pPr>
      <w:r w:rsidRPr="008E589A">
        <w:rPr>
          <w:rStyle w:val="TextoNormalCursivaCaracter"/>
        </w:rPr>
        <w:t>Impugnación mediata de norma legal</w:t>
      </w:r>
      <w:r>
        <w:t xml:space="preserve"> véase </w:t>
      </w:r>
      <w:hyperlink w:anchor="DESCRIPTORALFABETICO140" w:history="1">
        <w:r w:rsidRPr="008E589A">
          <w:rPr>
            <w:rStyle w:val="TextoNormalNegritaCaracter"/>
          </w:rPr>
          <w:t>Impugnación indirecta de leyes</w:t>
        </w:r>
      </w:hyperlink>
    </w:p>
    <w:p w:rsidR="008E589A" w:rsidRPr="008E589A" w:rsidRDefault="008E589A" w:rsidP="008E589A">
      <w:pPr>
        <w:pStyle w:val="TextoNormalSangraFrancesa"/>
        <w:rPr>
          <w:rStyle w:val="TextoNormalCaracter"/>
        </w:rPr>
      </w:pPr>
      <w:bookmarkStart w:id="880" w:name="DESCRIPTORALFABETICO128"/>
      <w:r w:rsidRPr="008E589A">
        <w:rPr>
          <w:rStyle w:val="TextoNormalNegritaCaracter"/>
        </w:rPr>
        <w:t>Imputabilidad de la violación al órgano judicial</w:t>
      </w:r>
      <w:bookmarkEnd w:id="880"/>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 2.</w:t>
      </w:r>
    </w:p>
    <w:p w:rsidR="008E589A" w:rsidRPr="008E589A" w:rsidRDefault="008E589A" w:rsidP="008E589A">
      <w:pPr>
        <w:pStyle w:val="TextoNormalSangraFrancesa"/>
        <w:rPr>
          <w:rStyle w:val="TextoNormalCaracter"/>
        </w:rPr>
      </w:pPr>
      <w:bookmarkStart w:id="881" w:name="DESCRIPTORALFABETICO405"/>
      <w:r w:rsidRPr="008E589A">
        <w:rPr>
          <w:rStyle w:val="TextoNormalNegritaCaracter"/>
        </w:rPr>
        <w:t>Inadmisión de denuncia</w:t>
      </w:r>
      <w:bookmarkEnd w:id="881"/>
      <w:r w:rsidRPr="008E589A">
        <w:rPr>
          <w:rStyle w:val="TextoNormalCaracter"/>
        </w:rPr>
        <w:t xml:space="preserve">, Sentencia </w:t>
      </w:r>
      <w:hyperlink w:anchor="SENTENCIA_1997_120" w:history="1">
        <w:r w:rsidRPr="008E589A">
          <w:rPr>
            <w:rStyle w:val="TextoNormalCaracter"/>
          </w:rPr>
          <w:t>120/1997</w:t>
        </w:r>
      </w:hyperlink>
      <w:r w:rsidRPr="008E589A">
        <w:rPr>
          <w:rStyle w:val="TextoNormalCaracter"/>
        </w:rPr>
        <w:t>, f. 5.</w:t>
      </w:r>
    </w:p>
    <w:p w:rsidR="008E589A" w:rsidRPr="008E589A" w:rsidRDefault="008E589A" w:rsidP="008E589A">
      <w:pPr>
        <w:pStyle w:val="TextoNormalSangraFrancesa"/>
        <w:rPr>
          <w:rStyle w:val="TextoNormalCaracter"/>
        </w:rPr>
      </w:pPr>
      <w:bookmarkStart w:id="882" w:name="DESCRIPTORALFABETICO406"/>
      <w:r w:rsidRPr="008E589A">
        <w:rPr>
          <w:rStyle w:val="TextoNormalNegritaCaracter"/>
        </w:rPr>
        <w:t>Inadmisión de querella</w:t>
      </w:r>
      <w:bookmarkEnd w:id="882"/>
      <w:r w:rsidRPr="008E589A">
        <w:rPr>
          <w:rStyle w:val="TextoNormalCaracter"/>
        </w:rPr>
        <w:t xml:space="preserve">, Sentencia </w:t>
      </w:r>
      <w:hyperlink w:anchor="SENTENCIA_1997_116" w:history="1">
        <w:r w:rsidRPr="008E589A">
          <w:rPr>
            <w:rStyle w:val="TextoNormalCaracter"/>
          </w:rPr>
          <w:t>116/1997</w:t>
        </w:r>
      </w:hyperlink>
      <w:r w:rsidRPr="008E589A">
        <w:rPr>
          <w:rStyle w:val="TextoNormalCaracter"/>
        </w:rPr>
        <w:t>, ff. 1, 2, 3, 4, 5.</w:t>
      </w:r>
    </w:p>
    <w:p w:rsidR="008E589A" w:rsidRPr="008E589A" w:rsidRDefault="008E589A" w:rsidP="008E589A">
      <w:pPr>
        <w:pStyle w:val="TextoNormalSangraFrancesa"/>
        <w:rPr>
          <w:rStyle w:val="TextoNormalCaracter"/>
        </w:rPr>
      </w:pPr>
      <w:bookmarkStart w:id="883" w:name="DESCRIPTORALFABETICO388"/>
      <w:r w:rsidRPr="008E589A">
        <w:rPr>
          <w:rStyle w:val="TextoNormalNegritaCaracter"/>
        </w:rPr>
        <w:t>Inadmisión de recurso contencioso-administrativo</w:t>
      </w:r>
      <w:bookmarkEnd w:id="883"/>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2.</w:t>
      </w:r>
    </w:p>
    <w:p w:rsidR="008E589A" w:rsidRPr="008E589A" w:rsidRDefault="008E589A" w:rsidP="008E589A">
      <w:pPr>
        <w:pStyle w:val="TextoNormalSangraFrancesa"/>
        <w:rPr>
          <w:rStyle w:val="TextoNormalCaracter"/>
        </w:rPr>
      </w:pPr>
      <w:bookmarkStart w:id="884" w:name="DESCRIPTORALFABETICO389"/>
      <w:r w:rsidRPr="008E589A">
        <w:rPr>
          <w:rStyle w:val="TextoNormalNegritaCaracter"/>
        </w:rPr>
        <w:t>Inadmisión de recurso contencioso-disciplinario militar</w:t>
      </w:r>
      <w:bookmarkEnd w:id="884"/>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2.</w:t>
      </w:r>
    </w:p>
    <w:p w:rsidR="008E589A" w:rsidRPr="008E589A" w:rsidRDefault="008E589A" w:rsidP="008E589A">
      <w:pPr>
        <w:pStyle w:val="TextoNormalSangraFrancesa"/>
        <w:rPr>
          <w:rStyle w:val="TextoNormalCaracter"/>
        </w:rPr>
      </w:pPr>
      <w:bookmarkStart w:id="885" w:name="DESCRIPTORALFABETICO153"/>
      <w:r w:rsidRPr="008E589A">
        <w:rPr>
          <w:rStyle w:val="TextoNormalNegritaCaracter"/>
        </w:rPr>
        <w:t>Inadmisión de recurso de amparo</w:t>
      </w:r>
      <w:bookmarkEnd w:id="885"/>
      <w:r w:rsidRPr="008E589A">
        <w:rPr>
          <w:rStyle w:val="TextoNormalCaracter"/>
        </w:rPr>
        <w:t xml:space="preserve">, Sentencia </w:t>
      </w:r>
      <w:hyperlink w:anchor="SENTENCIA_1997_118" w:history="1">
        <w:r w:rsidRPr="008E589A">
          <w:rPr>
            <w:rStyle w:val="TextoNormalCaracter"/>
          </w:rPr>
          <w:t>118/1997</w:t>
        </w:r>
      </w:hyperlink>
      <w:r w:rsidRPr="008E589A">
        <w:rPr>
          <w:rStyle w:val="TextoNormalCaracter"/>
        </w:rPr>
        <w:t>, VP.</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130" w:history="1">
        <w:r w:rsidRPr="008E589A">
          <w:rPr>
            <w:rStyle w:val="TextoNormalCaracter"/>
          </w:rPr>
          <w:t>130/1997</w:t>
        </w:r>
      </w:hyperlink>
      <w:r w:rsidRPr="008E589A">
        <w:rPr>
          <w:rStyle w:val="TextoNormalCaracter"/>
        </w:rPr>
        <w:t xml:space="preserve">; </w:t>
      </w:r>
      <w:hyperlink w:anchor="AUTO_1997_135" w:history="1">
        <w:r w:rsidRPr="008E589A">
          <w:rPr>
            <w:rStyle w:val="TextoNormalCaracter"/>
          </w:rPr>
          <w:t>135/1997</w:t>
        </w:r>
      </w:hyperlink>
      <w:r w:rsidRPr="008E589A">
        <w:rPr>
          <w:rStyle w:val="TextoNormalCaracter"/>
        </w:rPr>
        <w:t xml:space="preserve">; </w:t>
      </w:r>
      <w:hyperlink w:anchor="AUTO_1997_147" w:history="1">
        <w:r w:rsidRPr="008E589A">
          <w:rPr>
            <w:rStyle w:val="TextoNormalCaracter"/>
          </w:rPr>
          <w:t>147/1997</w:t>
        </w:r>
      </w:hyperlink>
      <w:r w:rsidRPr="008E589A">
        <w:rPr>
          <w:rStyle w:val="TextoNormalCaracter"/>
        </w:rPr>
        <w:t xml:space="preserve">; </w:t>
      </w:r>
      <w:hyperlink w:anchor="AUTO_1997_154" w:history="1">
        <w:r w:rsidRPr="008E589A">
          <w:rPr>
            <w:rStyle w:val="TextoNormalCaracter"/>
          </w:rPr>
          <w:t>154/1997</w:t>
        </w:r>
      </w:hyperlink>
      <w:r w:rsidRPr="008E589A">
        <w:rPr>
          <w:rStyle w:val="TextoNormalCaracter"/>
        </w:rPr>
        <w:t xml:space="preserve">; </w:t>
      </w:r>
      <w:hyperlink w:anchor="AUTO_1997_157" w:history="1">
        <w:r w:rsidRPr="008E589A">
          <w:rPr>
            <w:rStyle w:val="TextoNormalCaracter"/>
          </w:rPr>
          <w:t>157/1997</w:t>
        </w:r>
      </w:hyperlink>
      <w:r w:rsidRPr="008E589A">
        <w:rPr>
          <w:rStyle w:val="TextoNormalCaracter"/>
        </w:rPr>
        <w:t xml:space="preserve">; </w:t>
      </w:r>
      <w:hyperlink w:anchor="AUTO_1997_174" w:history="1">
        <w:r w:rsidRPr="008E589A">
          <w:rPr>
            <w:rStyle w:val="TextoNormalCaracter"/>
          </w:rPr>
          <w:t>174/1997</w:t>
        </w:r>
      </w:hyperlink>
      <w:r w:rsidRPr="008E589A">
        <w:rPr>
          <w:rStyle w:val="TextoNormalCaracter"/>
        </w:rPr>
        <w:t xml:space="preserve">; </w:t>
      </w:r>
      <w:hyperlink w:anchor="AUTO_1997_175" w:history="1">
        <w:r w:rsidRPr="008E589A">
          <w:rPr>
            <w:rStyle w:val="TextoNormalCaracter"/>
          </w:rPr>
          <w:t>175/1997</w:t>
        </w:r>
      </w:hyperlink>
      <w:r w:rsidRPr="008E589A">
        <w:rPr>
          <w:rStyle w:val="TextoNormalCaracter"/>
        </w:rPr>
        <w:t xml:space="preserve">; </w:t>
      </w:r>
      <w:hyperlink w:anchor="AUTO_1997_182" w:history="1">
        <w:r w:rsidRPr="008E589A">
          <w:rPr>
            <w:rStyle w:val="TextoNormalCaracter"/>
          </w:rPr>
          <w:t>182/1997</w:t>
        </w:r>
      </w:hyperlink>
      <w:r w:rsidRPr="008E589A">
        <w:rPr>
          <w:rStyle w:val="TextoNormalCaracter"/>
        </w:rPr>
        <w:t xml:space="preserve">; </w:t>
      </w:r>
      <w:hyperlink w:anchor="AUTO_1997_191" w:history="1">
        <w:r w:rsidRPr="008E589A">
          <w:rPr>
            <w:rStyle w:val="TextoNormalCaracter"/>
          </w:rPr>
          <w:t>191/1997</w:t>
        </w:r>
      </w:hyperlink>
      <w:r w:rsidRPr="008E589A">
        <w:rPr>
          <w:rStyle w:val="TextoNormalCaracter"/>
        </w:rPr>
        <w:t xml:space="preserve">; </w:t>
      </w:r>
      <w:hyperlink w:anchor="AUTO_1997_195" w:history="1">
        <w:r w:rsidRPr="008E589A">
          <w:rPr>
            <w:rStyle w:val="TextoNormalCaracter"/>
          </w:rPr>
          <w:t>195/1997</w:t>
        </w:r>
      </w:hyperlink>
      <w:r w:rsidRPr="008E589A">
        <w:rPr>
          <w:rStyle w:val="TextoNormalCaracter"/>
        </w:rPr>
        <w:t xml:space="preserve">; </w:t>
      </w:r>
      <w:hyperlink w:anchor="AUTO_1997_207" w:history="1">
        <w:r w:rsidRPr="008E589A">
          <w:rPr>
            <w:rStyle w:val="TextoNormalCaracter"/>
          </w:rPr>
          <w:t>207/1997</w:t>
        </w:r>
      </w:hyperlink>
      <w:r w:rsidRPr="008E589A">
        <w:rPr>
          <w:rStyle w:val="TextoNormalCaracter"/>
        </w:rPr>
        <w:t xml:space="preserve">; </w:t>
      </w:r>
      <w:hyperlink w:anchor="AUTO_1997_208" w:history="1">
        <w:r w:rsidRPr="008E589A">
          <w:rPr>
            <w:rStyle w:val="TextoNormalCaracter"/>
          </w:rPr>
          <w:t>208/1997</w:t>
        </w:r>
      </w:hyperlink>
      <w:r w:rsidRPr="008E589A">
        <w:rPr>
          <w:rStyle w:val="TextoNormalCaracter"/>
        </w:rPr>
        <w:t xml:space="preserve">; </w:t>
      </w:r>
      <w:hyperlink w:anchor="AUTO_1997_238" w:history="1">
        <w:r w:rsidRPr="008E589A">
          <w:rPr>
            <w:rStyle w:val="TextoNormalCaracter"/>
          </w:rPr>
          <w:t>238/1997</w:t>
        </w:r>
      </w:hyperlink>
      <w:r w:rsidRPr="008E589A">
        <w:rPr>
          <w:rStyle w:val="TextoNormalCaracter"/>
        </w:rPr>
        <w:t xml:space="preserve">; </w:t>
      </w:r>
      <w:hyperlink w:anchor="AUTO_1997_254" w:history="1">
        <w:r w:rsidRPr="008E589A">
          <w:rPr>
            <w:rStyle w:val="TextoNormalCaracter"/>
          </w:rPr>
          <w:t>254/1997</w:t>
        </w:r>
      </w:hyperlink>
      <w:r w:rsidRPr="008E589A">
        <w:rPr>
          <w:rStyle w:val="TextoNormalCaracter"/>
        </w:rPr>
        <w:t xml:space="preserve">; </w:t>
      </w:r>
      <w:hyperlink w:anchor="AUTO_1997_267" w:history="1">
        <w:r w:rsidRPr="008E589A">
          <w:rPr>
            <w:rStyle w:val="TextoNormalCaracter"/>
          </w:rPr>
          <w:t>267/1997</w:t>
        </w:r>
      </w:hyperlink>
      <w:r w:rsidRPr="008E589A">
        <w:rPr>
          <w:rStyle w:val="TextoNormalCaracter"/>
        </w:rPr>
        <w:t xml:space="preserve">; </w:t>
      </w:r>
      <w:hyperlink w:anchor="AUTO_1997_275" w:history="1">
        <w:r w:rsidRPr="008E589A">
          <w:rPr>
            <w:rStyle w:val="TextoNormalCaracter"/>
          </w:rPr>
          <w:t>275/1997</w:t>
        </w:r>
      </w:hyperlink>
      <w:r w:rsidRPr="008E589A">
        <w:rPr>
          <w:rStyle w:val="TextoNormalCaracter"/>
        </w:rPr>
        <w:t xml:space="preserve">; </w:t>
      </w:r>
      <w:hyperlink w:anchor="AUTO_1997_277" w:history="1">
        <w:r w:rsidRPr="008E589A">
          <w:rPr>
            <w:rStyle w:val="TextoNormalCaracter"/>
          </w:rPr>
          <w:t>277/1997</w:t>
        </w:r>
      </w:hyperlink>
      <w:r w:rsidRPr="008E589A">
        <w:rPr>
          <w:rStyle w:val="TextoNormalCaracter"/>
        </w:rPr>
        <w:t xml:space="preserve">;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886" w:name="DESCRIPTORALFABETICO363"/>
      <w:r w:rsidRPr="008E589A">
        <w:rPr>
          <w:rStyle w:val="TextoNormalNegritaCaracter"/>
        </w:rPr>
        <w:t>Inadmisión de recurso de apelación</w:t>
      </w:r>
      <w:bookmarkEnd w:id="886"/>
      <w:r w:rsidRPr="008E589A">
        <w:rPr>
          <w:rStyle w:val="TextoNormalCaracter"/>
        </w:rPr>
        <w:t xml:space="preserve">, Sentencias </w:t>
      </w:r>
      <w:hyperlink w:anchor="SENTENCIA_1997_88" w:history="1">
        <w:r w:rsidRPr="008E589A">
          <w:rPr>
            <w:rStyle w:val="TextoNormalCaracter"/>
          </w:rPr>
          <w:t>88/1997</w:t>
        </w:r>
      </w:hyperlink>
      <w:r w:rsidRPr="008E589A">
        <w:rPr>
          <w:rStyle w:val="TextoNormalCaracter"/>
        </w:rPr>
        <w:t xml:space="preserve">, ff. 1, 2, 3, 4; </w:t>
      </w:r>
      <w:hyperlink w:anchor="SENTENCIA_1997_101" w:history="1">
        <w:r w:rsidRPr="008E589A">
          <w:rPr>
            <w:rStyle w:val="TextoNormalCaracter"/>
          </w:rPr>
          <w:t>101/1997</w:t>
        </w:r>
      </w:hyperlink>
      <w:r w:rsidRPr="008E589A">
        <w:rPr>
          <w:rStyle w:val="TextoNormalCaracter"/>
        </w:rPr>
        <w:t xml:space="preserve">, ff. 1, 2, 3, 4, 5, 6; </w:t>
      </w:r>
      <w:hyperlink w:anchor="SENTENCIA_1997_135" w:history="1">
        <w:r w:rsidRPr="008E589A">
          <w:rPr>
            <w:rStyle w:val="TextoNormalCaracter"/>
          </w:rPr>
          <w:t>135/1997</w:t>
        </w:r>
      </w:hyperlink>
      <w:r w:rsidRPr="008E589A">
        <w:rPr>
          <w:rStyle w:val="TextoNormalCaracter"/>
        </w:rPr>
        <w:t>, ff. 3, 4, 6.</w:t>
      </w:r>
    </w:p>
    <w:p w:rsidR="008E589A" w:rsidRPr="008E589A" w:rsidRDefault="008E589A" w:rsidP="008E589A">
      <w:pPr>
        <w:pStyle w:val="TextoNormalSangraFrancesa"/>
        <w:rPr>
          <w:rStyle w:val="TextoNormalCaracter"/>
        </w:rPr>
      </w:pPr>
      <w:bookmarkStart w:id="887" w:name="DESCRIPTORALFABETICO367"/>
      <w:r w:rsidRPr="008E589A">
        <w:rPr>
          <w:rStyle w:val="TextoNormalNegritaCaracter"/>
        </w:rPr>
        <w:t>Inadmisión de recurso de casación</w:t>
      </w:r>
      <w:bookmarkEnd w:id="887"/>
      <w:r w:rsidRPr="008E589A">
        <w:rPr>
          <w:rStyle w:val="TextoNormalCaracter"/>
        </w:rPr>
        <w:t xml:space="preserve">, Sentencia </w:t>
      </w:r>
      <w:hyperlink w:anchor="SENTENCIA_1997_125" w:history="1">
        <w:r w:rsidRPr="008E589A">
          <w:rPr>
            <w:rStyle w:val="TextoNormalCaracter"/>
          </w:rPr>
          <w:t>125/1997</w:t>
        </w:r>
      </w:hyperlink>
      <w:r w:rsidRPr="008E589A">
        <w:rPr>
          <w:rStyle w:val="TextoNormalCaracter"/>
        </w:rPr>
        <w:t>, ff. 1, 2, 3, 4, 5, 6, VP I, VP II.</w:t>
      </w:r>
    </w:p>
    <w:p w:rsidR="008E589A" w:rsidRPr="008E589A" w:rsidRDefault="008E589A" w:rsidP="008E589A">
      <w:pPr>
        <w:pStyle w:val="TextoNormalSangraFrancesa"/>
        <w:rPr>
          <w:rStyle w:val="TextoNormalCaracter"/>
        </w:rPr>
      </w:pPr>
      <w:bookmarkStart w:id="888" w:name="DESCRIPTORALFABETICO396"/>
      <w:r w:rsidRPr="008E589A">
        <w:rPr>
          <w:rStyle w:val="TextoNormalNegritaCaracter"/>
        </w:rPr>
        <w:t>Inadmisión de recurso de casación contencioso-administrativo</w:t>
      </w:r>
      <w:bookmarkEnd w:id="888"/>
      <w:r w:rsidRPr="008E589A">
        <w:rPr>
          <w:rStyle w:val="TextoNormalCaracter"/>
        </w:rPr>
        <w:t xml:space="preserve">, Sentencia </w:t>
      </w:r>
      <w:hyperlink w:anchor="SENTENCIA_1997_125" w:history="1">
        <w:r w:rsidRPr="008E589A">
          <w:rPr>
            <w:rStyle w:val="TextoNormalCaracter"/>
          </w:rPr>
          <w:t>125/1997</w:t>
        </w:r>
      </w:hyperlink>
      <w:r w:rsidRPr="008E589A">
        <w:rPr>
          <w:rStyle w:val="TextoNormalCaracter"/>
        </w:rPr>
        <w:t>, f. 5, VP II.</w:t>
      </w:r>
    </w:p>
    <w:p w:rsidR="008E589A" w:rsidRPr="008E589A" w:rsidRDefault="008E589A" w:rsidP="008E589A">
      <w:pPr>
        <w:pStyle w:val="TextoNormalSangraFrancesa"/>
        <w:rPr>
          <w:rStyle w:val="TextoNormalCaracter"/>
        </w:rPr>
      </w:pPr>
      <w:bookmarkStart w:id="889" w:name="DESCRIPTORALFABETICO370"/>
      <w:r w:rsidRPr="008E589A">
        <w:rPr>
          <w:rStyle w:val="TextoNormalNegritaCaracter"/>
        </w:rPr>
        <w:t>Inadmisión de recurso de casación para la unificación de doctrina</w:t>
      </w:r>
      <w:bookmarkEnd w:id="889"/>
      <w:r w:rsidRPr="008E589A">
        <w:rPr>
          <w:rStyle w:val="TextoNormalCaracter"/>
        </w:rPr>
        <w:t xml:space="preserve">, Sentencia </w:t>
      </w:r>
      <w:hyperlink w:anchor="SENTENCIA_1997_132" w:history="1">
        <w:r w:rsidRPr="008E589A">
          <w:rPr>
            <w:rStyle w:val="TextoNormalCaracter"/>
          </w:rPr>
          <w:t>132/1997</w:t>
        </w:r>
      </w:hyperlink>
      <w:r w:rsidRPr="008E589A">
        <w:rPr>
          <w:rStyle w:val="TextoNormalCaracter"/>
        </w:rPr>
        <w:t>, ff. 1, 2, 3, 4, 5, 6, 7, 8, 9.</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34" w:history="1">
        <w:r w:rsidRPr="008E589A">
          <w:rPr>
            <w:rStyle w:val="TextoNormalCaracter"/>
          </w:rPr>
          <w:t>134/1997</w:t>
        </w:r>
      </w:hyperlink>
      <w:r w:rsidRPr="008E589A">
        <w:rPr>
          <w:rStyle w:val="TextoNormalCaracter"/>
        </w:rPr>
        <w:t>.</w:t>
      </w:r>
    </w:p>
    <w:p w:rsidR="008E589A" w:rsidRPr="008E589A" w:rsidRDefault="008E589A" w:rsidP="008E589A">
      <w:pPr>
        <w:pStyle w:val="TextoNormalSangraFrancesa"/>
        <w:rPr>
          <w:rStyle w:val="TextoNormalCaracter"/>
        </w:rPr>
      </w:pPr>
      <w:bookmarkStart w:id="890" w:name="DESCRIPTORALFABETICO374"/>
      <w:r w:rsidRPr="008E589A">
        <w:rPr>
          <w:rStyle w:val="TextoNormalNegritaCaracter"/>
        </w:rPr>
        <w:t>Inadmisión de recurso de reposición</w:t>
      </w:r>
      <w:bookmarkEnd w:id="890"/>
      <w:r w:rsidRPr="008E589A">
        <w:rPr>
          <w:rStyle w:val="TextoNormalCaracter"/>
        </w:rPr>
        <w:t xml:space="preserve">, Sentencia </w:t>
      </w:r>
      <w:hyperlink w:anchor="SENTENCIA_1997_127" w:history="1">
        <w:r w:rsidRPr="008E589A">
          <w:rPr>
            <w:rStyle w:val="TextoNormalCaracter"/>
          </w:rPr>
          <w:t>127/1997</w:t>
        </w:r>
      </w:hyperlink>
      <w:r w:rsidRPr="008E589A">
        <w:rPr>
          <w:rStyle w:val="TextoNormalCaracter"/>
        </w:rPr>
        <w:t>, ff. 1, 2.</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96" w:history="1">
        <w:r w:rsidRPr="008E589A">
          <w:rPr>
            <w:rStyle w:val="TextoNormalCaracter"/>
          </w:rPr>
          <w:t>196/1997</w:t>
        </w:r>
      </w:hyperlink>
      <w:r w:rsidRPr="008E589A">
        <w:rPr>
          <w:rStyle w:val="TextoNormalCaracter"/>
        </w:rPr>
        <w:t>.</w:t>
      </w:r>
    </w:p>
    <w:p w:rsidR="008E589A" w:rsidRPr="008E589A" w:rsidRDefault="008E589A" w:rsidP="008E589A">
      <w:pPr>
        <w:pStyle w:val="TextoNormalSangraFrancesa"/>
        <w:rPr>
          <w:rStyle w:val="TextoNormalCaracter"/>
        </w:rPr>
      </w:pPr>
      <w:bookmarkStart w:id="891" w:name="DESCRIPTORALFABETICO376"/>
      <w:r w:rsidRPr="008E589A">
        <w:rPr>
          <w:rStyle w:val="TextoNormalNegritaCaracter"/>
        </w:rPr>
        <w:t>Inadmisión de recurso de revisión de sentencia firme</w:t>
      </w:r>
      <w:bookmarkEnd w:id="891"/>
      <w:r w:rsidRPr="008E589A">
        <w:rPr>
          <w:rStyle w:val="TextoNormalCaracter"/>
        </w:rPr>
        <w:t xml:space="preserve">, Auto </w:t>
      </w:r>
      <w:hyperlink w:anchor="AUTO_1997_174" w:history="1">
        <w:r w:rsidRPr="008E589A">
          <w:rPr>
            <w:rStyle w:val="TextoNormalCaracter"/>
          </w:rPr>
          <w:t>174/1997</w:t>
        </w:r>
      </w:hyperlink>
      <w:r w:rsidRPr="008E589A">
        <w:rPr>
          <w:rStyle w:val="TextoNormalCaracter"/>
        </w:rPr>
        <w:t>.</w:t>
      </w:r>
    </w:p>
    <w:p w:rsidR="008E589A" w:rsidRPr="008E589A" w:rsidRDefault="008E589A" w:rsidP="008E589A">
      <w:pPr>
        <w:pStyle w:val="TextoNormalSangraFrancesa"/>
        <w:rPr>
          <w:rStyle w:val="TextoNormalCaracter"/>
        </w:rPr>
      </w:pPr>
      <w:bookmarkStart w:id="892" w:name="DESCRIPTORALFABETICO400"/>
      <w:r w:rsidRPr="008E589A">
        <w:rPr>
          <w:rStyle w:val="TextoNormalNegritaCaracter"/>
        </w:rPr>
        <w:t>Inadmisión de recurso de suplicación</w:t>
      </w:r>
      <w:bookmarkEnd w:id="892"/>
      <w:r w:rsidRPr="008E589A">
        <w:rPr>
          <w:rStyle w:val="TextoNormalCaracter"/>
        </w:rPr>
        <w:t xml:space="preserve">, Sentencia </w:t>
      </w:r>
      <w:hyperlink w:anchor="SENTENCIA_1997_124" w:history="1">
        <w:r w:rsidRPr="008E589A">
          <w:rPr>
            <w:rStyle w:val="TextoNormalCaracter"/>
          </w:rPr>
          <w:t>124/1997</w:t>
        </w:r>
      </w:hyperlink>
      <w:r w:rsidRPr="008E589A">
        <w:rPr>
          <w:rStyle w:val="TextoNormalCaracter"/>
        </w:rPr>
        <w:t>, ff. 1, 2, 3.</w:t>
      </w:r>
    </w:p>
    <w:p w:rsidR="008E589A" w:rsidRPr="008E589A" w:rsidRDefault="008E589A" w:rsidP="008E589A">
      <w:pPr>
        <w:pStyle w:val="TextoNormalSangraFrancesa"/>
        <w:rPr>
          <w:rStyle w:val="TextoNormalCaracter"/>
        </w:rPr>
      </w:pPr>
      <w:bookmarkStart w:id="893" w:name="DESCRIPTORALFABETICO156"/>
      <w:r w:rsidRPr="008E589A">
        <w:rPr>
          <w:rStyle w:val="TextoNormalNegritaCaracter"/>
        </w:rPr>
        <w:t>Inadmisión parcial de recurso de amparo</w:t>
      </w:r>
      <w:bookmarkEnd w:id="893"/>
      <w:r w:rsidRPr="008E589A">
        <w:rPr>
          <w:rStyle w:val="TextoNormalCaracter"/>
        </w:rPr>
        <w:t xml:space="preserve">, Sentencia </w:t>
      </w:r>
      <w:hyperlink w:anchor="SENTENCIA_1997_122" w:history="1">
        <w:r w:rsidRPr="008E589A">
          <w:rPr>
            <w:rStyle w:val="TextoNormalCaracter"/>
          </w:rPr>
          <w:t>122/1997</w:t>
        </w:r>
      </w:hyperlink>
      <w:r w:rsidRPr="008E589A">
        <w:rPr>
          <w:rStyle w:val="TextoNormalCaracter"/>
        </w:rPr>
        <w:t>, f. 2.</w:t>
      </w:r>
    </w:p>
    <w:p w:rsidR="008E589A" w:rsidRPr="008E589A" w:rsidRDefault="008E589A" w:rsidP="008E589A">
      <w:pPr>
        <w:pStyle w:val="TextoNormalSangraFrancesa"/>
        <w:rPr>
          <w:rStyle w:val="TextoNormalCaracter"/>
        </w:rPr>
      </w:pPr>
      <w:bookmarkStart w:id="894" w:name="DESCRIPTORALFABETICO275"/>
      <w:r w:rsidRPr="008E589A">
        <w:rPr>
          <w:rStyle w:val="TextoNormalNegritaCaracter"/>
        </w:rPr>
        <w:t>Incapacidad laboral permanente</w:t>
      </w:r>
      <w:bookmarkEnd w:id="894"/>
      <w:r w:rsidRPr="008E589A">
        <w:rPr>
          <w:rStyle w:val="TextoNormalCaracter"/>
        </w:rPr>
        <w:t xml:space="preserve">, Sentencia </w:t>
      </w:r>
      <w:hyperlink w:anchor="SENTENCIA_1997_112" w:history="1">
        <w:r w:rsidRPr="008E589A">
          <w:rPr>
            <w:rStyle w:val="TextoNormalCaracter"/>
          </w:rPr>
          <w:t>112/1997</w:t>
        </w:r>
      </w:hyperlink>
      <w:r w:rsidRPr="008E589A">
        <w:rPr>
          <w:rStyle w:val="TextoNormalCaracter"/>
        </w:rPr>
        <w:t>, ff. 4, 5.</w:t>
      </w:r>
    </w:p>
    <w:p w:rsidR="008E589A" w:rsidRPr="008E589A" w:rsidRDefault="008E589A" w:rsidP="008E589A">
      <w:pPr>
        <w:pStyle w:val="TextoNormalSangraFrancesa"/>
        <w:rPr>
          <w:rStyle w:val="TextoNormalCaracter"/>
        </w:rPr>
      </w:pPr>
      <w:bookmarkStart w:id="895" w:name="DESCRIPTORALFABETICO30"/>
      <w:r w:rsidRPr="008E589A">
        <w:rPr>
          <w:rStyle w:val="TextoNormalNegritaCaracter"/>
        </w:rPr>
        <w:t>Incidencia del ejercicio del derecho de huelga en el estatus del trabajador</w:t>
      </w:r>
      <w:bookmarkEnd w:id="895"/>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 3.</w:t>
      </w:r>
    </w:p>
    <w:p w:rsidR="008E589A" w:rsidRPr="008E589A" w:rsidRDefault="008E589A" w:rsidP="008E589A">
      <w:pPr>
        <w:pStyle w:val="TextoNormalSangraFrancesa"/>
        <w:rPr>
          <w:rStyle w:val="TextoNormalCaracter"/>
        </w:rPr>
      </w:pPr>
      <w:bookmarkStart w:id="896" w:name="DESCRIPTORALFABETICO344"/>
      <w:r w:rsidRPr="008E589A">
        <w:rPr>
          <w:rStyle w:val="TextoNormalNegritaCaracter"/>
        </w:rPr>
        <w:t>Incidente de nulidad de actuaciones</w:t>
      </w:r>
      <w:bookmarkEnd w:id="896"/>
      <w:r w:rsidRPr="008E589A">
        <w:rPr>
          <w:rStyle w:val="TextoNormalCaracter"/>
        </w:rPr>
        <w:t xml:space="preserve">, Sentencia </w:t>
      </w:r>
      <w:hyperlink w:anchor="SENTENCIA_1997_99" w:history="1">
        <w:r w:rsidRPr="008E589A">
          <w:rPr>
            <w:rStyle w:val="TextoNormalCaracter"/>
          </w:rPr>
          <w:t>99/1997</w:t>
        </w:r>
      </w:hyperlink>
      <w:r w:rsidRPr="008E589A">
        <w:rPr>
          <w:rStyle w:val="TextoNormalCaracter"/>
        </w:rPr>
        <w:t>, f. 2.</w:t>
      </w:r>
    </w:p>
    <w:p w:rsidR="008E589A" w:rsidRPr="008E589A" w:rsidRDefault="008E589A" w:rsidP="008E589A">
      <w:pPr>
        <w:pStyle w:val="TextoNormalSangraFrancesa"/>
        <w:rPr>
          <w:rStyle w:val="TextoNormalCaracter"/>
        </w:rPr>
      </w:pPr>
      <w:bookmarkStart w:id="897" w:name="DESCRIPTORALFABETICO331"/>
      <w:r w:rsidRPr="008E589A">
        <w:rPr>
          <w:rStyle w:val="TextoNormalNegritaCaracter"/>
        </w:rPr>
        <w:t>Incomparecencia imputable al órgano judicial</w:t>
      </w:r>
      <w:bookmarkEnd w:id="897"/>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ff. 4, 5.</w:t>
      </w:r>
    </w:p>
    <w:p w:rsidR="008E589A" w:rsidRPr="008E589A" w:rsidRDefault="008E589A" w:rsidP="008E589A">
      <w:pPr>
        <w:pStyle w:val="TextoNormalSangraFrancesa"/>
        <w:rPr>
          <w:rStyle w:val="TextoNormalCaracter"/>
        </w:rPr>
      </w:pPr>
      <w:bookmarkStart w:id="898" w:name="DESCRIPTORALFABETICO55"/>
      <w:r w:rsidRPr="008E589A">
        <w:rPr>
          <w:rStyle w:val="TextoNormalNegritaCaracter"/>
        </w:rPr>
        <w:t>Incongruencia omisiva</w:t>
      </w:r>
      <w:bookmarkEnd w:id="898"/>
      <w:r w:rsidRPr="008E589A">
        <w:rPr>
          <w:rStyle w:val="TextoNormalCaracter"/>
        </w:rPr>
        <w:t xml:space="preserve">, Sentencia </w:t>
      </w:r>
      <w:hyperlink w:anchor="SENTENCIA_1997_94" w:history="1">
        <w:r w:rsidRPr="008E589A">
          <w:rPr>
            <w:rStyle w:val="TextoNormalCaracter"/>
          </w:rPr>
          <w:t>94/1997</w:t>
        </w:r>
      </w:hyperlink>
      <w:r w:rsidRPr="008E589A">
        <w:rPr>
          <w:rStyle w:val="TextoNormalCaracter"/>
        </w:rPr>
        <w:t>, f. 3.</w:t>
      </w:r>
    </w:p>
    <w:p w:rsidR="008E589A" w:rsidRPr="008E589A" w:rsidRDefault="008E589A" w:rsidP="008E589A">
      <w:pPr>
        <w:pStyle w:val="TextoNormalSangraFrancesa"/>
        <w:rPr>
          <w:rStyle w:val="TextoNormalCaracter"/>
        </w:rPr>
      </w:pPr>
      <w:bookmarkStart w:id="899" w:name="DESCRIPTORALFABETICO125"/>
      <w:r w:rsidRPr="008E589A">
        <w:rPr>
          <w:rStyle w:val="TextoNormalNegritaCaracter"/>
        </w:rPr>
        <w:t>Inconstitucionalidad formal</w:t>
      </w:r>
      <w:bookmarkEnd w:id="899"/>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ff. 2, 6.</w:t>
      </w:r>
    </w:p>
    <w:p w:rsidR="008E589A" w:rsidRPr="008E589A" w:rsidRDefault="008E589A" w:rsidP="008E589A">
      <w:pPr>
        <w:pStyle w:val="TextoNormalSangraFrancesa"/>
        <w:rPr>
          <w:rStyle w:val="TextoNormalCaracter"/>
        </w:rPr>
      </w:pPr>
      <w:bookmarkStart w:id="900" w:name="DESCRIPTORALFABETICO345"/>
      <w:r w:rsidRPr="008E589A">
        <w:rPr>
          <w:rStyle w:val="TextoNormalNegritaCaracter"/>
        </w:rPr>
        <w:t>Indefensión</w:t>
      </w:r>
      <w:bookmarkEnd w:id="900"/>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 4.</w:t>
      </w:r>
    </w:p>
    <w:p w:rsidR="008E589A" w:rsidRPr="008E589A" w:rsidRDefault="008E589A" w:rsidP="008E589A">
      <w:pPr>
        <w:pStyle w:val="TextoNormalSangraFrancesa"/>
        <w:rPr>
          <w:rStyle w:val="TextoNormalCaracter"/>
        </w:rPr>
      </w:pPr>
      <w:bookmarkStart w:id="901" w:name="DESCRIPTORALFABETICO65"/>
      <w:r w:rsidRPr="008E589A">
        <w:rPr>
          <w:rStyle w:val="TextoNormalNegritaCaracter"/>
        </w:rPr>
        <w:t>Indefensión imputable al órgano judicial</w:t>
      </w:r>
      <w:bookmarkEnd w:id="901"/>
      <w:r w:rsidRPr="008E589A">
        <w:rPr>
          <w:rStyle w:val="TextoNormalCaracter"/>
        </w:rPr>
        <w:t xml:space="preserve">, Sentencias </w:t>
      </w:r>
      <w:hyperlink w:anchor="SENTENCIA_1997_100" w:history="1">
        <w:r w:rsidRPr="008E589A">
          <w:rPr>
            <w:rStyle w:val="TextoNormalCaracter"/>
          </w:rPr>
          <w:t>100/1997</w:t>
        </w:r>
      </w:hyperlink>
      <w:r w:rsidRPr="008E589A">
        <w:rPr>
          <w:rStyle w:val="TextoNormalCaracter"/>
        </w:rPr>
        <w:t xml:space="preserve">, f. 3; </w:t>
      </w:r>
      <w:hyperlink w:anchor="SENTENCIA_1997_104" w:history="1">
        <w:r w:rsidRPr="008E589A">
          <w:rPr>
            <w:rStyle w:val="TextoNormalCaracter"/>
          </w:rPr>
          <w:t>104/1997</w:t>
        </w:r>
      </w:hyperlink>
      <w:r w:rsidRPr="008E589A">
        <w:rPr>
          <w:rStyle w:val="TextoNormalCaracter"/>
        </w:rPr>
        <w:t xml:space="preserve">, f. 6; </w:t>
      </w:r>
      <w:hyperlink w:anchor="SENTENCIA_1997_118" w:history="1">
        <w:r w:rsidRPr="008E589A">
          <w:rPr>
            <w:rStyle w:val="TextoNormalCaracter"/>
          </w:rPr>
          <w:t>118/1997</w:t>
        </w:r>
      </w:hyperlink>
      <w:r w:rsidRPr="008E589A">
        <w:rPr>
          <w:rStyle w:val="TextoNormalCaracter"/>
        </w:rPr>
        <w:t>, ff. 3, 4.</w:t>
      </w:r>
    </w:p>
    <w:p w:rsidR="008E589A" w:rsidRPr="008E589A" w:rsidRDefault="008E589A" w:rsidP="008E589A">
      <w:pPr>
        <w:pStyle w:val="TextoNormalSangraFrancesa"/>
        <w:rPr>
          <w:rStyle w:val="TextoNormalCaracter"/>
        </w:rPr>
      </w:pPr>
      <w:bookmarkStart w:id="902" w:name="DESCRIPTORALFABETICO66"/>
      <w:r w:rsidRPr="008E589A">
        <w:rPr>
          <w:rStyle w:val="TextoNormalNegritaCaracter"/>
        </w:rPr>
        <w:t>Indefensión imputable al recurrente</w:t>
      </w:r>
      <w:bookmarkEnd w:id="902"/>
      <w:r w:rsidRPr="008E589A">
        <w:rPr>
          <w:rStyle w:val="TextoNormalCaracter"/>
        </w:rPr>
        <w:t xml:space="preserve">, Sentencias </w:t>
      </w:r>
      <w:hyperlink w:anchor="SENTENCIA_1997_97" w:history="1">
        <w:r w:rsidRPr="008E589A">
          <w:rPr>
            <w:rStyle w:val="TextoNormalCaracter"/>
          </w:rPr>
          <w:t>97/1997</w:t>
        </w:r>
      </w:hyperlink>
      <w:r w:rsidRPr="008E589A">
        <w:rPr>
          <w:rStyle w:val="TextoNormalCaracter"/>
        </w:rPr>
        <w:t xml:space="preserve">, ff. 5, 6; </w:t>
      </w:r>
      <w:hyperlink w:anchor="SENTENCIA_1997_99" w:history="1">
        <w:r w:rsidRPr="008E589A">
          <w:rPr>
            <w:rStyle w:val="TextoNormalCaracter"/>
          </w:rPr>
          <w:t>99/1997</w:t>
        </w:r>
      </w:hyperlink>
      <w:r w:rsidRPr="008E589A">
        <w:rPr>
          <w:rStyle w:val="TextoNormalCaracter"/>
        </w:rPr>
        <w:t xml:space="preserve">, ff. 5, 6; </w:t>
      </w:r>
      <w:hyperlink w:anchor="SENTENCIA_1997_110" w:history="1">
        <w:r w:rsidRPr="008E589A">
          <w:rPr>
            <w:rStyle w:val="TextoNormalCaracter"/>
          </w:rPr>
          <w:t>110/1997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130" w:history="1">
        <w:r w:rsidRPr="008E589A">
          <w:rPr>
            <w:rStyle w:val="TextoNormalCaracter"/>
          </w:rPr>
          <w:t>130/1997</w:t>
        </w:r>
      </w:hyperlink>
      <w:r w:rsidRPr="008E589A">
        <w:rPr>
          <w:rStyle w:val="TextoNormalCaracter"/>
        </w:rPr>
        <w:t xml:space="preserve">; </w:t>
      </w:r>
      <w:hyperlink w:anchor="AUTO_1997_196" w:history="1">
        <w:r w:rsidRPr="008E589A">
          <w:rPr>
            <w:rStyle w:val="TextoNormalCaracter"/>
          </w:rPr>
          <w:t>196/1997</w:t>
        </w:r>
      </w:hyperlink>
      <w:r w:rsidRPr="008E589A">
        <w:rPr>
          <w:rStyle w:val="TextoNormalCaracter"/>
        </w:rPr>
        <w:t xml:space="preserve">; </w:t>
      </w:r>
      <w:hyperlink w:anchor="AUTO_1997_208" w:history="1">
        <w:r w:rsidRPr="008E589A">
          <w:rPr>
            <w:rStyle w:val="TextoNormalCaracter"/>
          </w:rPr>
          <w:t>208/1997</w:t>
        </w:r>
      </w:hyperlink>
      <w:r w:rsidRPr="008E589A">
        <w:rPr>
          <w:rStyle w:val="TextoNormalCaracter"/>
        </w:rPr>
        <w:t>.</w:t>
      </w:r>
    </w:p>
    <w:p w:rsidR="008E589A" w:rsidRPr="008E589A" w:rsidRDefault="008E589A" w:rsidP="008E589A">
      <w:pPr>
        <w:pStyle w:val="TextoNormalSangraFrancesa"/>
        <w:rPr>
          <w:rStyle w:val="TextoNormalCaracter"/>
        </w:rPr>
      </w:pPr>
      <w:bookmarkStart w:id="903" w:name="DESCRIPTORALFABETICO67"/>
      <w:r w:rsidRPr="008E589A">
        <w:rPr>
          <w:rStyle w:val="TextoNormalNegritaCaracter"/>
        </w:rPr>
        <w:lastRenderedPageBreak/>
        <w:t>Indefensión material</w:t>
      </w:r>
      <w:bookmarkEnd w:id="903"/>
      <w:r w:rsidRPr="008E589A">
        <w:rPr>
          <w:rStyle w:val="TextoNormalCaracter"/>
        </w:rPr>
        <w:t xml:space="preserve">, Sentencias </w:t>
      </w:r>
      <w:hyperlink w:anchor="SENTENCIA_1997_89" w:history="1">
        <w:r w:rsidRPr="008E589A">
          <w:rPr>
            <w:rStyle w:val="TextoNormalCaracter"/>
          </w:rPr>
          <w:t>89/1997</w:t>
        </w:r>
      </w:hyperlink>
      <w:r w:rsidRPr="008E589A">
        <w:rPr>
          <w:rStyle w:val="TextoNormalCaracter"/>
        </w:rPr>
        <w:t xml:space="preserve">, f. 4; </w:t>
      </w:r>
      <w:hyperlink w:anchor="SENTENCIA_1997_118" w:history="1">
        <w:r w:rsidRPr="008E589A">
          <w:rPr>
            <w:rStyle w:val="TextoNormalCaracter"/>
          </w:rPr>
          <w:t>118/1997</w:t>
        </w:r>
      </w:hyperlink>
      <w:r w:rsidRPr="008E589A">
        <w:rPr>
          <w:rStyle w:val="TextoNormalCaracter"/>
        </w:rPr>
        <w:t xml:space="preserve">, ff. 2, 3; </w:t>
      </w:r>
      <w:hyperlink w:anchor="SENTENCIA_1997_140" w:history="1">
        <w:r w:rsidRPr="008E589A">
          <w:rPr>
            <w:rStyle w:val="TextoNormalCaracter"/>
          </w:rPr>
          <w:t>140/1997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35" w:history="1">
        <w:r w:rsidRPr="008E589A">
          <w:rPr>
            <w:rStyle w:val="TextoNormalCaracter"/>
          </w:rPr>
          <w:t>135/1997</w:t>
        </w:r>
      </w:hyperlink>
      <w:r w:rsidRPr="008E589A">
        <w:rPr>
          <w:rStyle w:val="TextoNormalCaracter"/>
        </w:rPr>
        <w:t>.</w:t>
      </w:r>
    </w:p>
    <w:p w:rsidR="008E589A" w:rsidRPr="008E589A" w:rsidRDefault="008E589A" w:rsidP="008E589A">
      <w:pPr>
        <w:pStyle w:val="TextoNormalSangraFrancesa"/>
        <w:rPr>
          <w:rStyle w:val="TextoNormalCaracter"/>
        </w:rPr>
      </w:pPr>
      <w:bookmarkStart w:id="904" w:name="DESCRIPTORALFABETICO272"/>
      <w:r w:rsidRPr="008E589A">
        <w:rPr>
          <w:rStyle w:val="TextoNormalNegritaCaracter"/>
        </w:rPr>
        <w:t>Indemnización</w:t>
      </w:r>
      <w:bookmarkEnd w:id="904"/>
      <w:r w:rsidRPr="008E589A">
        <w:rPr>
          <w:rStyle w:val="TextoNormalCaracter"/>
        </w:rPr>
        <w:t xml:space="preserve">, Sentencia </w:t>
      </w:r>
      <w:hyperlink w:anchor="SENTENCIA_1997_109" w:history="1">
        <w:r w:rsidRPr="008E589A">
          <w:rPr>
            <w:rStyle w:val="TextoNormalCaracter"/>
          </w:rPr>
          <w:t>109/1997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21" w:history="1">
        <w:r w:rsidRPr="008E589A">
          <w:rPr>
            <w:rStyle w:val="TextoNormalCaracter"/>
          </w:rPr>
          <w:t>221/1997</w:t>
        </w:r>
      </w:hyperlink>
      <w:r w:rsidRPr="008E589A">
        <w:rPr>
          <w:rStyle w:val="TextoNormalCaracter"/>
        </w:rPr>
        <w:t>.</w:t>
      </w:r>
    </w:p>
    <w:p w:rsidR="008E589A" w:rsidRPr="008E589A" w:rsidRDefault="008E589A" w:rsidP="008E589A">
      <w:pPr>
        <w:pStyle w:val="TextoNormalSangraFrancesa"/>
        <w:rPr>
          <w:rStyle w:val="TextoNormalCaracter"/>
        </w:rPr>
      </w:pPr>
      <w:bookmarkStart w:id="905" w:name="DESCRIPTORALFABETICO56"/>
      <w:r w:rsidRPr="008E589A">
        <w:rPr>
          <w:rStyle w:val="TextoNormalNegritaCaracter"/>
        </w:rPr>
        <w:t>Inmodificabilidad de las resoluciones judiciales</w:t>
      </w:r>
      <w:bookmarkEnd w:id="905"/>
      <w:r w:rsidRPr="008E589A">
        <w:rPr>
          <w:rStyle w:val="TextoNormalCaracter"/>
        </w:rPr>
        <w:t xml:space="preserve">, Auto </w:t>
      </w:r>
      <w:hyperlink w:anchor="AUTO_1997_274" w:history="1">
        <w:r w:rsidRPr="008E589A">
          <w:rPr>
            <w:rStyle w:val="TextoNormalCaracter"/>
          </w:rPr>
          <w:t>274/1997</w:t>
        </w:r>
      </w:hyperlink>
      <w:r w:rsidRPr="008E589A">
        <w:rPr>
          <w:rStyle w:val="TextoNormalCaracter"/>
        </w:rPr>
        <w:t>.</w:t>
      </w:r>
    </w:p>
    <w:p w:rsidR="008E589A" w:rsidRPr="008E589A" w:rsidRDefault="008E589A" w:rsidP="008E589A">
      <w:pPr>
        <w:pStyle w:val="TextoNormalSangraFrancesa"/>
        <w:rPr>
          <w:rStyle w:val="TextoNormalCaracter"/>
        </w:rPr>
      </w:pPr>
      <w:bookmarkStart w:id="906" w:name="DESCRIPTORALFABETICO278"/>
      <w:r w:rsidRPr="008E589A">
        <w:rPr>
          <w:rStyle w:val="TextoNormalNegritaCaracter"/>
        </w:rPr>
        <w:t>Inscripción de sindicatos</w:t>
      </w:r>
      <w:bookmarkEnd w:id="906"/>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 9.</w:t>
      </w:r>
    </w:p>
    <w:p w:rsidR="008E589A" w:rsidRPr="008E589A" w:rsidRDefault="008E589A" w:rsidP="008E589A">
      <w:pPr>
        <w:pStyle w:val="TextoNormalSangraFrancesa"/>
        <w:rPr>
          <w:rStyle w:val="TextoNormalNegritaCaracter"/>
        </w:rPr>
      </w:pPr>
      <w:r w:rsidRPr="008E589A">
        <w:rPr>
          <w:rStyle w:val="TextoNormalCursivaCaracter"/>
        </w:rPr>
        <w:t>Interdicción de la arbitrariedad de los poderes públicos</w:t>
      </w:r>
      <w:r>
        <w:t xml:space="preserve"> véase </w:t>
      </w:r>
      <w:hyperlink w:anchor="DESCRIPTORALFABETICO184" w:history="1">
        <w:r w:rsidRPr="008E589A">
          <w:rPr>
            <w:rStyle w:val="TextoNormalNegritaCaracter"/>
          </w:rPr>
          <w:t>Principio de interdicción de la arbitrariedad</w:t>
        </w:r>
      </w:hyperlink>
    </w:p>
    <w:p w:rsidR="008E589A" w:rsidRPr="008E589A" w:rsidRDefault="008E589A" w:rsidP="008E589A">
      <w:pPr>
        <w:pStyle w:val="TextoNormalSangraFrancesa"/>
        <w:rPr>
          <w:rStyle w:val="TextoNormalCaracter"/>
        </w:rPr>
      </w:pPr>
      <w:bookmarkStart w:id="907" w:name="DESCRIPTORALFABETICO195"/>
      <w:r w:rsidRPr="008E589A">
        <w:rPr>
          <w:rStyle w:val="TextoNormalNegritaCaracter"/>
        </w:rPr>
        <w:t>Interés general</w:t>
      </w:r>
      <w:bookmarkEnd w:id="907"/>
      <w:r w:rsidRPr="008E589A">
        <w:rPr>
          <w:rStyle w:val="TextoNormalCaracter"/>
        </w:rPr>
        <w:t xml:space="preserve">, Sentencia </w:t>
      </w:r>
      <w:hyperlink w:anchor="SENTENCIA_1997_116" w:history="1">
        <w:r w:rsidRPr="008E589A">
          <w:rPr>
            <w:rStyle w:val="TextoNormalCaracter"/>
          </w:rPr>
          <w:t>116/1997</w:t>
        </w:r>
      </w:hyperlink>
      <w:r w:rsidRPr="008E589A">
        <w:rPr>
          <w:rStyle w:val="TextoNormalCaracter"/>
        </w:rPr>
        <w:t>, f. 5.</w:t>
      </w:r>
    </w:p>
    <w:p w:rsidR="008E589A" w:rsidRPr="008E589A" w:rsidRDefault="008E589A" w:rsidP="008E589A">
      <w:pPr>
        <w:pStyle w:val="TextoNormalSangraFrancesa"/>
        <w:rPr>
          <w:rStyle w:val="TextoNormalCaracter"/>
        </w:rPr>
      </w:pPr>
      <w:bookmarkStart w:id="908" w:name="DESCRIPTORALFABETICO352"/>
      <w:r w:rsidRPr="008E589A">
        <w:rPr>
          <w:rStyle w:val="TextoNormalNegritaCaracter"/>
        </w:rPr>
        <w:t>Interés legítimo</w:t>
      </w:r>
      <w:bookmarkEnd w:id="908"/>
      <w:r w:rsidRPr="008E589A">
        <w:rPr>
          <w:rStyle w:val="TextoNormalCaracter"/>
        </w:rPr>
        <w:t xml:space="preserve">, Sentencia </w:t>
      </w:r>
      <w:hyperlink w:anchor="SENTENCIA_1997_92" w:history="1">
        <w:r w:rsidRPr="008E589A">
          <w:rPr>
            <w:rStyle w:val="TextoNormalCaracter"/>
          </w:rPr>
          <w:t>92/1997</w:t>
        </w:r>
      </w:hyperlink>
      <w:r w:rsidRPr="008E589A">
        <w:rPr>
          <w:rStyle w:val="TextoNormalCaracter"/>
        </w:rPr>
        <w:t>, f. 1.</w:t>
      </w:r>
    </w:p>
    <w:p w:rsidR="008E589A" w:rsidRPr="008E589A" w:rsidRDefault="008E589A" w:rsidP="008E589A">
      <w:pPr>
        <w:pStyle w:val="TextoNormalSangraFrancesa"/>
        <w:rPr>
          <w:rStyle w:val="TextoNormalNegritaCaracter"/>
        </w:rPr>
      </w:pPr>
      <w:r w:rsidRPr="008E589A">
        <w:rPr>
          <w:rStyle w:val="TextoNormalCursivaCaracter"/>
        </w:rPr>
        <w:t>Interés procesal</w:t>
      </w:r>
      <w:r>
        <w:t xml:space="preserve"> véase </w:t>
      </w:r>
      <w:hyperlink w:anchor="DESCRIPTORALFABETICO352" w:history="1">
        <w:r w:rsidRPr="008E589A">
          <w:rPr>
            <w:rStyle w:val="TextoNormalNegritaCaracter"/>
          </w:rPr>
          <w:t>Interés legítimo</w:t>
        </w:r>
      </w:hyperlink>
    </w:p>
    <w:p w:rsidR="008E589A" w:rsidRPr="008E589A" w:rsidRDefault="008E589A" w:rsidP="008E589A">
      <w:pPr>
        <w:pStyle w:val="TextoNormalSangraFrancesa"/>
        <w:rPr>
          <w:rStyle w:val="TextoNormalNegritaCaracter"/>
        </w:rPr>
      </w:pPr>
      <w:r w:rsidRPr="008E589A">
        <w:rPr>
          <w:rStyle w:val="TextoNormalCursivaCaracter"/>
        </w:rPr>
        <w:t>Interés propio</w:t>
      </w:r>
      <w:r>
        <w:t xml:space="preserve"> véase </w:t>
      </w:r>
      <w:hyperlink w:anchor="DESCRIPTORALFABETICO352" w:history="1">
        <w:r w:rsidRPr="008E589A">
          <w:rPr>
            <w:rStyle w:val="TextoNormalNegritaCaracter"/>
          </w:rPr>
          <w:t>Interés legítimo</w:t>
        </w:r>
      </w:hyperlink>
    </w:p>
    <w:p w:rsidR="008E589A" w:rsidRPr="008E589A" w:rsidRDefault="008E589A" w:rsidP="008E589A">
      <w:pPr>
        <w:pStyle w:val="TextoNormalSangraFrancesa"/>
        <w:rPr>
          <w:rStyle w:val="TextoNormalNegritaCaracter"/>
        </w:rPr>
      </w:pPr>
      <w:r w:rsidRPr="008E589A">
        <w:rPr>
          <w:rStyle w:val="TextoNormalCursivaCaracter"/>
        </w:rPr>
        <w:t>Interés público</w:t>
      </w:r>
      <w:r>
        <w:t xml:space="preserve"> véase </w:t>
      </w:r>
      <w:hyperlink w:anchor="DESCRIPTORALFABETICO195" w:history="1">
        <w:r w:rsidRPr="008E589A">
          <w:rPr>
            <w:rStyle w:val="TextoNormalNegritaCaracter"/>
          </w:rPr>
          <w:t>Interés general</w:t>
        </w:r>
      </w:hyperlink>
    </w:p>
    <w:p w:rsidR="008E589A" w:rsidRPr="008E589A" w:rsidRDefault="008E589A" w:rsidP="008E589A">
      <w:pPr>
        <w:pStyle w:val="TextoNormalSangraFrancesa"/>
        <w:rPr>
          <w:rStyle w:val="TextoNormalCaracter"/>
        </w:rPr>
      </w:pPr>
      <w:bookmarkStart w:id="909" w:name="DESCRIPTORALFABETICO254"/>
      <w:r w:rsidRPr="008E589A">
        <w:rPr>
          <w:rStyle w:val="TextoNormalNegritaCaracter"/>
        </w:rPr>
        <w:t>Interpretación conforme a la Constitución</w:t>
      </w:r>
      <w:bookmarkEnd w:id="909"/>
      <w:r w:rsidRPr="008E589A">
        <w:rPr>
          <w:rStyle w:val="TextoNormalCaracter"/>
        </w:rPr>
        <w:t xml:space="preserve">, Sentencia </w:t>
      </w:r>
      <w:hyperlink w:anchor="SENTENCIA_1997_122" w:history="1">
        <w:r w:rsidRPr="008E589A">
          <w:rPr>
            <w:rStyle w:val="TextoNormalCaracter"/>
          </w:rPr>
          <w:t>122/1997</w:t>
        </w:r>
      </w:hyperlink>
      <w:r w:rsidRPr="008E589A">
        <w:rPr>
          <w:rStyle w:val="TextoNormalCaracter"/>
        </w:rPr>
        <w:t>, f. 4.</w:t>
      </w:r>
    </w:p>
    <w:p w:rsidR="008E589A" w:rsidRPr="008E589A" w:rsidRDefault="008E589A" w:rsidP="008E589A">
      <w:pPr>
        <w:pStyle w:val="TextoNormalSangraFrancesa"/>
        <w:rPr>
          <w:rStyle w:val="TextoNormalCaracter"/>
        </w:rPr>
      </w:pPr>
      <w:bookmarkStart w:id="910" w:name="DESCRIPTORALFABETICO255"/>
      <w:r w:rsidRPr="008E589A">
        <w:rPr>
          <w:rStyle w:val="TextoNormalNegritaCaracter"/>
        </w:rPr>
        <w:t>Interpretación de la Constitución</w:t>
      </w:r>
      <w:bookmarkEnd w:id="910"/>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5.</w:t>
      </w:r>
    </w:p>
    <w:p w:rsidR="008E589A" w:rsidRPr="008E589A" w:rsidRDefault="008E589A" w:rsidP="008E589A">
      <w:pPr>
        <w:pStyle w:val="TextoNormalSangraFrancesa"/>
        <w:rPr>
          <w:rStyle w:val="TextoNormalCaracter"/>
        </w:rPr>
      </w:pPr>
      <w:bookmarkStart w:id="911" w:name="DESCRIPTORALFABETICO253"/>
      <w:r w:rsidRPr="008E589A">
        <w:rPr>
          <w:rStyle w:val="TextoNormalNegritaCaracter"/>
        </w:rPr>
        <w:t>Interpretación de las normas jurídicas</w:t>
      </w:r>
      <w:bookmarkEnd w:id="911"/>
      <w:r w:rsidRPr="008E589A">
        <w:rPr>
          <w:rStyle w:val="TextoNormalCaracter"/>
        </w:rPr>
        <w:t xml:space="preserve">, Auto </w:t>
      </w:r>
      <w:hyperlink w:anchor="AUTO_1997_157" w:history="1">
        <w:r w:rsidRPr="008E589A">
          <w:rPr>
            <w:rStyle w:val="TextoNormalCaracter"/>
          </w:rPr>
          <w:t>157/1997</w:t>
        </w:r>
      </w:hyperlink>
      <w:r w:rsidRPr="008E589A">
        <w:rPr>
          <w:rStyle w:val="TextoNormalCaracter"/>
        </w:rPr>
        <w:t>.</w:t>
      </w:r>
    </w:p>
    <w:p w:rsidR="008E589A" w:rsidRPr="008E589A" w:rsidRDefault="008E589A" w:rsidP="008E589A">
      <w:pPr>
        <w:pStyle w:val="TextoNormalSangraFrancesa"/>
        <w:rPr>
          <w:rStyle w:val="TextoNormalCaracter"/>
        </w:rPr>
      </w:pPr>
      <w:bookmarkStart w:id="912" w:name="DESCRIPTORALFABETICO89"/>
      <w:r w:rsidRPr="008E589A">
        <w:rPr>
          <w:rStyle w:val="TextoNormalNegritaCaracter"/>
        </w:rPr>
        <w:t>Interpretación de los derechos fundamentales conforme al Derecho internacional</w:t>
      </w:r>
      <w:bookmarkEnd w:id="912"/>
      <w:r w:rsidRPr="008E589A">
        <w:rPr>
          <w:rStyle w:val="TextoNormalCaracter"/>
        </w:rPr>
        <w:t xml:space="preserve">, Sentencia </w:t>
      </w:r>
      <w:hyperlink w:anchor="SENTENCIA_1997_123" w:history="1">
        <w:r w:rsidRPr="008E589A">
          <w:rPr>
            <w:rStyle w:val="TextoNormalCaracter"/>
          </w:rPr>
          <w:t>123/1997</w:t>
        </w:r>
      </w:hyperlink>
      <w:r w:rsidRPr="008E589A">
        <w:rPr>
          <w:rStyle w:val="TextoNormalCaracter"/>
        </w:rPr>
        <w:t>, f. 4.</w:t>
      </w:r>
    </w:p>
    <w:p w:rsidR="008E589A" w:rsidRPr="008E589A" w:rsidRDefault="008E589A" w:rsidP="008E589A">
      <w:pPr>
        <w:pStyle w:val="TextoNormalSangraFrancesa"/>
        <w:rPr>
          <w:rStyle w:val="TextoNormalCaracter"/>
        </w:rPr>
      </w:pPr>
      <w:bookmarkStart w:id="913" w:name="DESCRIPTORALFABETICO229"/>
      <w:r w:rsidRPr="008E589A">
        <w:rPr>
          <w:rStyle w:val="TextoNormalNegritaCaracter"/>
        </w:rPr>
        <w:t>Interpretación extensiva del término título que configura el tipo de intrusismo</w:t>
      </w:r>
      <w:bookmarkEnd w:id="913"/>
      <w:r w:rsidRPr="008E589A">
        <w:rPr>
          <w:rStyle w:val="TextoNormalCaracter"/>
        </w:rPr>
        <w:t xml:space="preserve">, Sentencia </w:t>
      </w:r>
      <w:hyperlink w:anchor="SENTENCIA_1997_130" w:history="1">
        <w:r w:rsidRPr="008E589A">
          <w:rPr>
            <w:rStyle w:val="TextoNormalCaracter"/>
          </w:rPr>
          <w:t>130/1997</w:t>
        </w:r>
      </w:hyperlink>
      <w:r w:rsidRPr="008E589A">
        <w:rPr>
          <w:rStyle w:val="TextoNormalCaracter"/>
        </w:rPr>
        <w:t>, f. 3.</w:t>
      </w:r>
    </w:p>
    <w:p w:rsidR="008E589A" w:rsidRPr="008E589A" w:rsidRDefault="008E589A" w:rsidP="008E589A">
      <w:pPr>
        <w:pStyle w:val="TextoNormalSangraFrancesa"/>
        <w:rPr>
          <w:rStyle w:val="TextoNormalCaracter"/>
        </w:rPr>
      </w:pPr>
      <w:bookmarkStart w:id="914" w:name="DESCRIPTORALFABETICO256"/>
      <w:r w:rsidRPr="008E589A">
        <w:rPr>
          <w:rStyle w:val="TextoNormalNegritaCaracter"/>
        </w:rPr>
        <w:t>Interpretación extensiva del tipo</w:t>
      </w:r>
      <w:bookmarkEnd w:id="914"/>
      <w:r w:rsidRPr="008E589A">
        <w:rPr>
          <w:rStyle w:val="TextoNormalCaracter"/>
        </w:rPr>
        <w:t xml:space="preserve">, Sentencia </w:t>
      </w:r>
      <w:hyperlink w:anchor="SENTENCIA_1997_130" w:history="1">
        <w:r w:rsidRPr="008E589A">
          <w:rPr>
            <w:rStyle w:val="TextoNormalCaracter"/>
          </w:rPr>
          <w:t>130/1997</w:t>
        </w:r>
      </w:hyperlink>
      <w:r w:rsidRPr="008E589A">
        <w:rPr>
          <w:rStyle w:val="TextoNormalCaracter"/>
        </w:rPr>
        <w:t>, f. 3.</w:t>
      </w:r>
    </w:p>
    <w:p w:rsidR="008E589A" w:rsidRPr="008E589A" w:rsidRDefault="008E589A" w:rsidP="008E589A">
      <w:pPr>
        <w:pStyle w:val="TextoNormalSangraFrancesa"/>
        <w:rPr>
          <w:rStyle w:val="TextoNormalCaracter"/>
        </w:rPr>
      </w:pPr>
      <w:bookmarkStart w:id="915" w:name="DESCRIPTORALFABETICO257"/>
      <w:r w:rsidRPr="008E589A">
        <w:rPr>
          <w:rStyle w:val="TextoNormalNegritaCaracter"/>
        </w:rPr>
        <w:t>Interpretación finalista</w:t>
      </w:r>
      <w:bookmarkEnd w:id="915"/>
      <w:r w:rsidRPr="008E589A">
        <w:rPr>
          <w:rStyle w:val="TextoNormalCaracter"/>
        </w:rPr>
        <w:t xml:space="preserve">, Sentencia </w:t>
      </w:r>
      <w:hyperlink w:anchor="SENTENCIA_1997_93" w:history="1">
        <w:r w:rsidRPr="008E589A">
          <w:rPr>
            <w:rStyle w:val="TextoNormalCaracter"/>
          </w:rPr>
          <w:t>93/1997</w:t>
        </w:r>
      </w:hyperlink>
      <w:r w:rsidRPr="008E589A">
        <w:rPr>
          <w:rStyle w:val="TextoNormalCaracter"/>
        </w:rPr>
        <w:t>, ff. 3, 4.</w:t>
      </w:r>
    </w:p>
    <w:p w:rsidR="008E589A" w:rsidRPr="008E589A" w:rsidRDefault="008E589A" w:rsidP="008E589A">
      <w:pPr>
        <w:pStyle w:val="TextoNormalSangraFrancesa"/>
        <w:rPr>
          <w:rStyle w:val="TextoNormalCaracter"/>
        </w:rPr>
      </w:pPr>
      <w:bookmarkStart w:id="916" w:name="DESCRIPTORALFABETICO258"/>
      <w:r w:rsidRPr="008E589A">
        <w:rPr>
          <w:rStyle w:val="TextoNormalNegritaCaracter"/>
        </w:rPr>
        <w:t>Interpretación flexible</w:t>
      </w:r>
      <w:bookmarkEnd w:id="916"/>
      <w:r w:rsidRPr="008E589A">
        <w:rPr>
          <w:rStyle w:val="TextoNormalCaracter"/>
        </w:rPr>
        <w:t xml:space="preserve">, Sentencia </w:t>
      </w:r>
      <w:hyperlink w:anchor="SENTENCIA_1997_93" w:history="1">
        <w:r w:rsidRPr="008E589A">
          <w:rPr>
            <w:rStyle w:val="TextoNormalCaracter"/>
          </w:rPr>
          <w:t>93/1997</w:t>
        </w:r>
      </w:hyperlink>
      <w:r w:rsidRPr="008E589A">
        <w:rPr>
          <w:rStyle w:val="TextoNormalCaracter"/>
        </w:rPr>
        <w:t>, f. 3.</w:t>
      </w:r>
    </w:p>
    <w:p w:rsidR="008E589A" w:rsidRPr="008E589A" w:rsidRDefault="008E589A" w:rsidP="008E589A">
      <w:pPr>
        <w:pStyle w:val="TextoNormalSangraFrancesa"/>
        <w:rPr>
          <w:rStyle w:val="TextoNormalCaracter"/>
        </w:rPr>
      </w:pPr>
      <w:bookmarkStart w:id="917" w:name="DESCRIPTORALFABETICO259"/>
      <w:r w:rsidRPr="008E589A">
        <w:rPr>
          <w:rStyle w:val="TextoNormalNegritaCaracter"/>
        </w:rPr>
        <w:t>Interpretación no discriminatoria</w:t>
      </w:r>
      <w:bookmarkEnd w:id="917"/>
      <w:r w:rsidRPr="008E589A">
        <w:rPr>
          <w:rStyle w:val="TextoNormalCaracter"/>
        </w:rPr>
        <w:t xml:space="preserve">, Sentencia </w:t>
      </w:r>
      <w:hyperlink w:anchor="SENTENCIA_1997_96" w:history="1">
        <w:r w:rsidRPr="008E589A">
          <w:rPr>
            <w:rStyle w:val="TextoNormalCaracter"/>
          </w:rPr>
          <w:t>96/1997</w:t>
        </w:r>
      </w:hyperlink>
      <w:r w:rsidRPr="008E589A">
        <w:rPr>
          <w:rStyle w:val="TextoNormalCaracter"/>
        </w:rPr>
        <w:t>, f. 5.</w:t>
      </w:r>
    </w:p>
    <w:p w:rsidR="008E589A" w:rsidRPr="008E589A" w:rsidRDefault="008E589A" w:rsidP="008E589A">
      <w:pPr>
        <w:pStyle w:val="TextoNormalSangraFrancesa"/>
        <w:rPr>
          <w:rStyle w:val="TextoNormalCaracter"/>
        </w:rPr>
      </w:pPr>
      <w:bookmarkStart w:id="918" w:name="DESCRIPTORALFABETICO230"/>
      <w:r w:rsidRPr="008E589A">
        <w:rPr>
          <w:rStyle w:val="TextoNormalNegritaCaracter"/>
        </w:rPr>
        <w:t>Interpretación no extensiva del término título que configura el tipo de intrusismo</w:t>
      </w:r>
      <w:bookmarkEnd w:id="918"/>
      <w:r w:rsidRPr="008E589A">
        <w:rPr>
          <w:rStyle w:val="TextoNormalCaracter"/>
        </w:rPr>
        <w:t xml:space="preserve">, Auto </w:t>
      </w:r>
      <w:hyperlink w:anchor="AUTO_1997_275" w:history="1">
        <w:r w:rsidRPr="008E589A">
          <w:rPr>
            <w:rStyle w:val="TextoNormalCaracter"/>
          </w:rPr>
          <w:t>275/1997</w:t>
        </w:r>
      </w:hyperlink>
      <w:r w:rsidRPr="008E589A">
        <w:rPr>
          <w:rStyle w:val="TextoNormalCaracter"/>
        </w:rPr>
        <w:t>.</w:t>
      </w:r>
    </w:p>
    <w:p w:rsidR="008E589A" w:rsidRPr="008E589A" w:rsidRDefault="008E589A" w:rsidP="008E589A">
      <w:pPr>
        <w:pStyle w:val="TextoNormalSangraFrancesa"/>
        <w:rPr>
          <w:rStyle w:val="TextoNormalCaracter"/>
        </w:rPr>
      </w:pPr>
      <w:bookmarkStart w:id="919" w:name="DESCRIPTORALFABETICO81"/>
      <w:r w:rsidRPr="008E589A">
        <w:rPr>
          <w:rStyle w:val="TextoNormalNegritaCaracter"/>
        </w:rPr>
        <w:t>Intervención de las comunicaciones</w:t>
      </w:r>
      <w:bookmarkEnd w:id="919"/>
      <w:r w:rsidRPr="008E589A">
        <w:rPr>
          <w:rStyle w:val="TextoNormalCaracter"/>
        </w:rPr>
        <w:t xml:space="preserve">, Sentencia </w:t>
      </w:r>
      <w:hyperlink w:anchor="SENTENCIA_1997_128" w:history="1">
        <w:r w:rsidRPr="008E589A">
          <w:rPr>
            <w:rStyle w:val="TextoNormalCaracter"/>
          </w:rPr>
          <w:t>128/1997</w:t>
        </w:r>
      </w:hyperlink>
      <w:r w:rsidRPr="008E589A">
        <w:rPr>
          <w:rStyle w:val="TextoNormalCaracter"/>
        </w:rPr>
        <w:t>, ff. 1, 2, 3, 4, 5, 6, 7, VP.</w:t>
      </w:r>
    </w:p>
    <w:p w:rsidR="008E589A" w:rsidRPr="008E589A" w:rsidRDefault="008E589A" w:rsidP="008E589A">
      <w:pPr>
        <w:pStyle w:val="TextoNormalSangraFrancesa"/>
        <w:rPr>
          <w:rStyle w:val="TextoNormalCaracter"/>
        </w:rPr>
      </w:pPr>
      <w:r w:rsidRPr="008E589A">
        <w:rPr>
          <w:rStyle w:val="TextoNormalCursivaCaracter"/>
        </w:rPr>
        <w:t xml:space="preserve">    Límites, </w:t>
      </w:r>
      <w:r w:rsidRPr="008E589A">
        <w:rPr>
          <w:rStyle w:val="TextoNormalCaracter"/>
        </w:rPr>
        <w:t xml:space="preserve">Sentencia </w:t>
      </w:r>
      <w:hyperlink w:anchor="SENTENCIA_1997_128" w:history="1">
        <w:r w:rsidRPr="008E589A">
          <w:rPr>
            <w:rStyle w:val="TextoNormalCaracter"/>
          </w:rPr>
          <w:t>128/1997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ursivaCaracter"/>
        </w:rPr>
        <w:t xml:space="preserve">    Requisitos, </w:t>
      </w:r>
      <w:r w:rsidRPr="008E589A">
        <w:rPr>
          <w:rStyle w:val="TextoNormalCaracter"/>
        </w:rPr>
        <w:t xml:space="preserve">Sentencia </w:t>
      </w:r>
      <w:hyperlink w:anchor="SENTENCIA_1997_128" w:history="1">
        <w:r w:rsidRPr="008E589A">
          <w:rPr>
            <w:rStyle w:val="TextoNormalCaracter"/>
          </w:rPr>
          <w:t>128/1997</w:t>
        </w:r>
      </w:hyperlink>
      <w:r w:rsidRPr="008E589A">
        <w:rPr>
          <w:rStyle w:val="TextoNormalCaracter"/>
        </w:rPr>
        <w:t>, f. 6, VP.</w:t>
      </w:r>
    </w:p>
    <w:p w:rsidR="008E589A" w:rsidRPr="008E589A" w:rsidRDefault="008E589A" w:rsidP="008E589A">
      <w:pPr>
        <w:pStyle w:val="TextoNormalSangraFrancesa"/>
        <w:rPr>
          <w:rStyle w:val="TextoNormalCaracter"/>
        </w:rPr>
      </w:pPr>
      <w:bookmarkStart w:id="920" w:name="DESCRIPTORALFABETICO228"/>
      <w:r w:rsidRPr="008E589A">
        <w:rPr>
          <w:rStyle w:val="TextoNormalNegritaCaracter"/>
        </w:rPr>
        <w:t>Intrusismo</w:t>
      </w:r>
      <w:bookmarkEnd w:id="920"/>
      <w:r w:rsidRPr="008E589A">
        <w:rPr>
          <w:rStyle w:val="TextoNormalCaracter"/>
        </w:rPr>
        <w:t xml:space="preserve">, Sentencia </w:t>
      </w:r>
      <w:hyperlink w:anchor="SENTENCIA_1997_130" w:history="1">
        <w:r w:rsidRPr="008E589A">
          <w:rPr>
            <w:rStyle w:val="TextoNormalCaracter"/>
          </w:rPr>
          <w:t>130/1997</w:t>
        </w:r>
      </w:hyperlink>
      <w:r w:rsidRPr="008E589A">
        <w:rPr>
          <w:rStyle w:val="TextoNormalCaracter"/>
        </w:rPr>
        <w:t>, ff. 1, 2, 3, 4, 5.</w:t>
      </w:r>
    </w:p>
    <w:p w:rsidR="008E589A" w:rsidRPr="008E589A" w:rsidRDefault="008E589A" w:rsidP="008E589A">
      <w:pPr>
        <w:pStyle w:val="TextoNormalSangraFrancesa"/>
        <w:rPr>
          <w:rStyle w:val="TextoNormalNegritaCaracter"/>
        </w:rPr>
      </w:pPr>
      <w:r w:rsidRPr="008E589A">
        <w:rPr>
          <w:rStyle w:val="TextoNormalCursivaCaracter"/>
        </w:rPr>
        <w:t>Invalidez permanente</w:t>
      </w:r>
      <w:r>
        <w:t xml:space="preserve"> véase </w:t>
      </w:r>
      <w:hyperlink w:anchor="DESCRIPTORALFABETICO275" w:history="1">
        <w:r w:rsidRPr="008E589A">
          <w:rPr>
            <w:rStyle w:val="TextoNormalNegritaCaracter"/>
          </w:rPr>
          <w:t>Incapacidad laboral permanente</w:t>
        </w:r>
      </w:hyperlink>
    </w:p>
    <w:p w:rsidR="008E589A" w:rsidRPr="008E589A" w:rsidRDefault="008E589A" w:rsidP="008E589A">
      <w:pPr>
        <w:pStyle w:val="TextoNormalSangraFrancesa"/>
        <w:rPr>
          <w:rStyle w:val="TextoNormalCaracter"/>
        </w:rPr>
      </w:pPr>
      <w:bookmarkStart w:id="921" w:name="DESCRIPTORALFABETICO334"/>
      <w:r w:rsidRPr="008E589A">
        <w:rPr>
          <w:rStyle w:val="TextoNormalNegritaCaracter"/>
        </w:rPr>
        <w:t>Inversión de la carga de la prueba</w:t>
      </w:r>
      <w:bookmarkEnd w:id="921"/>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ff. 3, 5, 6.</w:t>
      </w:r>
    </w:p>
    <w:p w:rsidR="008E589A" w:rsidRPr="008E589A" w:rsidRDefault="008E589A" w:rsidP="008E589A">
      <w:pPr>
        <w:pStyle w:val="TextoNormalSangraFrancesa"/>
        <w:rPr>
          <w:rStyle w:val="TextoNormalCaracter"/>
        </w:rPr>
      </w:pPr>
      <w:bookmarkStart w:id="922" w:name="DESCRIPTORALFABETICO129"/>
      <w:r w:rsidRPr="008E589A">
        <w:rPr>
          <w:rStyle w:val="TextoNormalNegritaCaracter"/>
        </w:rPr>
        <w:t>Invocación del derecho vulnerado</w:t>
      </w:r>
      <w:bookmarkEnd w:id="922"/>
      <w:r w:rsidRPr="008E589A">
        <w:rPr>
          <w:rStyle w:val="TextoNormalCaracter"/>
        </w:rPr>
        <w:t xml:space="preserve">, Sentencia </w:t>
      </w:r>
      <w:hyperlink w:anchor="SENTENCIA_1997_116" w:history="1">
        <w:r w:rsidRPr="008E589A">
          <w:rPr>
            <w:rStyle w:val="TextoNormalCaracter"/>
          </w:rPr>
          <w:t>116/1997</w:t>
        </w:r>
      </w:hyperlink>
      <w:r w:rsidRPr="008E589A">
        <w:rPr>
          <w:rStyle w:val="TextoNormalCaracter"/>
        </w:rPr>
        <w:t>, f. 3.</w:t>
      </w:r>
    </w:p>
    <w:p w:rsidR="008E589A" w:rsidRPr="008E589A" w:rsidRDefault="008E589A" w:rsidP="008E589A">
      <w:pPr>
        <w:pStyle w:val="TextoNormalSangraFrancesa"/>
        <w:rPr>
          <w:rStyle w:val="TextoNormalCaracter"/>
        </w:rPr>
      </w:pPr>
      <w:bookmarkStart w:id="923" w:name="DESCRIPTORALFABETICO133"/>
      <w:r w:rsidRPr="008E589A">
        <w:rPr>
          <w:rStyle w:val="TextoNormalNegritaCaracter"/>
        </w:rPr>
        <w:t xml:space="preserve">Invocación </w:t>
      </w:r>
      <w:r w:rsidRPr="008E589A">
        <w:rPr>
          <w:rStyle w:val="TextoNormalNegritaCaracter"/>
          <w:i/>
        </w:rPr>
        <w:t>per saltum</w:t>
      </w:r>
      <w:bookmarkEnd w:id="923"/>
      <w:r w:rsidRPr="008E589A">
        <w:rPr>
          <w:rStyle w:val="TextoNormalCaracter"/>
        </w:rPr>
        <w:t xml:space="preserve">, Sentencia </w:t>
      </w:r>
      <w:hyperlink w:anchor="SENTENCIA_1997_118" w:history="1">
        <w:r w:rsidRPr="008E589A">
          <w:rPr>
            <w:rStyle w:val="TextoNormalCaracter"/>
          </w:rPr>
          <w:t>118/1997</w:t>
        </w:r>
      </w:hyperlink>
      <w:r w:rsidRPr="008E589A">
        <w:rPr>
          <w:rStyle w:val="TextoNormalCaracter"/>
        </w:rPr>
        <w:t>, VP.</w:t>
      </w:r>
    </w:p>
    <w:p w:rsidR="008E589A" w:rsidRPr="008E589A" w:rsidRDefault="008E589A" w:rsidP="008E589A">
      <w:pPr>
        <w:pStyle w:val="TextoNormalSangraFrancesa"/>
        <w:rPr>
          <w:rStyle w:val="TextoNormalCaracter"/>
        </w:rPr>
      </w:pPr>
      <w:bookmarkStart w:id="924" w:name="DESCRIPTORALFABETICO207"/>
      <w:r w:rsidRPr="008E589A">
        <w:rPr>
          <w:rStyle w:val="TextoNormalNegritaCaracter"/>
        </w:rPr>
        <w:t>Irretroactividad de las normas sancionadoras desfavorables</w:t>
      </w:r>
      <w:bookmarkEnd w:id="924"/>
      <w:r w:rsidRPr="008E589A">
        <w:rPr>
          <w:rStyle w:val="TextoNormalCaracter"/>
        </w:rPr>
        <w:t xml:space="preserve">, Sentencias </w:t>
      </w:r>
      <w:hyperlink w:anchor="SENTENCIA_1997_117" w:history="1">
        <w:r w:rsidRPr="008E589A">
          <w:rPr>
            <w:rStyle w:val="TextoNormalCaracter"/>
          </w:rPr>
          <w:t>117/1997</w:t>
        </w:r>
      </w:hyperlink>
      <w:r w:rsidRPr="008E589A">
        <w:rPr>
          <w:rStyle w:val="TextoNormalCaracter"/>
        </w:rPr>
        <w:t xml:space="preserve">, f. 3; </w:t>
      </w:r>
      <w:hyperlink w:anchor="SENTENCIA_1997_129" w:history="1">
        <w:r w:rsidRPr="008E589A">
          <w:rPr>
            <w:rStyle w:val="TextoNormalCaracter"/>
          </w:rPr>
          <w:t>129/1997</w:t>
        </w:r>
      </w:hyperlink>
      <w:r w:rsidRPr="008E589A">
        <w:rPr>
          <w:rStyle w:val="TextoNormalCaracter"/>
        </w:rPr>
        <w:t>, f. 3.</w:t>
      </w:r>
    </w:p>
    <w:p w:rsidR="008E589A" w:rsidRPr="008E589A" w:rsidRDefault="008E589A" w:rsidP="008E589A">
      <w:pPr>
        <w:pStyle w:val="TextoNormalSangraFrancesa"/>
        <w:rPr>
          <w:rStyle w:val="TextoNormalCaracter"/>
        </w:rPr>
      </w:pPr>
      <w:bookmarkStart w:id="925" w:name="DESCRIPTORALFABETICO27"/>
      <w:r w:rsidRPr="008E589A">
        <w:rPr>
          <w:rStyle w:val="TextoNormalNegritaCaracter"/>
          <w:i/>
        </w:rPr>
        <w:t>Ius in officium</w:t>
      </w:r>
      <w:bookmarkEnd w:id="925"/>
      <w:r w:rsidRPr="008E589A">
        <w:rPr>
          <w:rStyle w:val="TextoNormalCaracter"/>
        </w:rPr>
        <w:t xml:space="preserve">, Auto </w:t>
      </w:r>
      <w:hyperlink w:anchor="AUTO_1997_240" w:history="1">
        <w:r w:rsidRPr="008E589A">
          <w:rPr>
            <w:rStyle w:val="TextoNormalCaracter"/>
          </w:rPr>
          <w:t>240/1997</w:t>
        </w:r>
      </w:hyperlink>
      <w:r w:rsidRPr="008E589A">
        <w:rPr>
          <w:rStyle w:val="TextoNormalCaracter"/>
        </w:rPr>
        <w:t>.</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J</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926" w:name="DESCRIPTORALFABETICO411"/>
      <w:r w:rsidRPr="008E589A">
        <w:rPr>
          <w:rStyle w:val="TextoNormalNegritaCaracter"/>
        </w:rPr>
        <w:t>Juicio de faltas</w:t>
      </w:r>
      <w:bookmarkEnd w:id="926"/>
      <w:r w:rsidRPr="008E589A">
        <w:rPr>
          <w:rStyle w:val="TextoNormalCaracter"/>
        </w:rPr>
        <w:t xml:space="preserve">, Sentencias </w:t>
      </w:r>
      <w:hyperlink w:anchor="SENTENCIA_1997_131" w:history="1">
        <w:r w:rsidRPr="008E589A">
          <w:rPr>
            <w:rStyle w:val="TextoNormalCaracter"/>
          </w:rPr>
          <w:t>131/1997</w:t>
        </w:r>
      </w:hyperlink>
      <w:r w:rsidRPr="008E589A">
        <w:rPr>
          <w:rStyle w:val="TextoNormalCaracter"/>
        </w:rPr>
        <w:t xml:space="preserve">, f. 2; </w:t>
      </w:r>
      <w:hyperlink w:anchor="SENTENCIA_1997_135" w:history="1">
        <w:r w:rsidRPr="008E589A">
          <w:rPr>
            <w:rStyle w:val="TextoNormalCaracter"/>
          </w:rPr>
          <w:t>135/1997</w:t>
        </w:r>
      </w:hyperlink>
      <w:r w:rsidRPr="008E589A">
        <w:rPr>
          <w:rStyle w:val="TextoNormalCaracter"/>
        </w:rPr>
        <w:t>, ff. 4, 5.</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35" w:history="1">
        <w:r w:rsidRPr="008E589A">
          <w:rPr>
            <w:rStyle w:val="TextoNormalCaracter"/>
          </w:rPr>
          <w:t>235/1997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Juicio incidental de protección de derechos fundamentales</w:t>
      </w:r>
      <w:r>
        <w:t xml:space="preserve"> véase </w:t>
      </w:r>
      <w:hyperlink w:anchor="DESCRIPTORALFABETICO292" w:history="1">
        <w:r w:rsidRPr="008E589A">
          <w:rPr>
            <w:rStyle w:val="TextoNormalNegritaCaracter"/>
          </w:rPr>
          <w:t>Procedimiento especial de la ley de protección jurisdiccional de los derechos fundamentales</w:t>
        </w:r>
      </w:hyperlink>
    </w:p>
    <w:p w:rsidR="008E589A" w:rsidRPr="008E589A" w:rsidRDefault="008E589A" w:rsidP="008E589A">
      <w:pPr>
        <w:pStyle w:val="TextoNormalSangraFrancesa"/>
        <w:rPr>
          <w:rStyle w:val="TextoNormalCaracter"/>
        </w:rPr>
      </w:pPr>
      <w:bookmarkStart w:id="927" w:name="DESCRIPTORALFABETICO412"/>
      <w:r w:rsidRPr="008E589A">
        <w:rPr>
          <w:rStyle w:val="TextoNormalNegritaCaracter"/>
        </w:rPr>
        <w:t>Juicio oral</w:t>
      </w:r>
      <w:bookmarkEnd w:id="927"/>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 7.</w:t>
      </w:r>
    </w:p>
    <w:p w:rsidR="008E589A" w:rsidRPr="008E589A" w:rsidRDefault="008E589A" w:rsidP="008E589A">
      <w:pPr>
        <w:pStyle w:val="TextoNormalSangraFrancesa"/>
        <w:rPr>
          <w:rStyle w:val="TextoNormalCaracter"/>
        </w:rPr>
      </w:pPr>
      <w:bookmarkStart w:id="928" w:name="DESCRIPTORALFABETICO385"/>
      <w:r w:rsidRPr="008E589A">
        <w:rPr>
          <w:rStyle w:val="TextoNormalNegritaCaracter"/>
        </w:rPr>
        <w:lastRenderedPageBreak/>
        <w:t>Juicios sumarios</w:t>
      </w:r>
      <w:bookmarkEnd w:id="928"/>
      <w:r w:rsidRPr="008E589A">
        <w:rPr>
          <w:rStyle w:val="TextoNormalCaracter"/>
        </w:rPr>
        <w:t xml:space="preserve">, Sentencia </w:t>
      </w:r>
      <w:hyperlink w:anchor="SENTENCIA_1997_99" w:history="1">
        <w:r w:rsidRPr="008E589A">
          <w:rPr>
            <w:rStyle w:val="TextoNormalCaracter"/>
          </w:rPr>
          <w:t>99/1997</w:t>
        </w:r>
      </w:hyperlink>
      <w:r w:rsidRPr="008E589A">
        <w:rPr>
          <w:rStyle w:val="TextoNormalCaracter"/>
        </w:rPr>
        <w:t>, f. 2.</w:t>
      </w:r>
    </w:p>
    <w:p w:rsidR="008E589A" w:rsidRPr="008E589A" w:rsidRDefault="008E589A" w:rsidP="008E589A">
      <w:pPr>
        <w:pStyle w:val="TextoNormalSangraFrancesa"/>
        <w:rPr>
          <w:rStyle w:val="TextoNormalCaracter"/>
        </w:rPr>
      </w:pPr>
      <w:bookmarkStart w:id="929" w:name="DESCRIPTORALFABETICO95"/>
      <w:r w:rsidRPr="008E589A">
        <w:rPr>
          <w:rStyle w:val="TextoNormalNegritaCaracter"/>
        </w:rPr>
        <w:t>Jurisdicción constitucional</w:t>
      </w:r>
      <w:bookmarkEnd w:id="929"/>
      <w:r w:rsidRPr="008E589A">
        <w:rPr>
          <w:rStyle w:val="TextoNormalCaracter"/>
        </w:rPr>
        <w:t xml:space="preserve">, Sentencias </w:t>
      </w:r>
      <w:hyperlink w:anchor="SENTENCIA_1997_96" w:history="1">
        <w:r w:rsidRPr="008E589A">
          <w:rPr>
            <w:rStyle w:val="TextoNormalCaracter"/>
          </w:rPr>
          <w:t>96/1997</w:t>
        </w:r>
      </w:hyperlink>
      <w:r w:rsidRPr="008E589A">
        <w:rPr>
          <w:rStyle w:val="TextoNormalCaracter"/>
        </w:rPr>
        <w:t xml:space="preserve">, f. 5; </w:t>
      </w:r>
      <w:hyperlink w:anchor="SENTENCIA_1997_137" w:history="1">
        <w:r w:rsidRPr="008E589A">
          <w:rPr>
            <w:rStyle w:val="TextoNormalCaracter"/>
          </w:rPr>
          <w:t>137/1997</w:t>
        </w:r>
      </w:hyperlink>
      <w:r w:rsidRPr="008E589A">
        <w:rPr>
          <w:rStyle w:val="TextoNormalCaracter"/>
        </w:rPr>
        <w:t>, f. 7.</w:t>
      </w:r>
    </w:p>
    <w:p w:rsidR="008E589A" w:rsidRPr="008E589A" w:rsidRDefault="008E589A" w:rsidP="008E589A">
      <w:pPr>
        <w:pStyle w:val="TextoNormalSangraFrancesa"/>
        <w:rPr>
          <w:rStyle w:val="TextoNormalCaracter"/>
        </w:rPr>
      </w:pPr>
      <w:bookmarkStart w:id="930" w:name="DESCRIPTORALFABETICO290"/>
      <w:r w:rsidRPr="008E589A">
        <w:rPr>
          <w:rStyle w:val="TextoNormalNegritaCaracter"/>
        </w:rPr>
        <w:t>Jurisdicción contencioso-administrativa</w:t>
      </w:r>
      <w:bookmarkEnd w:id="930"/>
      <w:r w:rsidRPr="008E589A">
        <w:rPr>
          <w:rStyle w:val="TextoNormalCaracter"/>
        </w:rPr>
        <w:t xml:space="preserve">, Sentencia </w:t>
      </w:r>
      <w:hyperlink w:anchor="SENTENCIA_1997_95" w:history="1">
        <w:r w:rsidRPr="008E589A">
          <w:rPr>
            <w:rStyle w:val="TextoNormalCaracter"/>
          </w:rPr>
          <w:t>95/1997</w:t>
        </w:r>
      </w:hyperlink>
      <w:r w:rsidRPr="008E589A">
        <w:rPr>
          <w:rStyle w:val="TextoNormalCaracter"/>
        </w:rPr>
        <w:t>, f. 4.</w:t>
      </w:r>
    </w:p>
    <w:p w:rsidR="008E589A" w:rsidRPr="008E589A" w:rsidRDefault="008E589A" w:rsidP="008E589A">
      <w:pPr>
        <w:pStyle w:val="TextoNormalSangraFrancesa"/>
        <w:rPr>
          <w:rStyle w:val="TextoNormalNegritaCaracter"/>
        </w:rPr>
      </w:pPr>
      <w:r w:rsidRPr="008E589A">
        <w:rPr>
          <w:rStyle w:val="TextoNormalCursivaCaracter"/>
        </w:rPr>
        <w:t>Jurisdicción del Tribunal Constitucional</w:t>
      </w:r>
      <w:r>
        <w:t xml:space="preserve"> véase </w:t>
      </w:r>
      <w:hyperlink w:anchor="DESCRIPTORALFABETICO95" w:history="1">
        <w:r w:rsidRPr="008E589A">
          <w:rPr>
            <w:rStyle w:val="TextoNormalNegritaCaracter"/>
          </w:rPr>
          <w:t>Jurisdicción constitucional</w:t>
        </w:r>
      </w:hyperlink>
    </w:p>
    <w:p w:rsidR="008E589A" w:rsidRPr="008E589A" w:rsidRDefault="008E589A" w:rsidP="008E589A">
      <w:pPr>
        <w:pStyle w:val="TextoNormalSangraFrancesa"/>
        <w:rPr>
          <w:rStyle w:val="TextoNormalCaracter"/>
        </w:rPr>
      </w:pPr>
      <w:bookmarkStart w:id="931" w:name="DESCRIPTORALFABETICO289"/>
      <w:r w:rsidRPr="008E589A">
        <w:rPr>
          <w:rStyle w:val="TextoNormalNegritaCaracter"/>
        </w:rPr>
        <w:t>Jurisdicción voluntaria</w:t>
      </w:r>
      <w:bookmarkEnd w:id="931"/>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 3.</w:t>
      </w:r>
    </w:p>
    <w:p w:rsidR="008E589A" w:rsidRPr="008E589A" w:rsidRDefault="008E589A" w:rsidP="008E589A">
      <w:pPr>
        <w:pStyle w:val="TextoNormalSangraFrancesa"/>
        <w:rPr>
          <w:rStyle w:val="TextoNormalCaracter"/>
        </w:rPr>
      </w:pPr>
      <w:bookmarkStart w:id="932" w:name="DESCRIPTORALFABETICO391"/>
      <w:r w:rsidRPr="008E589A">
        <w:rPr>
          <w:rStyle w:val="TextoNormalNegritaCaracter"/>
        </w:rPr>
        <w:t>Justificación de la reclamación administrativa previa</w:t>
      </w:r>
      <w:bookmarkEnd w:id="932"/>
      <w:r w:rsidRPr="008E589A">
        <w:rPr>
          <w:rStyle w:val="TextoNormalCaracter"/>
        </w:rPr>
        <w:t xml:space="preserve">, Sentencia </w:t>
      </w:r>
      <w:hyperlink w:anchor="SENTENCIA_1997_112" w:history="1">
        <w:r w:rsidRPr="008E589A">
          <w:rPr>
            <w:rStyle w:val="TextoNormalCaracter"/>
          </w:rPr>
          <w:t>112/1997</w:t>
        </w:r>
      </w:hyperlink>
      <w:r w:rsidRPr="008E589A">
        <w:rPr>
          <w:rStyle w:val="TextoNormalCaracter"/>
        </w:rPr>
        <w:t>, f. 4.</w:t>
      </w:r>
    </w:p>
    <w:p w:rsidR="008E589A" w:rsidRPr="008E589A" w:rsidRDefault="008E589A" w:rsidP="008E589A">
      <w:pPr>
        <w:pStyle w:val="TextoNormalSangraFrancesa"/>
        <w:rPr>
          <w:rStyle w:val="TextoNormalCaracter"/>
        </w:rPr>
      </w:pPr>
      <w:bookmarkStart w:id="933" w:name="DESCRIPTORALFABETICO169"/>
      <w:r w:rsidRPr="008E589A">
        <w:rPr>
          <w:rStyle w:val="TextoNormalNegritaCaracter"/>
        </w:rPr>
        <w:t>Juzgado de Instrucción</w:t>
      </w:r>
      <w:bookmarkEnd w:id="933"/>
      <w:r w:rsidRPr="008E589A">
        <w:rPr>
          <w:rStyle w:val="TextoNormalCaracter"/>
        </w:rPr>
        <w:t xml:space="preserve">, Sentencia </w:t>
      </w:r>
      <w:hyperlink w:anchor="SENTENCIA_1997_98" w:history="1">
        <w:r w:rsidRPr="008E589A">
          <w:rPr>
            <w:rStyle w:val="TextoNormalCaracter"/>
          </w:rPr>
          <w:t>98/1997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35" w:history="1">
        <w:r w:rsidRPr="008E589A">
          <w:rPr>
            <w:rStyle w:val="TextoNormalCaracter"/>
          </w:rPr>
          <w:t>235/1997</w:t>
        </w:r>
      </w:hyperlink>
      <w:r w:rsidRPr="008E589A">
        <w:rPr>
          <w:rStyle w:val="TextoNormalCaracter"/>
        </w:rPr>
        <w:t>.</w:t>
      </w:r>
    </w:p>
    <w:p w:rsidR="008E589A" w:rsidRPr="008E589A" w:rsidRDefault="008E589A" w:rsidP="008E589A">
      <w:pPr>
        <w:pStyle w:val="TextoNormalSangraFrancesa"/>
        <w:rPr>
          <w:rStyle w:val="TextoNormalCaracter"/>
        </w:rPr>
      </w:pPr>
      <w:bookmarkStart w:id="934" w:name="DESCRIPTORALFABETICO170"/>
      <w:r w:rsidRPr="008E589A">
        <w:rPr>
          <w:rStyle w:val="TextoNormalNegritaCaracter"/>
        </w:rPr>
        <w:t>Juzgado de Paz</w:t>
      </w:r>
      <w:bookmarkEnd w:id="934"/>
      <w:r w:rsidRPr="008E589A">
        <w:rPr>
          <w:rStyle w:val="TextoNormalCaracter"/>
        </w:rPr>
        <w:t xml:space="preserve">, Auto </w:t>
      </w:r>
      <w:hyperlink w:anchor="AUTO_1997_235" w:history="1">
        <w:r w:rsidRPr="008E589A">
          <w:rPr>
            <w:rStyle w:val="TextoNormalCaracter"/>
          </w:rPr>
          <w:t>235/1997</w:t>
        </w:r>
      </w:hyperlink>
      <w:r w:rsidRPr="008E589A">
        <w:rPr>
          <w:rStyle w:val="TextoNormalCaracter"/>
        </w:rPr>
        <w:t>.</w:t>
      </w:r>
    </w:p>
    <w:p w:rsidR="008E589A" w:rsidRPr="008E589A" w:rsidRDefault="008E589A" w:rsidP="008E589A">
      <w:pPr>
        <w:pStyle w:val="TextoNormalSangraFrancesa"/>
        <w:rPr>
          <w:rStyle w:val="TextoNormalCaracter"/>
        </w:rPr>
      </w:pPr>
      <w:bookmarkStart w:id="935" w:name="DESCRIPTORALFABETICO171"/>
      <w:r w:rsidRPr="008E589A">
        <w:rPr>
          <w:rStyle w:val="TextoNormalNegritaCaracter"/>
        </w:rPr>
        <w:t>Juzgado de Vigilancia Penitenciaria</w:t>
      </w:r>
      <w:bookmarkEnd w:id="935"/>
      <w:r w:rsidRPr="008E589A">
        <w:rPr>
          <w:rStyle w:val="TextoNormalCaracter"/>
        </w:rPr>
        <w:t xml:space="preserve">, Sentencia </w:t>
      </w:r>
      <w:hyperlink w:anchor="SENTENCIA_1997_128" w:history="1">
        <w:r w:rsidRPr="008E589A">
          <w:rPr>
            <w:rStyle w:val="TextoNormalCaracter"/>
          </w:rPr>
          <w:t>128/1997</w:t>
        </w:r>
      </w:hyperlink>
      <w:r w:rsidRPr="008E589A">
        <w:rPr>
          <w:rStyle w:val="TextoNormalCaracter"/>
        </w:rPr>
        <w:t>, f. 5, VP.</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L</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936" w:name="DESCRIPTORALFABETICO260"/>
      <w:r w:rsidRPr="008E589A">
        <w:rPr>
          <w:rStyle w:val="TextoNormalNegritaCaracter"/>
        </w:rPr>
        <w:t>Lagunas legales</w:t>
      </w:r>
      <w:bookmarkEnd w:id="936"/>
      <w:r w:rsidRPr="008E589A">
        <w:rPr>
          <w:rStyle w:val="TextoNormalCaracter"/>
        </w:rPr>
        <w:t xml:space="preserve">, Sentencias </w:t>
      </w:r>
      <w:hyperlink w:anchor="SENTENCIA_1997_117" w:history="1">
        <w:r w:rsidRPr="008E589A">
          <w:rPr>
            <w:rStyle w:val="TextoNormalCaracter"/>
          </w:rPr>
          <w:t>117/1997</w:t>
        </w:r>
      </w:hyperlink>
      <w:r w:rsidRPr="008E589A">
        <w:rPr>
          <w:rStyle w:val="TextoNormalCaracter"/>
        </w:rPr>
        <w:t xml:space="preserve">, f. 3; </w:t>
      </w:r>
      <w:hyperlink w:anchor="SENTENCIA_1997_129" w:history="1">
        <w:r w:rsidRPr="008E589A">
          <w:rPr>
            <w:rStyle w:val="TextoNormalCaracter"/>
          </w:rPr>
          <w:t>129/1997</w:t>
        </w:r>
      </w:hyperlink>
      <w:r w:rsidRPr="008E589A">
        <w:rPr>
          <w:rStyle w:val="TextoNormalCaracter"/>
        </w:rPr>
        <w:t>, f. 3.</w:t>
      </w:r>
    </w:p>
    <w:p w:rsidR="008E589A" w:rsidRPr="008E589A" w:rsidRDefault="008E589A" w:rsidP="008E589A">
      <w:pPr>
        <w:pStyle w:val="TextoNormalSangraFrancesa"/>
        <w:rPr>
          <w:rStyle w:val="TextoNormalNegritaCaracter"/>
        </w:rPr>
      </w:pPr>
      <w:r w:rsidRPr="008E589A">
        <w:rPr>
          <w:rStyle w:val="TextoNormalCursivaCaracter"/>
        </w:rPr>
        <w:t>Legalidad presupuestaria</w:t>
      </w:r>
      <w:r>
        <w:t xml:space="preserve"> véase </w:t>
      </w:r>
      <w:hyperlink w:anchor="DESCRIPTORALFABETICO191" w:history="1">
        <w:r w:rsidRPr="008E589A">
          <w:rPr>
            <w:rStyle w:val="TextoNormalNegritaCaracter"/>
          </w:rPr>
          <w:t>Principio de legalidad presupuestaria</w:t>
        </w:r>
      </w:hyperlink>
    </w:p>
    <w:p w:rsidR="008E589A" w:rsidRPr="008E589A" w:rsidRDefault="008E589A" w:rsidP="008E589A">
      <w:pPr>
        <w:pStyle w:val="TextoNormalSangraFrancesa"/>
        <w:rPr>
          <w:rStyle w:val="TextoNormalCaracter"/>
        </w:rPr>
      </w:pPr>
      <w:bookmarkStart w:id="937" w:name="DESCRIPTORALFABETICO239"/>
      <w:r w:rsidRPr="008E589A">
        <w:rPr>
          <w:rStyle w:val="TextoNormalNegritaCaracter"/>
        </w:rPr>
        <w:t>Legislación básica</w:t>
      </w:r>
      <w:bookmarkEnd w:id="937"/>
      <w:r w:rsidRPr="008E589A">
        <w:rPr>
          <w:rStyle w:val="TextoNormalCaracter"/>
        </w:rPr>
        <w:t xml:space="preserve">, Sentencias </w:t>
      </w:r>
      <w:hyperlink w:anchor="SENTENCIA_1997_103" w:history="1">
        <w:r w:rsidRPr="008E589A">
          <w:rPr>
            <w:rStyle w:val="TextoNormalCaracter"/>
          </w:rPr>
          <w:t>103/1997</w:t>
        </w:r>
      </w:hyperlink>
      <w:r w:rsidRPr="008E589A">
        <w:rPr>
          <w:rStyle w:val="TextoNormalCaracter"/>
        </w:rPr>
        <w:t xml:space="preserve">, f. 2; </w:t>
      </w:r>
      <w:hyperlink w:anchor="SENTENCIA_1997_133" w:history="1">
        <w:r w:rsidRPr="008E589A">
          <w:rPr>
            <w:rStyle w:val="TextoNormalCaracter"/>
          </w:rPr>
          <w:t>133/1997</w:t>
        </w:r>
      </w:hyperlink>
      <w:r w:rsidRPr="008E589A">
        <w:rPr>
          <w:rStyle w:val="TextoNormalCaracter"/>
        </w:rPr>
        <w:t>, ff. 4, 5.</w:t>
      </w:r>
    </w:p>
    <w:p w:rsidR="008E589A" w:rsidRPr="008E589A" w:rsidRDefault="008E589A" w:rsidP="008E589A">
      <w:pPr>
        <w:pStyle w:val="TextoNormalSangraFrancesa"/>
        <w:rPr>
          <w:rStyle w:val="TextoNormalCaracter"/>
        </w:rPr>
      </w:pPr>
      <w:bookmarkStart w:id="938" w:name="DESCRIPTORALFABETICO243"/>
      <w:r w:rsidRPr="008E589A">
        <w:rPr>
          <w:rStyle w:val="TextoNormalNegritaCaracter"/>
        </w:rPr>
        <w:t>Legislación mercantil</w:t>
      </w:r>
      <w:bookmarkEnd w:id="938"/>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939" w:name="DESCRIPTORALFABETICO142"/>
      <w:r w:rsidRPr="008E589A">
        <w:rPr>
          <w:rStyle w:val="TextoNormalNegritaCaracter"/>
        </w:rPr>
        <w:t>Legitimación activa en el recurso de amparo</w:t>
      </w:r>
      <w:bookmarkEnd w:id="939"/>
      <w:r w:rsidRPr="008E589A">
        <w:rPr>
          <w:rStyle w:val="TextoNormalCaracter"/>
        </w:rPr>
        <w:t xml:space="preserve">, Sentencias </w:t>
      </w:r>
      <w:hyperlink w:anchor="SENTENCIA_1997_92" w:history="1">
        <w:r w:rsidRPr="008E589A">
          <w:rPr>
            <w:rStyle w:val="TextoNormalCaracter"/>
          </w:rPr>
          <w:t>92/1997</w:t>
        </w:r>
      </w:hyperlink>
      <w:r w:rsidRPr="008E589A">
        <w:rPr>
          <w:rStyle w:val="TextoNormalCaracter"/>
        </w:rPr>
        <w:t xml:space="preserve">, f. 1; </w:t>
      </w:r>
      <w:hyperlink w:anchor="SENTENCIA_1997_140" w:history="1">
        <w:r w:rsidRPr="008E589A">
          <w:rPr>
            <w:rStyle w:val="TextoNormalCaracter"/>
          </w:rPr>
          <w:t>140/1997</w:t>
        </w:r>
      </w:hyperlink>
      <w:r w:rsidRPr="008E589A">
        <w:rPr>
          <w:rStyle w:val="TextoNormalCaracter"/>
        </w:rPr>
        <w:t>, f. 1.</w:t>
      </w:r>
    </w:p>
    <w:p w:rsidR="008E589A" w:rsidRPr="008E589A" w:rsidRDefault="008E589A" w:rsidP="008E589A">
      <w:pPr>
        <w:pStyle w:val="TextoNormalSangraFrancesa"/>
        <w:rPr>
          <w:rStyle w:val="TextoNormalCaracter"/>
        </w:rPr>
      </w:pPr>
      <w:bookmarkStart w:id="940" w:name="DESCRIPTORALFABETICO196"/>
      <w:r w:rsidRPr="008E589A">
        <w:rPr>
          <w:rStyle w:val="TextoNormalNegritaCaracter"/>
        </w:rPr>
        <w:t>Lenguas españolas</w:t>
      </w:r>
      <w:bookmarkEnd w:id="940"/>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ff. 1, 2, 3, 4, 5.</w:t>
      </w:r>
    </w:p>
    <w:p w:rsidR="008E589A" w:rsidRPr="008E589A" w:rsidRDefault="008E589A" w:rsidP="008E589A">
      <w:pPr>
        <w:pStyle w:val="TextoNormalSangraFrancesa"/>
        <w:rPr>
          <w:rStyle w:val="TextoNormalCaracter"/>
        </w:rPr>
      </w:pPr>
      <w:bookmarkStart w:id="941" w:name="DESCRIPTORALFABETICO137"/>
      <w:r w:rsidRPr="008E589A">
        <w:rPr>
          <w:rStyle w:val="TextoNormalNegritaCaracter"/>
        </w:rPr>
        <w:t>Lesión hipotética del derecho fundamental</w:t>
      </w:r>
      <w:bookmarkEnd w:id="941"/>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 6.</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48" w:history="1">
        <w:r w:rsidRPr="008E589A">
          <w:rPr>
            <w:rStyle w:val="TextoNormalCaracter"/>
          </w:rPr>
          <w:t>148/1997</w:t>
        </w:r>
      </w:hyperlink>
      <w:r w:rsidRPr="008E589A">
        <w:rPr>
          <w:rStyle w:val="TextoNormalCaracter"/>
        </w:rPr>
        <w:t>.</w:t>
      </w:r>
    </w:p>
    <w:p w:rsidR="008E589A" w:rsidRPr="008E589A" w:rsidRDefault="008E589A" w:rsidP="008E589A">
      <w:pPr>
        <w:pStyle w:val="TextoNormalSangraFrancesa"/>
        <w:rPr>
          <w:rStyle w:val="TextoNormalCaracter"/>
        </w:rPr>
      </w:pPr>
      <w:bookmarkStart w:id="942" w:name="DESCRIPTORALFABETICO247"/>
      <w:r w:rsidRPr="008E589A">
        <w:rPr>
          <w:rStyle w:val="TextoNormalNegritaCaracter"/>
        </w:rPr>
        <w:t>Leyes autoaplicativas</w:t>
      </w:r>
      <w:bookmarkEnd w:id="942"/>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Leyes de bases</w:t>
      </w:r>
      <w:r>
        <w:t xml:space="preserve"> véase </w:t>
      </w:r>
      <w:hyperlink w:anchor="DESCRIPTORALFABETICO239" w:history="1">
        <w:r w:rsidRPr="008E589A">
          <w:rPr>
            <w:rStyle w:val="TextoNormalNegritaCaracter"/>
          </w:rPr>
          <w:t>Legislación básica</w:t>
        </w:r>
      </w:hyperlink>
    </w:p>
    <w:p w:rsidR="008E589A" w:rsidRPr="008E589A" w:rsidRDefault="008E589A" w:rsidP="008E589A">
      <w:pPr>
        <w:pStyle w:val="TextoNormalSangraFrancesa"/>
        <w:rPr>
          <w:rStyle w:val="TextoNormalCaracter"/>
        </w:rPr>
      </w:pPr>
      <w:bookmarkStart w:id="943" w:name="DESCRIPTORALFABETICO245"/>
      <w:r w:rsidRPr="008E589A">
        <w:rPr>
          <w:rStyle w:val="TextoNormalNegritaCaracter"/>
        </w:rPr>
        <w:t>Leyes de presupuestos de las Comunidades Autónomas</w:t>
      </w:r>
      <w:bookmarkEnd w:id="943"/>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ff. 1, 2, 3, 4.</w:t>
      </w:r>
    </w:p>
    <w:p w:rsidR="008E589A" w:rsidRPr="008E589A" w:rsidRDefault="008E589A" w:rsidP="008E589A">
      <w:pPr>
        <w:pStyle w:val="TextoNormalSangraFrancesa"/>
        <w:rPr>
          <w:rStyle w:val="TextoNormalCaracter"/>
        </w:rPr>
      </w:pPr>
      <w:bookmarkStart w:id="944" w:name="DESCRIPTORALFABETICO246"/>
      <w:r w:rsidRPr="008E589A">
        <w:rPr>
          <w:rStyle w:val="TextoNormalNegritaCaracter"/>
        </w:rPr>
        <w:t>Leyes de presupuestos generales del Estado</w:t>
      </w:r>
      <w:bookmarkEnd w:id="944"/>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1.</w:t>
      </w:r>
    </w:p>
    <w:p w:rsidR="008E589A" w:rsidRPr="008E589A" w:rsidRDefault="008E589A" w:rsidP="008E589A">
      <w:pPr>
        <w:pStyle w:val="TextoNormalSangraFrancesa"/>
        <w:rPr>
          <w:rStyle w:val="TextoNormalNegritaCaracter"/>
        </w:rPr>
      </w:pPr>
      <w:r w:rsidRPr="008E589A">
        <w:rPr>
          <w:rStyle w:val="TextoNormalCursivaCaracter"/>
        </w:rPr>
        <w:t>Libertad de comunicación</w:t>
      </w:r>
      <w:r>
        <w:t xml:space="preserve"> véase </w:t>
      </w:r>
      <w:hyperlink w:anchor="DESCRIPTORALFABETICO84" w:history="1">
        <w:r w:rsidRPr="008E589A">
          <w:rPr>
            <w:rStyle w:val="TextoNormalNegritaCaracter"/>
          </w:rPr>
          <w:t>Derecho a comunicar libremente información</w:t>
        </w:r>
      </w:hyperlink>
    </w:p>
    <w:p w:rsidR="008E589A" w:rsidRPr="008E589A" w:rsidRDefault="008E589A" w:rsidP="008E589A">
      <w:pPr>
        <w:pStyle w:val="TextoNormalSangraFrancesa"/>
        <w:rPr>
          <w:rStyle w:val="TextoNormalCaracter"/>
        </w:rPr>
      </w:pPr>
      <w:bookmarkStart w:id="945" w:name="DESCRIPTORALFABETICO85"/>
      <w:r w:rsidRPr="008E589A">
        <w:rPr>
          <w:rStyle w:val="TextoNormalNegritaCaracter"/>
        </w:rPr>
        <w:t>Libertad sindical</w:t>
      </w:r>
      <w:bookmarkEnd w:id="945"/>
      <w:r w:rsidRPr="008E589A">
        <w:rPr>
          <w:rStyle w:val="TextoNormalCaracter"/>
        </w:rPr>
        <w:t xml:space="preserve">, Sentencias </w:t>
      </w:r>
      <w:hyperlink w:anchor="SENTENCIA_1997_90" w:history="1">
        <w:r w:rsidRPr="008E589A">
          <w:rPr>
            <w:rStyle w:val="TextoNormalCaracter"/>
          </w:rPr>
          <w:t>90/1997</w:t>
        </w:r>
      </w:hyperlink>
      <w:r w:rsidRPr="008E589A">
        <w:rPr>
          <w:rStyle w:val="TextoNormalCaracter"/>
        </w:rPr>
        <w:t xml:space="preserve">, f. 2; </w:t>
      </w:r>
      <w:hyperlink w:anchor="SENTENCIA_1997_105" w:history="1">
        <w:r w:rsidRPr="008E589A">
          <w:rPr>
            <w:rStyle w:val="TextoNormalCaracter"/>
          </w:rPr>
          <w:t>105/1997</w:t>
        </w:r>
      </w:hyperlink>
      <w:r w:rsidRPr="008E589A">
        <w:rPr>
          <w:rStyle w:val="TextoNormalCaracter"/>
        </w:rPr>
        <w:t xml:space="preserve">, f. 5; </w:t>
      </w:r>
      <w:hyperlink w:anchor="SENTENCIA_1997_121" w:history="1">
        <w:r w:rsidRPr="008E589A">
          <w:rPr>
            <w:rStyle w:val="TextoNormalCaracter"/>
          </w:rPr>
          <w:t>121/1997</w:t>
        </w:r>
      </w:hyperlink>
      <w:r w:rsidRPr="008E589A">
        <w:rPr>
          <w:rStyle w:val="TextoNormalCaracter"/>
        </w:rPr>
        <w:t>, ff. 5, 9.</w:t>
      </w:r>
    </w:p>
    <w:p w:rsidR="008E589A" w:rsidRPr="008E589A" w:rsidRDefault="008E589A" w:rsidP="008E589A">
      <w:pPr>
        <w:pStyle w:val="TextoNormalSangraFrancesa"/>
        <w:rPr>
          <w:rStyle w:val="TextoNormalCaracter"/>
        </w:rPr>
      </w:pPr>
      <w:bookmarkStart w:id="946" w:name="DESCRIPTORALFABETICO90"/>
      <w:r w:rsidRPr="008E589A">
        <w:rPr>
          <w:rStyle w:val="TextoNormalNegritaCaracter"/>
        </w:rPr>
        <w:t>Limitación de derechos fundamentales</w:t>
      </w:r>
      <w:bookmarkEnd w:id="946"/>
      <w:r w:rsidRPr="008E589A">
        <w:rPr>
          <w:rStyle w:val="TextoNormalCaracter"/>
        </w:rPr>
        <w:t xml:space="preserve">, Sentencias </w:t>
      </w:r>
      <w:hyperlink w:anchor="SENTENCIA_1997_105" w:history="1">
        <w:r w:rsidRPr="008E589A">
          <w:rPr>
            <w:rStyle w:val="TextoNormalCaracter"/>
          </w:rPr>
          <w:t>105/1997</w:t>
        </w:r>
      </w:hyperlink>
      <w:r w:rsidRPr="008E589A">
        <w:rPr>
          <w:rStyle w:val="TextoNormalCaracter"/>
        </w:rPr>
        <w:t xml:space="preserve">, f. 4; </w:t>
      </w:r>
      <w:hyperlink w:anchor="SENTENCIA_1997_123" w:history="1">
        <w:r w:rsidRPr="008E589A">
          <w:rPr>
            <w:rStyle w:val="TextoNormalCaracter"/>
          </w:rPr>
          <w:t>123/1997</w:t>
        </w:r>
      </w:hyperlink>
      <w:r w:rsidRPr="008E589A">
        <w:rPr>
          <w:rStyle w:val="TextoNormalCaracter"/>
        </w:rPr>
        <w:t>, f. 4.</w:t>
      </w:r>
    </w:p>
    <w:p w:rsidR="008E589A" w:rsidRPr="008E589A" w:rsidRDefault="008E589A" w:rsidP="008E589A">
      <w:pPr>
        <w:pStyle w:val="TextoNormalSangraFrancesa"/>
        <w:rPr>
          <w:rStyle w:val="TextoNormalCaracter"/>
        </w:rPr>
      </w:pPr>
      <w:bookmarkStart w:id="947" w:name="DESCRIPTORALFABETICO280"/>
      <w:r w:rsidRPr="008E589A">
        <w:rPr>
          <w:rStyle w:val="TextoNormalNegritaCaracter"/>
        </w:rPr>
        <w:t>Limitaciones recíprocas de los derechos de empresario y trabajador</w:t>
      </w:r>
      <w:bookmarkEnd w:id="947"/>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 4.</w:t>
      </w:r>
    </w:p>
    <w:p w:rsidR="008E589A" w:rsidRPr="008E589A" w:rsidRDefault="008E589A" w:rsidP="008E589A">
      <w:pPr>
        <w:pStyle w:val="TextoNormalSangraFrancesa"/>
        <w:rPr>
          <w:rStyle w:val="TextoNormalNegritaCaracter"/>
        </w:rPr>
      </w:pPr>
      <w:r w:rsidRPr="008E589A">
        <w:rPr>
          <w:rStyle w:val="TextoNormalCursivaCaracter"/>
        </w:rPr>
        <w:t>Límite de derechos fundamentales</w:t>
      </w:r>
      <w:r>
        <w:t xml:space="preserve"> véase </w:t>
      </w:r>
      <w:hyperlink w:anchor="DESCRIPTORALFABETICO90" w:history="1">
        <w:r w:rsidRPr="008E589A">
          <w:rPr>
            <w:rStyle w:val="TextoNormalNegritaCaracter"/>
          </w:rPr>
          <w:t>Limitación de derechos fundamentales</w:t>
        </w:r>
      </w:hyperlink>
    </w:p>
    <w:p w:rsidR="008E589A" w:rsidRPr="008E589A" w:rsidRDefault="008E589A" w:rsidP="008E589A">
      <w:pPr>
        <w:pStyle w:val="TextoNormalSangraFrancesa"/>
        <w:rPr>
          <w:rStyle w:val="TextoNormalNegritaCaracter"/>
        </w:rPr>
      </w:pPr>
      <w:r w:rsidRPr="008E589A">
        <w:rPr>
          <w:rStyle w:val="TextoNormalCursivaCaracter"/>
        </w:rPr>
        <w:t>Límites en el ejercicio de derechos fundamentales</w:t>
      </w:r>
      <w:r>
        <w:t xml:space="preserve"> véase </w:t>
      </w:r>
      <w:hyperlink w:anchor="DESCRIPTORALFABETICO90" w:history="1">
        <w:r w:rsidRPr="008E589A">
          <w:rPr>
            <w:rStyle w:val="TextoNormalNegritaCaracter"/>
          </w:rPr>
          <w:t>Limitación de derechos fundamentales</w:t>
        </w:r>
      </w:hyperlink>
    </w:p>
    <w:p w:rsidR="008E589A" w:rsidRPr="008E589A" w:rsidRDefault="008E589A" w:rsidP="008E589A">
      <w:pPr>
        <w:pStyle w:val="TextoNormalSangraFrancesa"/>
        <w:rPr>
          <w:rStyle w:val="TextoNormalCaracter"/>
        </w:rPr>
      </w:pPr>
      <w:bookmarkStart w:id="948" w:name="DESCRIPTORALFABETICO19"/>
      <w:r w:rsidRPr="008E589A">
        <w:rPr>
          <w:rStyle w:val="TextoNormalNegritaCaracter"/>
        </w:rPr>
        <w:t>Liquidaciones tributarias</w:t>
      </w:r>
      <w:bookmarkEnd w:id="948"/>
      <w:r w:rsidRPr="008E589A">
        <w:rPr>
          <w:rStyle w:val="TextoNormalCaracter"/>
        </w:rPr>
        <w:t xml:space="preserve">, Sentencias </w:t>
      </w:r>
      <w:hyperlink w:anchor="SENTENCIA_1997_117" w:history="1">
        <w:r w:rsidRPr="008E589A">
          <w:rPr>
            <w:rStyle w:val="TextoNormalCaracter"/>
          </w:rPr>
          <w:t>117/1997</w:t>
        </w:r>
      </w:hyperlink>
      <w:r w:rsidRPr="008E589A">
        <w:rPr>
          <w:rStyle w:val="TextoNormalCaracter"/>
        </w:rPr>
        <w:t xml:space="preserve">, f. 3; </w:t>
      </w:r>
      <w:hyperlink w:anchor="SENTENCIA_1997_129" w:history="1">
        <w:r w:rsidRPr="008E589A">
          <w:rPr>
            <w:rStyle w:val="TextoNormalCaracter"/>
          </w:rPr>
          <w:t>129/1997</w:t>
        </w:r>
      </w:hyperlink>
      <w:r w:rsidRPr="008E589A">
        <w:rPr>
          <w:rStyle w:val="TextoNormalCaracter"/>
        </w:rPr>
        <w:t>, f. 3.</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M</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949" w:name="DESCRIPTORALFABETICO111"/>
      <w:r w:rsidRPr="008E589A">
        <w:rPr>
          <w:rStyle w:val="TextoNormalNegritaCaracter"/>
        </w:rPr>
        <w:t>Mantenimiento de la suspensión de disposiciones de las Comunidades Autónomas</w:t>
      </w:r>
      <w:bookmarkEnd w:id="949"/>
      <w:r w:rsidRPr="008E589A">
        <w:rPr>
          <w:rStyle w:val="TextoNormalCaracter"/>
        </w:rPr>
        <w:t xml:space="preserve">, Autos </w:t>
      </w:r>
      <w:hyperlink w:anchor="AUTO_1997_231" w:history="1">
        <w:r w:rsidRPr="008E589A">
          <w:rPr>
            <w:rStyle w:val="TextoNormalCaracter"/>
          </w:rPr>
          <w:t>231/1997</w:t>
        </w:r>
      </w:hyperlink>
      <w:r w:rsidRPr="008E589A">
        <w:rPr>
          <w:rStyle w:val="TextoNormalCaracter"/>
        </w:rPr>
        <w:t xml:space="preserve">; </w:t>
      </w:r>
      <w:hyperlink w:anchor="AUTO_1997_233" w:history="1">
        <w:r w:rsidRPr="008E589A">
          <w:rPr>
            <w:rStyle w:val="TextoNormalCaracter"/>
          </w:rPr>
          <w:t>233/1997</w:t>
        </w:r>
      </w:hyperlink>
      <w:r w:rsidRPr="008E589A">
        <w:rPr>
          <w:rStyle w:val="TextoNormalCaracter"/>
        </w:rPr>
        <w:t xml:space="preserve">; </w:t>
      </w:r>
      <w:hyperlink w:anchor="AUTO_1997_270" w:history="1">
        <w:r w:rsidRPr="008E589A">
          <w:rPr>
            <w:rStyle w:val="TextoNormalCaracter"/>
          </w:rPr>
          <w:t>270/1997</w:t>
        </w:r>
      </w:hyperlink>
      <w:r w:rsidRPr="008E589A">
        <w:rPr>
          <w:rStyle w:val="TextoNormalCaracter"/>
        </w:rPr>
        <w:t xml:space="preserve">; </w:t>
      </w:r>
      <w:hyperlink w:anchor="AUTO_1997_271" w:history="1">
        <w:r w:rsidRPr="008E589A">
          <w:rPr>
            <w:rStyle w:val="TextoNormalCaracter"/>
          </w:rPr>
          <w:t>271/1997</w:t>
        </w:r>
      </w:hyperlink>
      <w:r w:rsidRPr="008E589A">
        <w:rPr>
          <w:rStyle w:val="TextoNormalCaracter"/>
        </w:rPr>
        <w:t>.</w:t>
      </w:r>
    </w:p>
    <w:p w:rsidR="008E589A" w:rsidRPr="008E589A" w:rsidRDefault="008E589A" w:rsidP="008E589A">
      <w:pPr>
        <w:pStyle w:val="TextoNormalSangraFrancesa"/>
        <w:rPr>
          <w:rStyle w:val="TextoNormalCaracter"/>
        </w:rPr>
      </w:pPr>
      <w:bookmarkStart w:id="950" w:name="DESCRIPTORALFABETICO105"/>
      <w:r w:rsidRPr="008E589A">
        <w:rPr>
          <w:rStyle w:val="TextoNormalNegritaCaracter"/>
        </w:rPr>
        <w:t>Mantenimiento de la suspensión del acto que origina el amparo</w:t>
      </w:r>
      <w:bookmarkEnd w:id="950"/>
      <w:r w:rsidRPr="008E589A">
        <w:rPr>
          <w:rStyle w:val="TextoNormalCaracter"/>
        </w:rPr>
        <w:t xml:space="preserve">, Auto </w:t>
      </w:r>
      <w:hyperlink w:anchor="AUTO_1997_281" w:history="1">
        <w:r w:rsidRPr="008E589A">
          <w:rPr>
            <w:rStyle w:val="TextoNormalCaracter"/>
          </w:rPr>
          <w:t>281/1997</w:t>
        </w:r>
      </w:hyperlink>
      <w:r w:rsidRPr="008E589A">
        <w:rPr>
          <w:rStyle w:val="TextoNormalCaracter"/>
        </w:rPr>
        <w:t>.</w:t>
      </w:r>
    </w:p>
    <w:p w:rsidR="008E589A" w:rsidRPr="008E589A" w:rsidRDefault="008E589A" w:rsidP="008E589A">
      <w:pPr>
        <w:pStyle w:val="TextoNormalSangraFrancesa"/>
        <w:rPr>
          <w:rStyle w:val="TextoNormalCaracter"/>
        </w:rPr>
      </w:pPr>
      <w:bookmarkStart w:id="951" w:name="DESCRIPTORALFABETICO416"/>
      <w:r w:rsidRPr="008E589A">
        <w:rPr>
          <w:rStyle w:val="TextoNormalNegritaCaracter"/>
        </w:rPr>
        <w:t>Mantenimiento de prisión provisional</w:t>
      </w:r>
      <w:bookmarkEnd w:id="951"/>
      <w:r w:rsidRPr="008E589A">
        <w:rPr>
          <w:rStyle w:val="TextoNormalCaracter"/>
        </w:rPr>
        <w:t xml:space="preserve">, Sentencia </w:t>
      </w:r>
      <w:hyperlink w:anchor="SENTENCIA_1997_108" w:history="1">
        <w:r w:rsidRPr="008E589A">
          <w:rPr>
            <w:rStyle w:val="TextoNormalCaracter"/>
          </w:rPr>
          <w:t>108/1997</w:t>
        </w:r>
      </w:hyperlink>
      <w:r w:rsidRPr="008E589A">
        <w:rPr>
          <w:rStyle w:val="TextoNormalCaracter"/>
        </w:rPr>
        <w:t>, ff. 1, 2, 3, 4.</w:t>
      </w:r>
    </w:p>
    <w:p w:rsidR="008E589A" w:rsidRPr="008E589A" w:rsidRDefault="008E589A" w:rsidP="008E589A">
      <w:pPr>
        <w:pStyle w:val="TextoNormalSangraFrancesa"/>
        <w:rPr>
          <w:rStyle w:val="TextoNormalCaracter"/>
        </w:rPr>
      </w:pPr>
      <w:bookmarkStart w:id="952" w:name="DESCRIPTORALFABETICO351"/>
      <w:r w:rsidRPr="008E589A">
        <w:rPr>
          <w:rStyle w:val="TextoNormalNegritaCaracter"/>
        </w:rPr>
        <w:lastRenderedPageBreak/>
        <w:t>Medidas cautelares</w:t>
      </w:r>
      <w:bookmarkEnd w:id="952"/>
      <w:r w:rsidRPr="008E589A">
        <w:rPr>
          <w:rStyle w:val="TextoNormalCaracter"/>
        </w:rPr>
        <w:t xml:space="preserve">, Sentencias </w:t>
      </w:r>
      <w:hyperlink w:anchor="SENTENCIA_1997_98" w:history="1">
        <w:r w:rsidRPr="008E589A">
          <w:rPr>
            <w:rStyle w:val="TextoNormalCaracter"/>
          </w:rPr>
          <w:t>98/1997</w:t>
        </w:r>
      </w:hyperlink>
      <w:r w:rsidRPr="008E589A">
        <w:rPr>
          <w:rStyle w:val="TextoNormalCaracter"/>
        </w:rPr>
        <w:t xml:space="preserve">, f. 3; </w:t>
      </w:r>
      <w:hyperlink w:anchor="SENTENCIA_1997_107" w:history="1">
        <w:r w:rsidRPr="008E589A">
          <w:rPr>
            <w:rStyle w:val="TextoNormalCaracter"/>
          </w:rPr>
          <w:t>107/1997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Medidas penitenciarias</w:t>
      </w:r>
      <w:r>
        <w:t xml:space="preserve"> véase </w:t>
      </w:r>
      <w:hyperlink w:anchor="DESCRIPTORALFABETICO271" w:history="1">
        <w:r w:rsidRPr="008E589A">
          <w:rPr>
            <w:rStyle w:val="TextoNormalNegritaCaracter"/>
          </w:rPr>
          <w:t>Régimen penitenciario</w:t>
        </w:r>
      </w:hyperlink>
    </w:p>
    <w:p w:rsidR="008E589A" w:rsidRPr="008E589A" w:rsidRDefault="008E589A" w:rsidP="008E589A">
      <w:pPr>
        <w:pStyle w:val="TextoNormalSangraFrancesa"/>
        <w:rPr>
          <w:rStyle w:val="TextoNormalCaracter"/>
        </w:rPr>
      </w:pPr>
      <w:bookmarkStart w:id="953" w:name="DESCRIPTORALFABETICO266"/>
      <w:r w:rsidRPr="008E589A">
        <w:rPr>
          <w:rStyle w:val="TextoNormalNegritaCaracter"/>
        </w:rPr>
        <w:t>Menores</w:t>
      </w:r>
      <w:bookmarkEnd w:id="953"/>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 3.</w:t>
      </w:r>
    </w:p>
    <w:p w:rsidR="008E589A" w:rsidRPr="008E589A" w:rsidRDefault="008E589A" w:rsidP="008E589A">
      <w:pPr>
        <w:pStyle w:val="TextoNormalSangraFrancesa"/>
        <w:rPr>
          <w:rStyle w:val="TextoNormalCaracter"/>
        </w:rPr>
      </w:pPr>
      <w:bookmarkStart w:id="954" w:name="DESCRIPTORALFABETICO234"/>
      <w:r w:rsidRPr="008E589A">
        <w:rPr>
          <w:rStyle w:val="TextoNormalNegritaCaracter"/>
        </w:rPr>
        <w:t>Mercado de valores</w:t>
      </w:r>
      <w:bookmarkEnd w:id="954"/>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ff. 4, 5, 7.</w:t>
      </w:r>
    </w:p>
    <w:p w:rsidR="008E589A" w:rsidRPr="008E589A" w:rsidRDefault="008E589A" w:rsidP="008E589A">
      <w:pPr>
        <w:pStyle w:val="TextoNormalSangraFrancesa"/>
        <w:rPr>
          <w:rStyle w:val="TextoNormalCaracter"/>
        </w:rPr>
      </w:pPr>
      <w:r w:rsidRPr="008E589A">
        <w:rPr>
          <w:rStyle w:val="TextoNormalCursivaCaracter"/>
        </w:rPr>
        <w:t xml:space="preserve">    Concepto, </w:t>
      </w:r>
      <w:r w:rsidRPr="008E589A">
        <w:rPr>
          <w:rStyle w:val="TextoNormalCaracter"/>
        </w:rPr>
        <w:t xml:space="preserve">Sentencia </w:t>
      </w:r>
      <w:hyperlink w:anchor="SENTENCIA_1997_133" w:history="1">
        <w:r w:rsidRPr="008E589A">
          <w:rPr>
            <w:rStyle w:val="TextoNormalCaracter"/>
          </w:rPr>
          <w:t>133/1997</w:t>
        </w:r>
      </w:hyperlink>
      <w:r w:rsidRPr="008E589A">
        <w:rPr>
          <w:rStyle w:val="TextoNormalCaracter"/>
        </w:rPr>
        <w:t>, f. 3.</w:t>
      </w:r>
    </w:p>
    <w:p w:rsidR="008E589A" w:rsidRPr="008E589A" w:rsidRDefault="008E589A" w:rsidP="008E589A">
      <w:pPr>
        <w:pStyle w:val="TextoNormalSangraFrancesa"/>
        <w:rPr>
          <w:rStyle w:val="TextoNormalCaracter"/>
        </w:rPr>
      </w:pPr>
      <w:bookmarkStart w:id="955" w:name="DESCRIPTORALFABETICO167"/>
      <w:r w:rsidRPr="008E589A">
        <w:rPr>
          <w:rStyle w:val="TextoNormalNegritaCaracter"/>
        </w:rPr>
        <w:t>Ministerio Fiscal</w:t>
      </w:r>
      <w:bookmarkEnd w:id="955"/>
      <w:r w:rsidRPr="008E589A">
        <w:rPr>
          <w:rStyle w:val="TextoNormalCaracter"/>
        </w:rPr>
        <w:t xml:space="preserve">, Auto </w:t>
      </w:r>
      <w:hyperlink w:anchor="AUTO_1997_254" w:history="1">
        <w:r w:rsidRPr="008E589A">
          <w:rPr>
            <w:rStyle w:val="TextoNormalCaracter"/>
          </w:rPr>
          <w:t>254/1997</w:t>
        </w:r>
      </w:hyperlink>
      <w:r w:rsidRPr="008E589A">
        <w:rPr>
          <w:rStyle w:val="TextoNormalCaracter"/>
        </w:rPr>
        <w:t>.</w:t>
      </w:r>
    </w:p>
    <w:p w:rsidR="008E589A" w:rsidRPr="008E589A" w:rsidRDefault="008E589A" w:rsidP="008E589A">
      <w:pPr>
        <w:pStyle w:val="TextoNormalSangraFrancesa"/>
        <w:rPr>
          <w:rStyle w:val="TextoNormalCaracter"/>
        </w:rPr>
      </w:pPr>
      <w:bookmarkStart w:id="956" w:name="DESCRIPTORALFABETICO240"/>
      <w:r w:rsidRPr="008E589A">
        <w:rPr>
          <w:rStyle w:val="TextoNormalNegritaCaracter"/>
        </w:rPr>
        <w:t>Modificación de la legislación básica</w:t>
      </w:r>
      <w:bookmarkEnd w:id="956"/>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8.</w:t>
      </w:r>
    </w:p>
    <w:p w:rsidR="008E589A" w:rsidRPr="008E589A" w:rsidRDefault="008E589A" w:rsidP="008E589A">
      <w:pPr>
        <w:pStyle w:val="TextoNormalSangraFrancesa"/>
        <w:rPr>
          <w:rStyle w:val="TextoNormalCaracter"/>
        </w:rPr>
      </w:pPr>
      <w:bookmarkStart w:id="957" w:name="DESCRIPTORALFABETICO417"/>
      <w:r w:rsidRPr="008E589A">
        <w:rPr>
          <w:rStyle w:val="TextoNormalNegritaCaracter"/>
        </w:rPr>
        <w:t>Motivación de la prisión provisional por el riesgo de fuga</w:t>
      </w:r>
      <w:bookmarkEnd w:id="957"/>
      <w:r w:rsidRPr="008E589A">
        <w:rPr>
          <w:rStyle w:val="TextoNormalCaracter"/>
        </w:rPr>
        <w:t xml:space="preserve">, Sentencias </w:t>
      </w:r>
      <w:hyperlink w:anchor="SENTENCIA_1997_107" w:history="1">
        <w:r w:rsidRPr="008E589A">
          <w:rPr>
            <w:rStyle w:val="TextoNormalCaracter"/>
          </w:rPr>
          <w:t>107/1997</w:t>
        </w:r>
      </w:hyperlink>
      <w:r w:rsidRPr="008E589A">
        <w:rPr>
          <w:rStyle w:val="TextoNormalCaracter"/>
        </w:rPr>
        <w:t xml:space="preserve">, f. 6; </w:t>
      </w:r>
      <w:hyperlink w:anchor="SENTENCIA_1997_108" w:history="1">
        <w:r w:rsidRPr="008E589A">
          <w:rPr>
            <w:rStyle w:val="TextoNormalCaracter"/>
          </w:rPr>
          <w:t>108/1997</w:t>
        </w:r>
      </w:hyperlink>
      <w:r w:rsidRPr="008E589A">
        <w:rPr>
          <w:rStyle w:val="TextoNormalCaracter"/>
        </w:rPr>
        <w:t>, f. 4.</w:t>
      </w:r>
    </w:p>
    <w:p w:rsidR="008E589A" w:rsidRPr="008E589A" w:rsidRDefault="008E589A" w:rsidP="008E589A">
      <w:pPr>
        <w:pStyle w:val="TextoNormalSangraFrancesa"/>
        <w:rPr>
          <w:rStyle w:val="TextoNormalCaracter"/>
        </w:rPr>
      </w:pPr>
      <w:bookmarkStart w:id="958" w:name="DESCRIPTORALFABETICO57"/>
      <w:r w:rsidRPr="008E589A">
        <w:rPr>
          <w:rStyle w:val="TextoNormalNegritaCaracter"/>
        </w:rPr>
        <w:t>Motivación de las resoluciones judiciales</w:t>
      </w:r>
      <w:bookmarkEnd w:id="958"/>
      <w:r w:rsidRPr="008E589A">
        <w:rPr>
          <w:rStyle w:val="TextoNormalCaracter"/>
        </w:rPr>
        <w:t xml:space="preserve">, Sentencias </w:t>
      </w:r>
      <w:hyperlink w:anchor="SENTENCIA_1997_98" w:history="1">
        <w:r w:rsidRPr="008E589A">
          <w:rPr>
            <w:rStyle w:val="TextoNormalCaracter"/>
          </w:rPr>
          <w:t>98/1997</w:t>
        </w:r>
      </w:hyperlink>
      <w:r w:rsidRPr="008E589A">
        <w:rPr>
          <w:rStyle w:val="TextoNormalCaracter"/>
        </w:rPr>
        <w:t xml:space="preserve">, f. 7, VP; </w:t>
      </w:r>
      <w:hyperlink w:anchor="SENTENCIA_1997_107" w:history="1">
        <w:r w:rsidRPr="008E589A">
          <w:rPr>
            <w:rStyle w:val="TextoNormalCaracter"/>
          </w:rPr>
          <w:t>107/1997</w:t>
        </w:r>
      </w:hyperlink>
      <w:r w:rsidRPr="008E589A">
        <w:rPr>
          <w:rStyle w:val="TextoNormalCaracter"/>
        </w:rPr>
        <w:t xml:space="preserve">, ff. 4, 5, 6; </w:t>
      </w:r>
      <w:hyperlink w:anchor="SENTENCIA_1997_108" w:history="1">
        <w:r w:rsidRPr="008E589A">
          <w:rPr>
            <w:rStyle w:val="TextoNormalCaracter"/>
          </w:rPr>
          <w:t>108/1997</w:t>
        </w:r>
      </w:hyperlink>
      <w:r w:rsidRPr="008E589A">
        <w:rPr>
          <w:rStyle w:val="TextoNormalCaracter"/>
        </w:rPr>
        <w:t xml:space="preserve">, f. 4; </w:t>
      </w:r>
      <w:hyperlink w:anchor="SENTENCIA_1997_115" w:history="1">
        <w:r w:rsidRPr="008E589A">
          <w:rPr>
            <w:rStyle w:val="TextoNormalCaracter"/>
          </w:rPr>
          <w:t>115/1997</w:t>
        </w:r>
      </w:hyperlink>
      <w:r w:rsidRPr="008E589A">
        <w:rPr>
          <w:rStyle w:val="TextoNormalCaracter"/>
        </w:rPr>
        <w:t xml:space="preserve">, f. 2; </w:t>
      </w:r>
      <w:hyperlink w:anchor="SENTENCIA_1997_120" w:history="1">
        <w:r w:rsidRPr="008E589A">
          <w:rPr>
            <w:rStyle w:val="TextoNormalCaracter"/>
          </w:rPr>
          <w:t>120/1997</w:t>
        </w:r>
      </w:hyperlink>
      <w:r w:rsidRPr="008E589A">
        <w:rPr>
          <w:rStyle w:val="TextoNormalCaracter"/>
        </w:rPr>
        <w:t xml:space="preserve">, f. 5; </w:t>
      </w:r>
      <w:hyperlink w:anchor="SENTENCIA_1997_123" w:history="1">
        <w:r w:rsidRPr="008E589A">
          <w:rPr>
            <w:rStyle w:val="TextoNormalCaracter"/>
          </w:rPr>
          <w:t>123/1997</w:t>
        </w:r>
      </w:hyperlink>
      <w:r w:rsidRPr="008E589A">
        <w:rPr>
          <w:rStyle w:val="TextoNormalCaracter"/>
        </w:rPr>
        <w:t xml:space="preserve">, ff. 3, 4; </w:t>
      </w:r>
      <w:hyperlink w:anchor="SENTENCIA_1997_128" w:history="1">
        <w:r w:rsidRPr="008E589A">
          <w:rPr>
            <w:rStyle w:val="TextoNormalCaracter"/>
          </w:rPr>
          <w:t>128/1997</w:t>
        </w:r>
      </w:hyperlink>
      <w:r w:rsidRPr="008E589A">
        <w:rPr>
          <w:rStyle w:val="TextoNormalCaracter"/>
        </w:rPr>
        <w:t>, ff. 4, 5.</w:t>
      </w:r>
    </w:p>
    <w:p w:rsidR="008E589A" w:rsidRPr="008E589A" w:rsidRDefault="008E589A" w:rsidP="008E589A">
      <w:pPr>
        <w:pStyle w:val="TextoNormalSangraFrancesa"/>
        <w:rPr>
          <w:rStyle w:val="TextoNormalCaracter"/>
        </w:rPr>
      </w:pPr>
      <w:r w:rsidRPr="008E589A">
        <w:rPr>
          <w:rStyle w:val="TextoNormalCaracter"/>
        </w:rPr>
        <w:t xml:space="preserve">    Autos </w:t>
      </w:r>
      <w:hyperlink w:anchor="AUTO_1997_254" w:history="1">
        <w:r w:rsidRPr="008E589A">
          <w:rPr>
            <w:rStyle w:val="TextoNormalCaracter"/>
          </w:rPr>
          <w:t>254/1997</w:t>
        </w:r>
      </w:hyperlink>
      <w:r w:rsidRPr="008E589A">
        <w:rPr>
          <w:rStyle w:val="TextoNormalCaracter"/>
        </w:rPr>
        <w:t xml:space="preserve">; </w:t>
      </w:r>
      <w:hyperlink w:anchor="AUTO_1997_268" w:history="1">
        <w:r w:rsidRPr="008E589A">
          <w:rPr>
            <w:rStyle w:val="TextoNormalCaracter"/>
          </w:rPr>
          <w:t>268/1997</w:t>
        </w:r>
      </w:hyperlink>
      <w:r w:rsidRPr="008E589A">
        <w:rPr>
          <w:rStyle w:val="TextoNormalCaracter"/>
        </w:rPr>
        <w:t>.</w:t>
      </w:r>
    </w:p>
    <w:p w:rsidR="008E589A" w:rsidRPr="008E589A" w:rsidRDefault="008E589A" w:rsidP="008E589A">
      <w:pPr>
        <w:pStyle w:val="TextoNormalSangraFrancesa"/>
        <w:rPr>
          <w:rStyle w:val="TextoNormalCaracter"/>
        </w:rPr>
      </w:pPr>
      <w:bookmarkStart w:id="959" w:name="DESCRIPTORALFABETICO58"/>
      <w:r w:rsidRPr="008E589A">
        <w:rPr>
          <w:rStyle w:val="TextoNormalNegritaCaracter"/>
        </w:rPr>
        <w:t>Motivación de las resoluciones judiciales por remisión</w:t>
      </w:r>
      <w:bookmarkEnd w:id="959"/>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 7.</w:t>
      </w:r>
    </w:p>
    <w:p w:rsidR="008E589A" w:rsidRPr="008E589A" w:rsidRDefault="008E589A" w:rsidP="008E589A">
      <w:pPr>
        <w:pStyle w:val="TextoNormalSangraFrancesa"/>
        <w:rPr>
          <w:rStyle w:val="TextoNormalNegritaCaracter"/>
        </w:rPr>
      </w:pPr>
      <w:r w:rsidRPr="008E589A">
        <w:rPr>
          <w:rStyle w:val="TextoNormalCursivaCaracter"/>
        </w:rPr>
        <w:t>Motivación de las resoluciones limitativas de derechos fundamentales</w:t>
      </w:r>
      <w:r>
        <w:t xml:space="preserve"> véase </w:t>
      </w:r>
      <w:hyperlink w:anchor="DESCRIPTORALFABETICO91" w:history="1">
        <w:r w:rsidRPr="008E589A">
          <w:rPr>
            <w:rStyle w:val="TextoNormalNegritaCaracter"/>
          </w:rPr>
          <w:t>Motivación de resoluciones restrictivas de derechos fundamentales</w:t>
        </w:r>
      </w:hyperlink>
    </w:p>
    <w:p w:rsidR="008E589A" w:rsidRPr="008E589A" w:rsidRDefault="008E589A" w:rsidP="008E589A">
      <w:pPr>
        <w:pStyle w:val="TextoNormalSangraFrancesa"/>
        <w:rPr>
          <w:rStyle w:val="TextoNormalCaracter"/>
        </w:rPr>
      </w:pPr>
      <w:bookmarkStart w:id="960" w:name="DESCRIPTORALFABETICO59"/>
      <w:r w:rsidRPr="008E589A">
        <w:rPr>
          <w:rStyle w:val="TextoNormalNegritaCaracter"/>
        </w:rPr>
        <w:t>Motivación de las sentencias</w:t>
      </w:r>
      <w:bookmarkEnd w:id="960"/>
      <w:r w:rsidRPr="008E589A">
        <w:rPr>
          <w:rStyle w:val="TextoNormalCaracter"/>
        </w:rPr>
        <w:t xml:space="preserve">, Sentencia </w:t>
      </w:r>
      <w:hyperlink w:anchor="SENTENCIA_1997_139" w:history="1">
        <w:r w:rsidRPr="008E589A">
          <w:rPr>
            <w:rStyle w:val="TextoNormalCaracter"/>
          </w:rPr>
          <w:t>139/1997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106" w:history="1">
        <w:r w:rsidRPr="008E589A">
          <w:rPr>
            <w:rStyle w:val="TextoNormalCaracter"/>
          </w:rPr>
          <w:t>106/1997</w:t>
        </w:r>
      </w:hyperlink>
      <w:r w:rsidRPr="008E589A">
        <w:rPr>
          <w:rStyle w:val="TextoNormalCaracter"/>
        </w:rPr>
        <w:t>, f. 4.</w:t>
      </w:r>
    </w:p>
    <w:p w:rsidR="008E589A" w:rsidRPr="008E589A" w:rsidRDefault="008E589A" w:rsidP="008E589A">
      <w:pPr>
        <w:pStyle w:val="TextoNormalSangraFrancesa"/>
        <w:rPr>
          <w:rStyle w:val="TextoNormalNegritaCaracter"/>
        </w:rPr>
      </w:pPr>
      <w:r w:rsidRPr="008E589A">
        <w:rPr>
          <w:rStyle w:val="TextoNormalCursivaCaracter"/>
        </w:rPr>
        <w:t>Motivación de resoluciones limitativas de derechos fundamentales</w:t>
      </w:r>
      <w:r>
        <w:t xml:space="preserve"> véase </w:t>
      </w:r>
      <w:hyperlink w:anchor="DESCRIPTORALFABETICO91" w:history="1">
        <w:r w:rsidRPr="008E589A">
          <w:rPr>
            <w:rStyle w:val="TextoNormalNegritaCaracter"/>
          </w:rPr>
          <w:t>Motivación de resoluciones restrictivas de derechos fundamentales</w:t>
        </w:r>
      </w:hyperlink>
    </w:p>
    <w:p w:rsidR="008E589A" w:rsidRPr="008E589A" w:rsidRDefault="008E589A" w:rsidP="008E589A">
      <w:pPr>
        <w:pStyle w:val="TextoNormalSangraFrancesa"/>
        <w:rPr>
          <w:rStyle w:val="TextoNormalCaracter"/>
        </w:rPr>
      </w:pPr>
      <w:bookmarkStart w:id="961" w:name="DESCRIPTORALFABETICO91"/>
      <w:r w:rsidRPr="008E589A">
        <w:rPr>
          <w:rStyle w:val="TextoNormalNegritaCaracter"/>
        </w:rPr>
        <w:t>Motivación de resoluciones restrictivas de derechos fundamentales</w:t>
      </w:r>
      <w:bookmarkEnd w:id="961"/>
      <w:r w:rsidRPr="008E589A">
        <w:rPr>
          <w:rStyle w:val="TextoNormalCaracter"/>
        </w:rPr>
        <w:t xml:space="preserve">, Sentencia </w:t>
      </w:r>
      <w:hyperlink w:anchor="SENTENCIA_1997_123" w:history="1">
        <w:r w:rsidRPr="008E589A">
          <w:rPr>
            <w:rStyle w:val="TextoNormalCaracter"/>
          </w:rPr>
          <w:t>123/1997</w:t>
        </w:r>
      </w:hyperlink>
      <w:r w:rsidRPr="008E589A">
        <w:rPr>
          <w:rStyle w:val="TextoNormalCaracter"/>
        </w:rPr>
        <w:t>, f. 3.</w:t>
      </w:r>
    </w:p>
    <w:p w:rsidR="008E589A" w:rsidRPr="008E589A" w:rsidRDefault="008E589A" w:rsidP="008E589A">
      <w:pPr>
        <w:pStyle w:val="TextoNormalSangraFrancesa"/>
        <w:rPr>
          <w:rStyle w:val="TextoNormalCaracter"/>
        </w:rPr>
      </w:pPr>
      <w:bookmarkStart w:id="962" w:name="DESCRIPTORALFABETICO61"/>
      <w:r w:rsidRPr="008E589A">
        <w:rPr>
          <w:rStyle w:val="TextoNormalNegritaCaracter"/>
        </w:rPr>
        <w:t>Motivación suficiente de resoluciones judiciales</w:t>
      </w:r>
      <w:bookmarkEnd w:id="962"/>
      <w:r w:rsidRPr="008E589A">
        <w:rPr>
          <w:rStyle w:val="TextoNormalCaracter"/>
        </w:rPr>
        <w:t xml:space="preserve">, Sentencia </w:t>
      </w:r>
      <w:hyperlink w:anchor="SENTENCIA_1997_106" w:history="1">
        <w:r w:rsidRPr="008E589A">
          <w:rPr>
            <w:rStyle w:val="TextoNormalCaracter"/>
          </w:rPr>
          <w:t>106/1997</w:t>
        </w:r>
      </w:hyperlink>
      <w:r w:rsidRPr="008E589A">
        <w:rPr>
          <w:rStyle w:val="TextoNormalCaracter"/>
        </w:rPr>
        <w:t>, f. 4.</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N</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963" w:name="DESCRIPTORALFABETICO222"/>
      <w:r w:rsidRPr="008E589A">
        <w:rPr>
          <w:rStyle w:val="TextoNormalNegritaCaracter"/>
        </w:rPr>
        <w:t>Nombramiento de funcionarios públicos</w:t>
      </w:r>
      <w:bookmarkEnd w:id="963"/>
      <w:r w:rsidRPr="008E589A">
        <w:rPr>
          <w:rStyle w:val="TextoNormalCaracter"/>
        </w:rPr>
        <w:t xml:space="preserve">, Auto </w:t>
      </w:r>
      <w:hyperlink w:anchor="AUTO_1997_254" w:history="1">
        <w:r w:rsidRPr="008E589A">
          <w:rPr>
            <w:rStyle w:val="TextoNormalCaracter"/>
          </w:rPr>
          <w:t>254/1997</w:t>
        </w:r>
      </w:hyperlink>
      <w:r w:rsidRPr="008E589A">
        <w:rPr>
          <w:rStyle w:val="TextoNormalCaracter"/>
        </w:rPr>
        <w:t>.</w:t>
      </w:r>
    </w:p>
    <w:p w:rsidR="008E589A" w:rsidRPr="008E589A" w:rsidRDefault="008E589A" w:rsidP="008E589A">
      <w:pPr>
        <w:pStyle w:val="TextoNormalSangraFrancesa"/>
        <w:rPr>
          <w:rStyle w:val="TextoNormalCaracter"/>
        </w:rPr>
      </w:pPr>
      <w:bookmarkStart w:id="964" w:name="DESCRIPTORALFABETICO201"/>
      <w:r w:rsidRPr="008E589A">
        <w:rPr>
          <w:rStyle w:val="TextoNormalNegritaCaracter"/>
        </w:rPr>
        <w:t>Normalización lingüística</w:t>
      </w:r>
      <w:bookmarkEnd w:id="964"/>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2.</w:t>
      </w:r>
    </w:p>
    <w:p w:rsidR="008E589A" w:rsidRPr="008E589A" w:rsidRDefault="008E589A" w:rsidP="008E589A">
      <w:pPr>
        <w:pStyle w:val="TextoNormalSangraFrancesa"/>
        <w:rPr>
          <w:rStyle w:val="TextoNormalCaracter"/>
        </w:rPr>
      </w:pPr>
      <w:bookmarkStart w:id="965" w:name="DESCRIPTORALFABETICO284"/>
      <w:r w:rsidRPr="008E589A">
        <w:rPr>
          <w:rStyle w:val="TextoNormalNegritaCaracter"/>
        </w:rPr>
        <w:t>Normas atributivas de competencia jurisdiccional</w:t>
      </w:r>
      <w:bookmarkEnd w:id="965"/>
      <w:r w:rsidRPr="008E589A">
        <w:rPr>
          <w:rStyle w:val="TextoNormalCaracter"/>
        </w:rPr>
        <w:t xml:space="preserve">, Auto </w:t>
      </w:r>
      <w:hyperlink w:anchor="AUTO_1997_175" w:history="1">
        <w:r w:rsidRPr="008E589A">
          <w:rPr>
            <w:rStyle w:val="TextoNormalCaracter"/>
          </w:rPr>
          <w:t>175/1997</w:t>
        </w:r>
      </w:hyperlink>
      <w:r w:rsidRPr="008E589A">
        <w:rPr>
          <w:rStyle w:val="TextoNormalCaracter"/>
        </w:rPr>
        <w:t>.</w:t>
      </w:r>
    </w:p>
    <w:p w:rsidR="008E589A" w:rsidRPr="008E589A" w:rsidRDefault="008E589A" w:rsidP="008E589A">
      <w:pPr>
        <w:pStyle w:val="TextoNormalSangraFrancesa"/>
        <w:rPr>
          <w:rStyle w:val="TextoNormalCaracter"/>
        </w:rPr>
      </w:pPr>
      <w:bookmarkStart w:id="966" w:name="DESCRIPTORALFABETICO181"/>
      <w:r w:rsidRPr="008E589A">
        <w:rPr>
          <w:rStyle w:val="TextoNormalNegritaCaracter"/>
        </w:rPr>
        <w:t>Normas reguladoras de elecciones a la Junta de Personal</w:t>
      </w:r>
      <w:bookmarkEnd w:id="966"/>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ff. 1, 2, 3, 4, 5, 6, 7, 8, 9, 10, 11, 12.</w:t>
      </w:r>
    </w:p>
    <w:p w:rsidR="008E589A" w:rsidRPr="008E589A" w:rsidRDefault="008E589A" w:rsidP="008E589A">
      <w:pPr>
        <w:pStyle w:val="TextoNormalSangraFrancesa"/>
        <w:rPr>
          <w:rStyle w:val="TextoNormalNegritaCaracter"/>
        </w:rPr>
      </w:pPr>
      <w:r w:rsidRPr="008E589A">
        <w:rPr>
          <w:rStyle w:val="TextoNormalCursivaCaracter"/>
        </w:rPr>
        <w:t>Normas tributarias retroactivas</w:t>
      </w:r>
      <w:r>
        <w:t xml:space="preserve"> véase </w:t>
      </w:r>
      <w:hyperlink w:anchor="DESCRIPTORALFABETICO252" w:history="1">
        <w:r w:rsidRPr="008E589A">
          <w:rPr>
            <w:rStyle w:val="TextoNormalNegritaCaracter"/>
          </w:rPr>
          <w:t>Retroactividad de normas tributarias</w:t>
        </w:r>
      </w:hyperlink>
    </w:p>
    <w:p w:rsidR="008E589A" w:rsidRPr="008E589A" w:rsidRDefault="008E589A" w:rsidP="008E589A">
      <w:pPr>
        <w:pStyle w:val="TextoNormalSangraFrancesa"/>
        <w:rPr>
          <w:rStyle w:val="TextoNormalCaracter"/>
        </w:rPr>
      </w:pPr>
      <w:bookmarkStart w:id="967" w:name="DESCRIPTORALFABETICO305"/>
      <w:r w:rsidRPr="008E589A">
        <w:rPr>
          <w:rStyle w:val="TextoNormalNegritaCaracter"/>
        </w:rPr>
        <w:t>Notificación de sentencia condenatoria en proceso en rebeldía</w:t>
      </w:r>
      <w:bookmarkEnd w:id="967"/>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ff. 6, 7.</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O</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968" w:name="DESCRIPTORALFABETICO293"/>
      <w:r w:rsidRPr="008E589A">
        <w:rPr>
          <w:rStyle w:val="TextoNormalNegritaCaracter"/>
        </w:rPr>
        <w:t>Ofrecimiento de acciones</w:t>
      </w:r>
      <w:bookmarkEnd w:id="968"/>
      <w:r w:rsidRPr="008E589A">
        <w:rPr>
          <w:rStyle w:val="TextoNormalCaracter"/>
        </w:rPr>
        <w:t xml:space="preserve">, Sentencia </w:t>
      </w:r>
      <w:hyperlink w:anchor="SENTENCIA_1997_140" w:history="1">
        <w:r w:rsidRPr="008E589A">
          <w:rPr>
            <w:rStyle w:val="TextoNormalCaracter"/>
          </w:rPr>
          <w:t>140/1997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Omisión legislativa</w:t>
      </w:r>
      <w:r>
        <w:t xml:space="preserve"> véase </w:t>
      </w:r>
      <w:hyperlink w:anchor="DESCRIPTORALFABETICO260" w:history="1">
        <w:r w:rsidRPr="008E589A">
          <w:rPr>
            <w:rStyle w:val="TextoNormalNegritaCaracter"/>
          </w:rPr>
          <w:t>Lagunas legales</w:t>
        </w:r>
      </w:hyperlink>
    </w:p>
    <w:p w:rsidR="008E589A" w:rsidRPr="008E589A" w:rsidRDefault="008E589A" w:rsidP="008E589A">
      <w:pPr>
        <w:pStyle w:val="TextoNormalSangraFrancesa"/>
        <w:rPr>
          <w:rStyle w:val="TextoNormalCaracter"/>
        </w:rPr>
      </w:pPr>
      <w:bookmarkStart w:id="969" w:name="DESCRIPTORALFABETICO204"/>
      <w:r w:rsidRPr="008E589A">
        <w:rPr>
          <w:rStyle w:val="TextoNormalNegritaCaracter"/>
        </w:rPr>
        <w:t>Ópticos</w:t>
      </w:r>
      <w:bookmarkEnd w:id="969"/>
      <w:r w:rsidRPr="008E589A">
        <w:rPr>
          <w:rStyle w:val="TextoNormalCaracter"/>
        </w:rPr>
        <w:t xml:space="preserve">, Auto </w:t>
      </w:r>
      <w:hyperlink w:anchor="AUTO_1997_275" w:history="1">
        <w:r w:rsidRPr="008E589A">
          <w:rPr>
            <w:rStyle w:val="TextoNormalCaracter"/>
          </w:rPr>
          <w:t>275/1997</w:t>
        </w:r>
      </w:hyperlink>
      <w:r w:rsidRPr="008E589A">
        <w:rPr>
          <w:rStyle w:val="TextoNormalCaracter"/>
        </w:rPr>
        <w:t>.</w:t>
      </w:r>
    </w:p>
    <w:p w:rsidR="008E589A" w:rsidRPr="008E589A" w:rsidRDefault="008E589A" w:rsidP="008E589A">
      <w:pPr>
        <w:pStyle w:val="TextoNormalSangraFrancesa"/>
        <w:rPr>
          <w:rStyle w:val="TextoNormalCaracter"/>
        </w:rPr>
      </w:pPr>
      <w:bookmarkStart w:id="970" w:name="DESCRIPTORALFABETICO1"/>
      <w:r w:rsidRPr="008E589A">
        <w:rPr>
          <w:rStyle w:val="TextoNormalNegritaCaracter"/>
        </w:rPr>
        <w:t>Orden constitucional de competencias</w:t>
      </w:r>
      <w:bookmarkEnd w:id="970"/>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971" w:name="DESCRIPTORALFABETICO23"/>
      <w:r w:rsidRPr="008E589A">
        <w:rPr>
          <w:rStyle w:val="TextoNormalNegritaCaracter"/>
        </w:rPr>
        <w:t>Orden de sucesión a la Corona</w:t>
      </w:r>
      <w:bookmarkEnd w:id="971"/>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ff. 6, 7.</w:t>
      </w:r>
    </w:p>
    <w:p w:rsidR="008E589A" w:rsidRPr="008E589A" w:rsidRDefault="008E589A" w:rsidP="008E589A">
      <w:pPr>
        <w:pStyle w:val="TextoNormalSangraFrancesa"/>
        <w:rPr>
          <w:rStyle w:val="TextoNormalCaracter"/>
        </w:rPr>
      </w:pPr>
      <w:bookmarkStart w:id="972" w:name="DESCRIPTORALFABETICO270"/>
      <w:r w:rsidRPr="008E589A">
        <w:rPr>
          <w:rStyle w:val="TextoNormalNegritaCaracter"/>
        </w:rPr>
        <w:t xml:space="preserve">Orden de transmisión </w:t>
      </w:r>
      <w:r w:rsidRPr="008E589A">
        <w:rPr>
          <w:rStyle w:val="TextoNormalNegritaCaracter"/>
          <w:i/>
        </w:rPr>
        <w:t>post mortem</w:t>
      </w:r>
      <w:bookmarkEnd w:id="972"/>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ff. 7, 13, 14, VP I.</w:t>
      </w:r>
    </w:p>
    <w:p w:rsidR="008E589A" w:rsidRPr="008E589A" w:rsidRDefault="008E589A" w:rsidP="008E589A">
      <w:pPr>
        <w:pStyle w:val="TextoNormalSangraFrancesa"/>
        <w:rPr>
          <w:rStyle w:val="TextoNormalCaracter"/>
        </w:rPr>
      </w:pPr>
      <w:bookmarkStart w:id="973" w:name="DESCRIPTORALFABETICO14"/>
      <w:r w:rsidRPr="008E589A">
        <w:rPr>
          <w:rStyle w:val="TextoNormalNegritaCaracter"/>
        </w:rPr>
        <w:lastRenderedPageBreak/>
        <w:t>Ordenación del crédito</w:t>
      </w:r>
      <w:bookmarkEnd w:id="973"/>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974" w:name="DESCRIPTORALFABETICO13"/>
      <w:r w:rsidRPr="008E589A">
        <w:rPr>
          <w:rStyle w:val="TextoNormalNegritaCaracter"/>
        </w:rPr>
        <w:t>Ordenación general de la economía</w:t>
      </w:r>
      <w:bookmarkEnd w:id="974"/>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ff. 4, 7.</w:t>
      </w:r>
    </w:p>
    <w:p w:rsidR="008E589A" w:rsidRPr="008E589A" w:rsidRDefault="008E589A" w:rsidP="008E589A">
      <w:pPr>
        <w:pStyle w:val="TextoNormalSangraFrancesa"/>
        <w:rPr>
          <w:rStyle w:val="TextoNormalCaracter"/>
        </w:rPr>
      </w:pPr>
      <w:r w:rsidRPr="008E589A">
        <w:rPr>
          <w:rStyle w:val="TextoNormalCursivaCaracter"/>
        </w:rPr>
        <w:t xml:space="preserve">    Límites, </w:t>
      </w:r>
      <w:r w:rsidRPr="008E589A">
        <w:rPr>
          <w:rStyle w:val="TextoNormalCaracter"/>
        </w:rPr>
        <w:t xml:space="preserve">Sentencia </w:t>
      </w:r>
      <w:hyperlink w:anchor="SENTENCIA_1997_133" w:history="1">
        <w:r w:rsidRPr="008E589A">
          <w:rPr>
            <w:rStyle w:val="TextoNormalCaracter"/>
          </w:rPr>
          <w:t>133/1997</w:t>
        </w:r>
      </w:hyperlink>
      <w:r w:rsidRPr="008E589A">
        <w:rPr>
          <w:rStyle w:val="TextoNormalCaracter"/>
        </w:rPr>
        <w:t>, f. 4.</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P</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975" w:name="DESCRIPTORALFABETICO265"/>
      <w:r w:rsidRPr="008E589A">
        <w:rPr>
          <w:rStyle w:val="TextoNormalNegritaCaracter"/>
        </w:rPr>
        <w:t>Penas accesorias</w:t>
      </w:r>
      <w:bookmarkEnd w:id="975"/>
      <w:r w:rsidRPr="008E589A">
        <w:rPr>
          <w:rStyle w:val="TextoNormalCaracter"/>
        </w:rPr>
        <w:t xml:space="preserve">, Sentencia </w:t>
      </w:r>
      <w:hyperlink w:anchor="SENTENCIA_1997_92" w:history="1">
        <w:r w:rsidRPr="008E589A">
          <w:rPr>
            <w:rStyle w:val="TextoNormalCaracter"/>
          </w:rPr>
          <w:t>92/1997</w:t>
        </w:r>
      </w:hyperlink>
      <w:r w:rsidRPr="008E589A">
        <w:rPr>
          <w:rStyle w:val="TextoNormalCaracter"/>
        </w:rPr>
        <w:t>, ff. 3, 4.</w:t>
      </w:r>
    </w:p>
    <w:p w:rsidR="008E589A" w:rsidRPr="008E589A" w:rsidRDefault="008E589A" w:rsidP="008E589A">
      <w:pPr>
        <w:pStyle w:val="TextoNormalSangraFrancesa"/>
        <w:rPr>
          <w:rStyle w:val="TextoNormalCaracter"/>
        </w:rPr>
      </w:pPr>
      <w:bookmarkStart w:id="976" w:name="DESCRIPTORALFABETICO150"/>
      <w:r w:rsidRPr="008E589A">
        <w:rPr>
          <w:rStyle w:val="TextoNormalNegritaCaracter"/>
        </w:rPr>
        <w:t>Pendencia de recursos judiciales</w:t>
      </w:r>
      <w:bookmarkEnd w:id="976"/>
      <w:r w:rsidRPr="008E589A">
        <w:rPr>
          <w:rStyle w:val="TextoNormalCaracter"/>
        </w:rPr>
        <w:t xml:space="preserve">, Auto </w:t>
      </w:r>
      <w:hyperlink w:anchor="AUTO_1997_136" w:history="1">
        <w:r w:rsidRPr="008E589A">
          <w:rPr>
            <w:rStyle w:val="TextoNormalCaracter"/>
          </w:rPr>
          <w:t>136/1997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Pensión de incapacidad laboral permanente</w:t>
      </w:r>
      <w:r>
        <w:t xml:space="preserve"> véase </w:t>
      </w:r>
      <w:hyperlink w:anchor="DESCRIPTORALFABETICO275" w:history="1">
        <w:r w:rsidRPr="008E589A">
          <w:rPr>
            <w:rStyle w:val="TextoNormalNegritaCaracter"/>
          </w:rPr>
          <w:t>Incapacidad laboral permanente</w:t>
        </w:r>
      </w:hyperlink>
    </w:p>
    <w:p w:rsidR="008E589A" w:rsidRPr="008E589A" w:rsidRDefault="008E589A" w:rsidP="008E589A">
      <w:pPr>
        <w:pStyle w:val="TextoNormalSangraFrancesa"/>
        <w:rPr>
          <w:rStyle w:val="TextoNormalCaracter"/>
        </w:rPr>
      </w:pPr>
      <w:bookmarkStart w:id="977" w:name="DESCRIPTORALFABETICO123"/>
      <w:r w:rsidRPr="008E589A">
        <w:rPr>
          <w:rStyle w:val="TextoNormalNegritaCaracter"/>
        </w:rPr>
        <w:t>Pérdida sobrevenida de objeto de la cuestión de inconstitucionalidad</w:t>
      </w:r>
      <w:bookmarkEnd w:id="977"/>
      <w:r w:rsidRPr="008E589A">
        <w:rPr>
          <w:rStyle w:val="TextoNormalCaracter"/>
        </w:rPr>
        <w:t xml:space="preserve">, Auto </w:t>
      </w:r>
      <w:hyperlink w:anchor="AUTO_1997_189" w:history="1">
        <w:r w:rsidRPr="008E589A">
          <w:rPr>
            <w:rStyle w:val="TextoNormalCaracter"/>
          </w:rPr>
          <w:t>189/1997</w:t>
        </w:r>
      </w:hyperlink>
      <w:r w:rsidRPr="008E589A">
        <w:rPr>
          <w:rStyle w:val="TextoNormalCaracter"/>
        </w:rPr>
        <w:t>.</w:t>
      </w:r>
    </w:p>
    <w:p w:rsidR="008E589A" w:rsidRPr="008E589A" w:rsidRDefault="008E589A" w:rsidP="008E589A">
      <w:pPr>
        <w:pStyle w:val="TextoNormalSangraFrancesa"/>
        <w:rPr>
          <w:rStyle w:val="TextoNormalCaracter"/>
        </w:rPr>
      </w:pPr>
      <w:bookmarkStart w:id="978" w:name="DESCRIPTORALFABETICO141"/>
      <w:r w:rsidRPr="008E589A">
        <w:rPr>
          <w:rStyle w:val="TextoNormalNegritaCaracter"/>
        </w:rPr>
        <w:t>Pérdida sobrevenida de objeto del recurso de amparo</w:t>
      </w:r>
      <w:bookmarkEnd w:id="978"/>
      <w:r w:rsidRPr="008E589A">
        <w:rPr>
          <w:rStyle w:val="TextoNormalCaracter"/>
        </w:rPr>
        <w:t xml:space="preserve">, Auto </w:t>
      </w:r>
      <w:hyperlink w:anchor="AUTO_1997_150" w:history="1">
        <w:r w:rsidRPr="008E589A">
          <w:rPr>
            <w:rStyle w:val="TextoNormalCaracter"/>
          </w:rPr>
          <w:t>150/1997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Planificación de la actividad económica</w:t>
      </w:r>
      <w:r>
        <w:t xml:space="preserve"> véase </w:t>
      </w:r>
      <w:hyperlink w:anchor="DESCRIPTORALFABETICO18" w:history="1">
        <w:r w:rsidRPr="008E589A">
          <w:rPr>
            <w:rStyle w:val="TextoNormalNegritaCaracter"/>
          </w:rPr>
          <w:t>Planificación económica</w:t>
        </w:r>
      </w:hyperlink>
    </w:p>
    <w:p w:rsidR="008E589A" w:rsidRPr="008E589A" w:rsidRDefault="008E589A" w:rsidP="008E589A">
      <w:pPr>
        <w:pStyle w:val="TextoNormalSangraFrancesa"/>
        <w:rPr>
          <w:rStyle w:val="TextoNormalCaracter"/>
        </w:rPr>
      </w:pPr>
      <w:bookmarkStart w:id="979" w:name="DESCRIPTORALFABETICO18"/>
      <w:r w:rsidRPr="008E589A">
        <w:rPr>
          <w:rStyle w:val="TextoNormalNegritaCaracter"/>
        </w:rPr>
        <w:t>Planificación económica</w:t>
      </w:r>
      <w:bookmarkEnd w:id="979"/>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980" w:name="DESCRIPTORALFABETICO295"/>
      <w:r w:rsidRPr="008E589A">
        <w:rPr>
          <w:rStyle w:val="TextoNormalNegritaCaracter"/>
        </w:rPr>
        <w:t>Plazo de prescripción de acciones</w:t>
      </w:r>
      <w:bookmarkEnd w:id="980"/>
      <w:r w:rsidRPr="008E589A">
        <w:rPr>
          <w:rStyle w:val="TextoNormalCaracter"/>
        </w:rPr>
        <w:t xml:space="preserve">, Sentencia </w:t>
      </w:r>
      <w:hyperlink w:anchor="SENTENCIA_1997_104" w:history="1">
        <w:r w:rsidRPr="008E589A">
          <w:rPr>
            <w:rStyle w:val="TextoNormalCaracter"/>
          </w:rPr>
          <w:t>104/1997</w:t>
        </w:r>
      </w:hyperlink>
      <w:r w:rsidRPr="008E589A">
        <w:rPr>
          <w:rStyle w:val="TextoNormalCaracter"/>
        </w:rPr>
        <w:t>, f. 2.</w:t>
      </w:r>
    </w:p>
    <w:p w:rsidR="008E589A" w:rsidRPr="008E589A" w:rsidRDefault="008E589A" w:rsidP="008E589A">
      <w:pPr>
        <w:pStyle w:val="TextoNormalSangraFrancesa"/>
        <w:rPr>
          <w:rStyle w:val="TextoNormalCaracter"/>
        </w:rPr>
      </w:pPr>
      <w:bookmarkStart w:id="981" w:name="DESCRIPTORALFABETICO166"/>
      <w:r w:rsidRPr="008E589A">
        <w:rPr>
          <w:rStyle w:val="TextoNormalNegritaCaracter"/>
        </w:rPr>
        <w:t>Plenitud de competencia revisora de los actos de la Administración Penitenciaria</w:t>
      </w:r>
      <w:bookmarkEnd w:id="981"/>
      <w:r w:rsidRPr="008E589A">
        <w:rPr>
          <w:rStyle w:val="TextoNormalCaracter"/>
        </w:rPr>
        <w:t xml:space="preserve">, Sentencia </w:t>
      </w:r>
      <w:hyperlink w:anchor="SENTENCIA_1997_128" w:history="1">
        <w:r w:rsidRPr="008E589A">
          <w:rPr>
            <w:rStyle w:val="TextoNormalCaracter"/>
          </w:rPr>
          <w:t>128/1997</w:t>
        </w:r>
      </w:hyperlink>
      <w:r w:rsidRPr="008E589A">
        <w:rPr>
          <w:rStyle w:val="TextoNormalCaracter"/>
        </w:rPr>
        <w:t>, f. 5, VP.</w:t>
      </w:r>
    </w:p>
    <w:p w:rsidR="008E589A" w:rsidRPr="008E589A" w:rsidRDefault="008E589A" w:rsidP="008E589A">
      <w:pPr>
        <w:pStyle w:val="TextoNormalSangraFrancesa"/>
        <w:rPr>
          <w:rStyle w:val="TextoNormalNegritaCaracter"/>
        </w:rPr>
      </w:pPr>
      <w:r w:rsidRPr="008E589A">
        <w:rPr>
          <w:rStyle w:val="TextoNormalCursivaCaracter"/>
        </w:rPr>
        <w:t>Plenitud de jurisdicción del órgano judicial</w:t>
      </w:r>
      <w:r>
        <w:t xml:space="preserve"> véase </w:t>
      </w:r>
      <w:hyperlink w:anchor="DESCRIPTORALFABETICO175" w:history="1">
        <w:r w:rsidRPr="008E589A">
          <w:rPr>
            <w:rStyle w:val="TextoNormalNegritaCaracter"/>
          </w:rPr>
          <w:t>Principio de plenitud jurisdiccional</w:t>
        </w:r>
      </w:hyperlink>
    </w:p>
    <w:p w:rsidR="008E589A" w:rsidRPr="008E589A" w:rsidRDefault="008E589A" w:rsidP="008E589A">
      <w:pPr>
        <w:pStyle w:val="TextoNormalSangraFrancesa"/>
        <w:rPr>
          <w:rStyle w:val="TextoNormalCaracter"/>
        </w:rPr>
      </w:pPr>
      <w:bookmarkStart w:id="982" w:name="DESCRIPTORALFABETICO182"/>
      <w:r w:rsidRPr="008E589A">
        <w:rPr>
          <w:rStyle w:val="TextoNormalNegritaCaracter"/>
        </w:rPr>
        <w:t>Política económica común</w:t>
      </w:r>
      <w:bookmarkEnd w:id="982"/>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983" w:name="DESCRIPTORALFABETICO92"/>
      <w:r w:rsidRPr="008E589A">
        <w:rPr>
          <w:rStyle w:val="TextoNormalNegritaCaracter"/>
        </w:rPr>
        <w:t>Ponderación de derechos fundamentales</w:t>
      </w:r>
      <w:bookmarkEnd w:id="983"/>
      <w:r w:rsidRPr="008E589A">
        <w:rPr>
          <w:rStyle w:val="TextoNormalCaracter"/>
        </w:rPr>
        <w:t xml:space="preserve">, Auto </w:t>
      </w:r>
      <w:hyperlink w:anchor="AUTO_1997_295" w:history="1">
        <w:r w:rsidRPr="008E589A">
          <w:rPr>
            <w:rStyle w:val="TextoNormalCaracter"/>
          </w:rPr>
          <w:t>295/1997</w:t>
        </w:r>
      </w:hyperlink>
      <w:r w:rsidRPr="008E589A">
        <w:rPr>
          <w:rStyle w:val="TextoNormalCaracter"/>
        </w:rPr>
        <w:t>.</w:t>
      </w:r>
    </w:p>
    <w:p w:rsidR="008E589A" w:rsidRPr="008E589A" w:rsidRDefault="008E589A" w:rsidP="008E589A">
      <w:pPr>
        <w:pStyle w:val="TextoNormalSangraFrancesa"/>
        <w:rPr>
          <w:rStyle w:val="TextoNormalCaracter"/>
        </w:rPr>
      </w:pPr>
      <w:bookmarkStart w:id="984" w:name="DESCRIPTORALFABETICO355"/>
      <w:r w:rsidRPr="008E589A">
        <w:rPr>
          <w:rStyle w:val="TextoNormalNegritaCaracter"/>
        </w:rPr>
        <w:t>Postulación</w:t>
      </w:r>
      <w:bookmarkEnd w:id="984"/>
      <w:r w:rsidRPr="008E589A">
        <w:rPr>
          <w:rStyle w:val="TextoNormalCaracter"/>
        </w:rPr>
        <w:t xml:space="preserve">, Sentencia </w:t>
      </w:r>
      <w:hyperlink w:anchor="SENTENCIA_1997_101" w:history="1">
        <w:r w:rsidRPr="008E589A">
          <w:rPr>
            <w:rStyle w:val="TextoNormalCaracter"/>
          </w:rPr>
          <w:t>101/1997</w:t>
        </w:r>
      </w:hyperlink>
      <w:r w:rsidRPr="008E589A">
        <w:rPr>
          <w:rStyle w:val="TextoNormalCaracter"/>
        </w:rPr>
        <w:t>, f. 3.</w:t>
      </w:r>
    </w:p>
    <w:p w:rsidR="008E589A" w:rsidRPr="008E589A" w:rsidRDefault="008E589A" w:rsidP="008E589A">
      <w:pPr>
        <w:pStyle w:val="TextoNormalSangraFrancesa"/>
        <w:rPr>
          <w:rStyle w:val="TextoNormalCaracter"/>
        </w:rPr>
      </w:pPr>
      <w:bookmarkStart w:id="985" w:name="DESCRIPTORALFABETICO172"/>
      <w:r w:rsidRPr="008E589A">
        <w:rPr>
          <w:rStyle w:val="TextoNormalNegritaCaracter"/>
        </w:rPr>
        <w:t>Potestad jurisdiccional</w:t>
      </w:r>
      <w:bookmarkEnd w:id="985"/>
      <w:r w:rsidRPr="008E589A">
        <w:rPr>
          <w:rStyle w:val="TextoNormalCaracter"/>
        </w:rPr>
        <w:t xml:space="preserve">, Auto </w:t>
      </w:r>
      <w:hyperlink w:anchor="AUTO_1997_135" w:history="1">
        <w:r w:rsidRPr="008E589A">
          <w:rPr>
            <w:rStyle w:val="TextoNormalCaracter"/>
          </w:rPr>
          <w:t>135/1997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Prejudicialidad</w:t>
      </w:r>
      <w:r>
        <w:t xml:space="preserve"> véase </w:t>
      </w:r>
      <w:hyperlink w:anchor="DESCRIPTORALFABETICO286" w:history="1">
        <w:r w:rsidRPr="008E589A">
          <w:rPr>
            <w:rStyle w:val="TextoNormalNegritaCaracter"/>
          </w:rPr>
          <w:t>Cuestiones prejudiciales</w:t>
        </w:r>
      </w:hyperlink>
    </w:p>
    <w:p w:rsidR="008E589A" w:rsidRPr="008E589A" w:rsidRDefault="008E589A" w:rsidP="008E589A">
      <w:pPr>
        <w:pStyle w:val="TextoNormalSangraFrancesa"/>
        <w:rPr>
          <w:rStyle w:val="TextoNormalCaracter"/>
        </w:rPr>
      </w:pPr>
      <w:bookmarkStart w:id="986" w:name="DESCRIPTORALFABETICO296"/>
      <w:r w:rsidRPr="008E589A">
        <w:rPr>
          <w:rStyle w:val="TextoNormalNegritaCaracter"/>
        </w:rPr>
        <w:t>Prescripción de acción indemnizatoria</w:t>
      </w:r>
      <w:bookmarkEnd w:id="986"/>
      <w:r w:rsidRPr="008E589A">
        <w:rPr>
          <w:rStyle w:val="TextoNormalCaracter"/>
        </w:rPr>
        <w:t xml:space="preserve">, Auto </w:t>
      </w:r>
      <w:hyperlink w:anchor="AUTO_1997_209" w:history="1">
        <w:r w:rsidRPr="008E589A">
          <w:rPr>
            <w:rStyle w:val="TextoNormalCaracter"/>
          </w:rPr>
          <w:t>209/1997</w:t>
        </w:r>
      </w:hyperlink>
      <w:r w:rsidRPr="008E589A">
        <w:rPr>
          <w:rStyle w:val="TextoNormalCaracter"/>
        </w:rPr>
        <w:t>.</w:t>
      </w:r>
    </w:p>
    <w:p w:rsidR="008E589A" w:rsidRPr="008E589A" w:rsidRDefault="008E589A" w:rsidP="008E589A">
      <w:pPr>
        <w:pStyle w:val="TextoNormalSangraFrancesa"/>
        <w:rPr>
          <w:rStyle w:val="TextoNormalCaracter"/>
        </w:rPr>
      </w:pPr>
      <w:bookmarkStart w:id="987" w:name="DESCRIPTORALFABETICO354"/>
      <w:r w:rsidRPr="008E589A">
        <w:rPr>
          <w:rStyle w:val="TextoNormalNegritaCaracter"/>
        </w:rPr>
        <w:t>Presentación de escritos fuera de plazo</w:t>
      </w:r>
      <w:bookmarkEnd w:id="987"/>
      <w:r w:rsidRPr="008E589A">
        <w:rPr>
          <w:rStyle w:val="TextoNormalCaracter"/>
        </w:rPr>
        <w:t xml:space="preserve">, Auto </w:t>
      </w:r>
      <w:hyperlink w:anchor="AUTO_1997_174" w:history="1">
        <w:r w:rsidRPr="008E589A">
          <w:rPr>
            <w:rStyle w:val="TextoNormalCaracter"/>
          </w:rPr>
          <w:t>174/1997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Presunción de inocencia</w:t>
      </w:r>
      <w:r>
        <w:t xml:space="preserve"> véase </w:t>
      </w:r>
      <w:hyperlink w:anchor="DESCRIPTORALFABETICO37" w:history="1">
        <w:r w:rsidRPr="008E589A">
          <w:rPr>
            <w:rStyle w:val="TextoNormalNegritaCaracter"/>
          </w:rPr>
          <w:t>Derecho a la presunción de inocencia</w:t>
        </w:r>
      </w:hyperlink>
    </w:p>
    <w:p w:rsidR="008E589A" w:rsidRPr="008E589A" w:rsidRDefault="008E589A" w:rsidP="008E589A">
      <w:pPr>
        <w:pStyle w:val="TextoNormalSangraFrancesa"/>
        <w:rPr>
          <w:rStyle w:val="TextoNormalNegritaCaracter"/>
        </w:rPr>
      </w:pPr>
      <w:r w:rsidRPr="008E589A">
        <w:rPr>
          <w:rStyle w:val="TextoNormalCursivaCaracter"/>
        </w:rPr>
        <w:t>Presupuestos procesales</w:t>
      </w:r>
      <w:r>
        <w:t xml:space="preserve"> véase </w:t>
      </w:r>
      <w:hyperlink w:anchor="DESCRIPTORALFABETICO377" w:history="1">
        <w:r w:rsidRPr="008E589A">
          <w:rPr>
            <w:rStyle w:val="TextoNormalNegritaCaracter"/>
          </w:rPr>
          <w:t>Requisitos procesales</w:t>
        </w:r>
      </w:hyperlink>
    </w:p>
    <w:p w:rsidR="008E589A" w:rsidRPr="008E589A" w:rsidRDefault="008E589A" w:rsidP="008E589A">
      <w:pPr>
        <w:pStyle w:val="TextoNormalSangraFrancesa"/>
        <w:rPr>
          <w:rStyle w:val="TextoNormalCaracter"/>
        </w:rPr>
      </w:pPr>
      <w:bookmarkStart w:id="988" w:name="DESCRIPTORALFABETICO134"/>
      <w:r w:rsidRPr="008E589A">
        <w:rPr>
          <w:rStyle w:val="TextoNormalNegritaCaracter"/>
        </w:rPr>
        <w:t>Pretensión de amparo determinante del contenido del fallo</w:t>
      </w:r>
      <w:bookmarkEnd w:id="988"/>
      <w:r w:rsidRPr="008E589A">
        <w:rPr>
          <w:rStyle w:val="TextoNormalCaracter"/>
        </w:rPr>
        <w:t xml:space="preserve">, Sentencia </w:t>
      </w:r>
      <w:hyperlink w:anchor="SENTENCIA_1997_109" w:history="1">
        <w:r w:rsidRPr="008E589A">
          <w:rPr>
            <w:rStyle w:val="TextoNormalCaracter"/>
          </w:rPr>
          <w:t>109/1997</w:t>
        </w:r>
      </w:hyperlink>
      <w:r w:rsidRPr="008E589A">
        <w:rPr>
          <w:rStyle w:val="TextoNormalCaracter"/>
        </w:rPr>
        <w:t>, f. 1.</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07" w:history="1">
        <w:r w:rsidRPr="008E589A">
          <w:rPr>
            <w:rStyle w:val="TextoNormalCaracter"/>
          </w:rPr>
          <w:t>207/1997</w:t>
        </w:r>
      </w:hyperlink>
      <w:r w:rsidRPr="008E589A">
        <w:rPr>
          <w:rStyle w:val="TextoNormalCaracter"/>
        </w:rPr>
        <w:t>.</w:t>
      </w:r>
    </w:p>
    <w:p w:rsidR="008E589A" w:rsidRPr="008E589A" w:rsidRDefault="008E589A" w:rsidP="008E589A">
      <w:pPr>
        <w:pStyle w:val="TextoNormalSangraFrancesa"/>
        <w:rPr>
          <w:rStyle w:val="TextoNormalCaracter"/>
        </w:rPr>
      </w:pPr>
      <w:bookmarkStart w:id="989" w:name="DESCRIPTORALFABETICO359"/>
      <w:r w:rsidRPr="008E589A">
        <w:rPr>
          <w:rStyle w:val="TextoNormalNegritaCaracter"/>
        </w:rPr>
        <w:t>Principio acusatorio</w:t>
      </w:r>
      <w:bookmarkEnd w:id="989"/>
      <w:r w:rsidRPr="008E589A">
        <w:rPr>
          <w:rStyle w:val="TextoNormalCaracter"/>
        </w:rPr>
        <w:t xml:space="preserve">, Sentencia </w:t>
      </w:r>
      <w:hyperlink w:anchor="SENTENCIA_1997_92" w:history="1">
        <w:r w:rsidRPr="008E589A">
          <w:rPr>
            <w:rStyle w:val="TextoNormalCaracter"/>
          </w:rPr>
          <w:t>92/1997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92" w:history="1">
        <w:r w:rsidRPr="008E589A">
          <w:rPr>
            <w:rStyle w:val="TextoNormalCaracter"/>
          </w:rPr>
          <w:t>92/1997</w:t>
        </w:r>
      </w:hyperlink>
      <w:r w:rsidRPr="008E589A">
        <w:rPr>
          <w:rStyle w:val="TextoNormalCaracter"/>
        </w:rPr>
        <w:t>, f. 3.</w:t>
      </w:r>
    </w:p>
    <w:p w:rsidR="008E589A" w:rsidRPr="008E589A" w:rsidRDefault="008E589A" w:rsidP="008E589A">
      <w:pPr>
        <w:pStyle w:val="TextoNormalSangraFrancesa"/>
        <w:rPr>
          <w:rStyle w:val="TextoNormalCaracter"/>
        </w:rPr>
      </w:pPr>
      <w:bookmarkStart w:id="990" w:name="DESCRIPTORALFABETICO360"/>
      <w:r w:rsidRPr="008E589A">
        <w:rPr>
          <w:rStyle w:val="TextoNormalNegritaCaracter"/>
        </w:rPr>
        <w:t>Principio de congruencia</w:t>
      </w:r>
      <w:bookmarkEnd w:id="990"/>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 </w:t>
      </w:r>
      <w:hyperlink w:anchor="SENTENCIA_1997_111" w:history="1">
        <w:r w:rsidRPr="008E589A">
          <w:rPr>
            <w:rStyle w:val="TextoNormalCaracter"/>
          </w:rPr>
          <w:t>111/1997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Sentencia </w:t>
      </w:r>
      <w:hyperlink w:anchor="SENTENCIA_1997_111" w:history="1">
        <w:r w:rsidRPr="008E589A">
          <w:rPr>
            <w:rStyle w:val="TextoNormalCaracter"/>
          </w:rPr>
          <w:t>111/1997</w:t>
        </w:r>
      </w:hyperlink>
      <w:r w:rsidRPr="008E589A">
        <w:rPr>
          <w:rStyle w:val="TextoNormalCaracter"/>
        </w:rPr>
        <w:t>, f. 3.</w:t>
      </w:r>
    </w:p>
    <w:p w:rsidR="008E589A" w:rsidRPr="008E589A" w:rsidRDefault="008E589A" w:rsidP="008E589A">
      <w:pPr>
        <w:pStyle w:val="TextoNormalSangraFrancesa"/>
        <w:rPr>
          <w:rStyle w:val="TextoNormalCaracter"/>
        </w:rPr>
      </w:pPr>
      <w:bookmarkStart w:id="991" w:name="DESCRIPTORALFABETICO183"/>
      <w:r w:rsidRPr="008E589A">
        <w:rPr>
          <w:rStyle w:val="TextoNormalNegritaCaracter"/>
        </w:rPr>
        <w:t>Principio de igualdad</w:t>
      </w:r>
      <w:bookmarkEnd w:id="991"/>
      <w:r w:rsidRPr="008E589A">
        <w:rPr>
          <w:rStyle w:val="TextoNormalCaracter"/>
        </w:rPr>
        <w:t xml:space="preserve">, Sentencias </w:t>
      </w:r>
      <w:hyperlink w:anchor="SENTENCIA_1997_96" w:history="1">
        <w:r w:rsidRPr="008E589A">
          <w:rPr>
            <w:rStyle w:val="TextoNormalCaracter"/>
          </w:rPr>
          <w:t>96/1997</w:t>
        </w:r>
      </w:hyperlink>
      <w:r w:rsidRPr="008E589A">
        <w:rPr>
          <w:rStyle w:val="TextoNormalCaracter"/>
        </w:rPr>
        <w:t xml:space="preserve">, f. 3; </w:t>
      </w:r>
      <w:hyperlink w:anchor="SENTENCIA_1997_126" w:history="1">
        <w:r w:rsidRPr="008E589A">
          <w:rPr>
            <w:rStyle w:val="TextoNormalCaracter"/>
          </w:rPr>
          <w:t>126/1997</w:t>
        </w:r>
      </w:hyperlink>
      <w:r w:rsidRPr="008E589A">
        <w:rPr>
          <w:rStyle w:val="TextoNormalCaracter"/>
        </w:rPr>
        <w:t>, ff. 8, 16, VP I.</w:t>
      </w:r>
    </w:p>
    <w:p w:rsidR="008E589A" w:rsidRPr="008E589A" w:rsidRDefault="008E589A" w:rsidP="008E589A">
      <w:pPr>
        <w:pStyle w:val="TextoNormalSangraFrancesa"/>
        <w:rPr>
          <w:rStyle w:val="TextoNormalCaracter"/>
        </w:rPr>
      </w:pPr>
      <w:bookmarkStart w:id="992" w:name="DESCRIPTORALFABETICO184"/>
      <w:r w:rsidRPr="008E589A">
        <w:rPr>
          <w:rStyle w:val="TextoNormalNegritaCaracter"/>
        </w:rPr>
        <w:t>Principio de interdicción de la arbitrariedad</w:t>
      </w:r>
      <w:bookmarkEnd w:id="992"/>
      <w:r w:rsidRPr="008E589A">
        <w:rPr>
          <w:rStyle w:val="TextoNormalCaracter"/>
        </w:rPr>
        <w:t xml:space="preserve">, Sentencia </w:t>
      </w:r>
      <w:hyperlink w:anchor="SENTENCIA_1997_137" w:history="1">
        <w:r w:rsidRPr="008E589A">
          <w:rPr>
            <w:rStyle w:val="TextoNormalCaracter"/>
          </w:rPr>
          <w:t>137/1997</w:t>
        </w:r>
      </w:hyperlink>
      <w:r w:rsidRPr="008E589A">
        <w:rPr>
          <w:rStyle w:val="TextoNormalCaracter"/>
        </w:rPr>
        <w:t>, f. 6.</w:t>
      </w:r>
    </w:p>
    <w:p w:rsidR="008E589A" w:rsidRPr="008E589A" w:rsidRDefault="008E589A" w:rsidP="008E589A">
      <w:pPr>
        <w:pStyle w:val="TextoNormalSangraFrancesa"/>
        <w:rPr>
          <w:rStyle w:val="TextoNormalCaracter"/>
        </w:rPr>
      </w:pPr>
      <w:bookmarkStart w:id="993" w:name="DESCRIPTORALFABETICO185"/>
      <w:r w:rsidRPr="008E589A">
        <w:rPr>
          <w:rStyle w:val="TextoNormalNegritaCaracter"/>
        </w:rPr>
        <w:t>Principio de irretroactividad</w:t>
      </w:r>
      <w:bookmarkEnd w:id="993"/>
      <w:r w:rsidRPr="008E589A">
        <w:rPr>
          <w:rStyle w:val="TextoNormalCaracter"/>
        </w:rPr>
        <w:t xml:space="preserve">, Auto </w:t>
      </w:r>
      <w:hyperlink w:anchor="AUTO_1997_154" w:history="1">
        <w:r w:rsidRPr="008E589A">
          <w:rPr>
            <w:rStyle w:val="TextoNormalCaracter"/>
          </w:rPr>
          <w:t>154/1997</w:t>
        </w:r>
      </w:hyperlink>
      <w:r w:rsidRPr="008E589A">
        <w:rPr>
          <w:rStyle w:val="TextoNormalCaracter"/>
        </w:rPr>
        <w:t>.</w:t>
      </w:r>
    </w:p>
    <w:p w:rsidR="008E589A" w:rsidRPr="008E589A" w:rsidRDefault="008E589A" w:rsidP="008E589A">
      <w:pPr>
        <w:pStyle w:val="TextoNormalSangraFrancesa"/>
        <w:rPr>
          <w:rStyle w:val="TextoNormalCaracter"/>
        </w:rPr>
      </w:pPr>
      <w:bookmarkStart w:id="994" w:name="DESCRIPTORALFABETICO186"/>
      <w:r w:rsidRPr="008E589A">
        <w:rPr>
          <w:rStyle w:val="TextoNormalNegritaCaracter"/>
        </w:rPr>
        <w:t>Principio de legalidad</w:t>
      </w:r>
      <w:bookmarkEnd w:id="994"/>
      <w:r w:rsidRPr="008E589A">
        <w:rPr>
          <w:rStyle w:val="TextoNormalCaracter"/>
        </w:rPr>
        <w:t xml:space="preserve">, Auto </w:t>
      </w:r>
      <w:hyperlink w:anchor="AUTO_1997_221" w:history="1">
        <w:r w:rsidRPr="008E589A">
          <w:rPr>
            <w:rStyle w:val="TextoNormalCaracter"/>
          </w:rPr>
          <w:t>221/1997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t xml:space="preserve">    Respetado, </w:t>
      </w:r>
      <w:r w:rsidRPr="008E589A">
        <w:rPr>
          <w:rStyle w:val="TextoNormalCaracter"/>
        </w:rPr>
        <w:t xml:space="preserve">Auto </w:t>
      </w:r>
      <w:hyperlink w:anchor="AUTO_1997_207" w:history="1">
        <w:r w:rsidRPr="008E589A">
          <w:rPr>
            <w:rStyle w:val="TextoNormalCaracter"/>
          </w:rPr>
          <w:t>207/1997</w:t>
        </w:r>
      </w:hyperlink>
      <w:r w:rsidRPr="008E589A">
        <w:rPr>
          <w:rStyle w:val="TextoNormalCaracter"/>
        </w:rPr>
        <w:t>.</w:t>
      </w:r>
    </w:p>
    <w:p w:rsidR="008E589A" w:rsidRPr="008E589A" w:rsidRDefault="008E589A" w:rsidP="008E589A">
      <w:pPr>
        <w:pStyle w:val="TextoNormalSangraFrancesa"/>
        <w:rPr>
          <w:rStyle w:val="TextoNormalCaracter"/>
        </w:rPr>
      </w:pPr>
      <w:bookmarkStart w:id="995" w:name="DESCRIPTORALFABETICO187"/>
      <w:r w:rsidRPr="008E589A">
        <w:rPr>
          <w:rStyle w:val="TextoNormalNegritaCaracter"/>
        </w:rPr>
        <w:t>Principio de legalidad administrativa</w:t>
      </w:r>
      <w:bookmarkEnd w:id="995"/>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2.</w:t>
      </w:r>
    </w:p>
    <w:p w:rsidR="008E589A" w:rsidRPr="008E589A" w:rsidRDefault="008E589A" w:rsidP="008E589A">
      <w:pPr>
        <w:pStyle w:val="TextoNormalSangraFrancesa"/>
        <w:rPr>
          <w:rStyle w:val="TextoNormalCaracter"/>
        </w:rPr>
      </w:pPr>
      <w:bookmarkStart w:id="996" w:name="DESCRIPTORALFABETICO188"/>
      <w:r w:rsidRPr="008E589A">
        <w:rPr>
          <w:rStyle w:val="TextoNormalNegritaCaracter"/>
        </w:rPr>
        <w:t>Principio de legalidad penal</w:t>
      </w:r>
      <w:bookmarkEnd w:id="996"/>
      <w:r w:rsidRPr="008E589A">
        <w:rPr>
          <w:rStyle w:val="TextoNormalCaracter"/>
        </w:rPr>
        <w:t xml:space="preserve">, Sentencias </w:t>
      </w:r>
      <w:hyperlink w:anchor="SENTENCIA_1997_130" w:history="1">
        <w:r w:rsidRPr="008E589A">
          <w:rPr>
            <w:rStyle w:val="TextoNormalCaracter"/>
          </w:rPr>
          <w:t>130/1997</w:t>
        </w:r>
      </w:hyperlink>
      <w:r w:rsidRPr="008E589A">
        <w:rPr>
          <w:rStyle w:val="TextoNormalCaracter"/>
        </w:rPr>
        <w:t xml:space="preserve">, f. 3; </w:t>
      </w:r>
      <w:hyperlink w:anchor="SENTENCIA_1997_137" w:history="1">
        <w:r w:rsidRPr="008E589A">
          <w:rPr>
            <w:rStyle w:val="TextoNormalCaracter"/>
          </w:rPr>
          <w:t>137/1997</w:t>
        </w:r>
      </w:hyperlink>
      <w:r w:rsidRPr="008E589A">
        <w:rPr>
          <w:rStyle w:val="TextoNormalCaracter"/>
        </w:rPr>
        <w:t>, f. 7.</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75" w:history="1">
        <w:r w:rsidRPr="008E589A">
          <w:rPr>
            <w:rStyle w:val="TextoNormalCaracter"/>
          </w:rPr>
          <w:t>275/1997</w:t>
        </w:r>
      </w:hyperlink>
      <w:r w:rsidRPr="008E589A">
        <w:rPr>
          <w:rStyle w:val="TextoNormalCaracter"/>
        </w:rPr>
        <w:t>.</w:t>
      </w:r>
    </w:p>
    <w:p w:rsidR="008E589A" w:rsidRPr="008E589A" w:rsidRDefault="008E589A" w:rsidP="008E589A">
      <w:pPr>
        <w:pStyle w:val="TextoNormalSangraFrancesa"/>
        <w:rPr>
          <w:rStyle w:val="TextoNormalCaracter"/>
        </w:rPr>
      </w:pPr>
      <w:bookmarkStart w:id="997" w:name="DESCRIPTORALFABETICO191"/>
      <w:r w:rsidRPr="008E589A">
        <w:rPr>
          <w:rStyle w:val="TextoNormalNegritaCaracter"/>
        </w:rPr>
        <w:t>Principio de legalidad presupuestaria</w:t>
      </w:r>
      <w:bookmarkEnd w:id="997"/>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2.</w:t>
      </w:r>
    </w:p>
    <w:p w:rsidR="008E589A" w:rsidRPr="008E589A" w:rsidRDefault="008E589A" w:rsidP="008E589A">
      <w:pPr>
        <w:pStyle w:val="TextoNormalSangraFrancesa"/>
        <w:rPr>
          <w:rStyle w:val="TextoNormalCaracter"/>
        </w:rPr>
      </w:pPr>
      <w:bookmarkStart w:id="998" w:name="DESCRIPTORALFABETICO5"/>
      <w:r w:rsidRPr="008E589A">
        <w:rPr>
          <w:rStyle w:val="TextoNormalNegritaCaracter"/>
        </w:rPr>
        <w:t>Principio de no vaciamiento de competencias autonómicas</w:t>
      </w:r>
      <w:bookmarkEnd w:id="998"/>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9.</w:t>
      </w:r>
    </w:p>
    <w:p w:rsidR="008E589A" w:rsidRPr="008E589A" w:rsidRDefault="008E589A" w:rsidP="008E589A">
      <w:pPr>
        <w:pStyle w:val="TextoNormalSangraFrancesa"/>
        <w:rPr>
          <w:rStyle w:val="TextoNormalCaracter"/>
        </w:rPr>
      </w:pPr>
      <w:bookmarkStart w:id="999" w:name="DESCRIPTORALFABETICO175"/>
      <w:r w:rsidRPr="008E589A">
        <w:rPr>
          <w:rStyle w:val="TextoNormalNegritaCaracter"/>
        </w:rPr>
        <w:t>Principio de plenitud jurisdiccional</w:t>
      </w:r>
      <w:bookmarkEnd w:id="999"/>
      <w:r w:rsidRPr="008E589A">
        <w:rPr>
          <w:rStyle w:val="TextoNormalCaracter"/>
        </w:rPr>
        <w:t xml:space="preserve">, Sentencia </w:t>
      </w:r>
      <w:hyperlink w:anchor="SENTENCIA_1997_95" w:history="1">
        <w:r w:rsidRPr="008E589A">
          <w:rPr>
            <w:rStyle w:val="TextoNormalCaracter"/>
          </w:rPr>
          <w:t>95/1997</w:t>
        </w:r>
      </w:hyperlink>
      <w:r w:rsidRPr="008E589A">
        <w:rPr>
          <w:rStyle w:val="TextoNormalCaracter"/>
        </w:rPr>
        <w:t>, f. 1.</w:t>
      </w:r>
    </w:p>
    <w:p w:rsidR="008E589A" w:rsidRPr="008E589A" w:rsidRDefault="008E589A" w:rsidP="008E589A">
      <w:pPr>
        <w:pStyle w:val="TextoNormalSangraFrancesa"/>
        <w:rPr>
          <w:rStyle w:val="TextoNormalCaracter"/>
        </w:rPr>
      </w:pPr>
      <w:bookmarkStart w:id="1000" w:name="DESCRIPTORALFABETICO192"/>
      <w:r w:rsidRPr="008E589A">
        <w:rPr>
          <w:rStyle w:val="TextoNormalNegritaCaracter"/>
        </w:rPr>
        <w:t>Principio de proporcionalidad</w:t>
      </w:r>
      <w:bookmarkEnd w:id="1000"/>
      <w:r w:rsidRPr="008E589A">
        <w:rPr>
          <w:rStyle w:val="TextoNormalCaracter"/>
        </w:rPr>
        <w:t xml:space="preserve">, Sentencia </w:t>
      </w:r>
      <w:hyperlink w:anchor="SENTENCIA_1997_123" w:history="1">
        <w:r w:rsidRPr="008E589A">
          <w:rPr>
            <w:rStyle w:val="TextoNormalCaracter"/>
          </w:rPr>
          <w:t>123/1997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01" w:name="DESCRIPTORALFABETICO193"/>
      <w:r w:rsidRPr="008E589A">
        <w:rPr>
          <w:rStyle w:val="TextoNormalNegritaCaracter"/>
        </w:rPr>
        <w:lastRenderedPageBreak/>
        <w:t>Principio de seguridad jurídica</w:t>
      </w:r>
      <w:bookmarkEnd w:id="1001"/>
      <w:r w:rsidRPr="008E589A">
        <w:rPr>
          <w:rStyle w:val="TextoNormalCaracter"/>
        </w:rPr>
        <w:t xml:space="preserve">, Sentencia </w:t>
      </w:r>
      <w:hyperlink w:anchor="SENTENCIA_1997_91" w:history="1">
        <w:r w:rsidRPr="008E589A">
          <w:rPr>
            <w:rStyle w:val="TextoNormalCaracter"/>
          </w:rPr>
          <w:t>91/1997</w:t>
        </w:r>
      </w:hyperlink>
      <w:r w:rsidRPr="008E589A">
        <w:rPr>
          <w:rStyle w:val="TextoNormalCaracter"/>
        </w:rPr>
        <w:t>, f. único.</w:t>
      </w:r>
    </w:p>
    <w:p w:rsidR="008E589A" w:rsidRPr="008E589A" w:rsidRDefault="008E589A" w:rsidP="008E589A">
      <w:pPr>
        <w:pStyle w:val="TextoNormalSangraFrancesa"/>
        <w:rPr>
          <w:rStyle w:val="TextoNormalCaracter"/>
        </w:rPr>
      </w:pPr>
      <w:bookmarkStart w:id="1002" w:name="DESCRIPTORALFABETICO162"/>
      <w:r w:rsidRPr="008E589A">
        <w:rPr>
          <w:rStyle w:val="TextoNormalNegritaCaracter"/>
        </w:rPr>
        <w:t>Principio de sometimiento de la Administración al Derecho</w:t>
      </w:r>
      <w:bookmarkEnd w:id="1002"/>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2.</w:t>
      </w:r>
    </w:p>
    <w:p w:rsidR="008E589A" w:rsidRPr="008E589A" w:rsidRDefault="008E589A" w:rsidP="008E589A">
      <w:pPr>
        <w:pStyle w:val="TextoNormalSangraFrancesa"/>
        <w:rPr>
          <w:rStyle w:val="TextoNormalCaracter"/>
        </w:rPr>
      </w:pPr>
      <w:bookmarkStart w:id="1003" w:name="DESCRIPTORALFABETICO189"/>
      <w:r w:rsidRPr="008E589A">
        <w:rPr>
          <w:rStyle w:val="TextoNormalNegritaCaracter"/>
        </w:rPr>
        <w:t>Principio de tipicidad</w:t>
      </w:r>
      <w:bookmarkEnd w:id="1003"/>
      <w:r w:rsidRPr="008E589A">
        <w:rPr>
          <w:rStyle w:val="TextoNormalCaracter"/>
        </w:rPr>
        <w:t xml:space="preserve">, Sentencias </w:t>
      </w:r>
      <w:hyperlink w:anchor="SENTENCIA_1997_130" w:history="1">
        <w:r w:rsidRPr="008E589A">
          <w:rPr>
            <w:rStyle w:val="TextoNormalCaracter"/>
          </w:rPr>
          <w:t>130/1997</w:t>
        </w:r>
      </w:hyperlink>
      <w:r w:rsidRPr="008E589A">
        <w:rPr>
          <w:rStyle w:val="TextoNormalCaracter"/>
        </w:rPr>
        <w:t xml:space="preserve">, f. 3; </w:t>
      </w:r>
      <w:hyperlink w:anchor="SENTENCIA_1997_137" w:history="1">
        <w:r w:rsidRPr="008E589A">
          <w:rPr>
            <w:rStyle w:val="TextoNormalCaracter"/>
          </w:rPr>
          <w:t>137/1997</w:t>
        </w:r>
      </w:hyperlink>
      <w:r w:rsidRPr="008E589A">
        <w:rPr>
          <w:rStyle w:val="TextoNormalCaracter"/>
        </w:rPr>
        <w:t>, f. 6.</w:t>
      </w:r>
    </w:p>
    <w:p w:rsidR="008E589A" w:rsidRPr="008E589A" w:rsidRDefault="008E589A" w:rsidP="008E589A">
      <w:pPr>
        <w:pStyle w:val="TextoNormalSangraFrancesa"/>
        <w:rPr>
          <w:rStyle w:val="TextoNormalCaracter"/>
        </w:rPr>
      </w:pPr>
      <w:bookmarkStart w:id="1004" w:name="DESCRIPTORALFABETICO16"/>
      <w:r w:rsidRPr="008E589A">
        <w:rPr>
          <w:rStyle w:val="TextoNormalNegritaCaracter"/>
        </w:rPr>
        <w:t>Principio de unidad económica</w:t>
      </w:r>
      <w:bookmarkEnd w:id="1004"/>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ff. 4, 7.</w:t>
      </w:r>
    </w:p>
    <w:p w:rsidR="008E589A" w:rsidRPr="008E589A" w:rsidRDefault="008E589A" w:rsidP="008E589A">
      <w:pPr>
        <w:pStyle w:val="TextoNormalSangraFrancesa"/>
        <w:rPr>
          <w:rStyle w:val="TextoNormalNegritaCaracter"/>
        </w:rPr>
      </w:pPr>
      <w:r w:rsidRPr="008E589A">
        <w:rPr>
          <w:rStyle w:val="TextoNormalCursivaCaracter"/>
        </w:rPr>
        <w:t>Principio favor actionis</w:t>
      </w:r>
      <w:r>
        <w:t xml:space="preserve"> véase </w:t>
      </w:r>
      <w:hyperlink w:anchor="DESCRIPTORALFABETICO361" w:history="1">
        <w:r w:rsidRPr="008E589A">
          <w:rPr>
            <w:rStyle w:val="TextoNormalNegritaCaracter"/>
          </w:rPr>
          <w:t xml:space="preserve">Principio </w:t>
        </w:r>
        <w:r w:rsidRPr="008E589A">
          <w:rPr>
            <w:rStyle w:val="TextoNormalNegritaCaracter"/>
            <w:i/>
          </w:rPr>
          <w:t>pro actione</w:t>
        </w:r>
      </w:hyperlink>
    </w:p>
    <w:p w:rsidR="008E589A" w:rsidRPr="008E589A" w:rsidRDefault="008E589A" w:rsidP="008E589A">
      <w:pPr>
        <w:pStyle w:val="TextoNormalSangraFrancesa"/>
        <w:rPr>
          <w:rStyle w:val="TextoNormalCaracter"/>
        </w:rPr>
      </w:pPr>
      <w:bookmarkStart w:id="1005" w:name="DESCRIPTORALFABETICO361"/>
      <w:r w:rsidRPr="008E589A">
        <w:rPr>
          <w:rStyle w:val="TextoNormalNegritaCaracter"/>
        </w:rPr>
        <w:t xml:space="preserve">Principio </w:t>
      </w:r>
      <w:r w:rsidRPr="008E589A">
        <w:rPr>
          <w:rStyle w:val="TextoNormalNegritaCaracter"/>
          <w:i/>
        </w:rPr>
        <w:t>pro actione</w:t>
      </w:r>
      <w:bookmarkEnd w:id="1005"/>
      <w:r w:rsidRPr="008E589A">
        <w:rPr>
          <w:rStyle w:val="TextoNormalCaracter"/>
        </w:rPr>
        <w:t xml:space="preserve">, Sentencias </w:t>
      </w:r>
      <w:hyperlink w:anchor="SENTENCIA_1997_88" w:history="1">
        <w:r w:rsidRPr="008E589A">
          <w:rPr>
            <w:rStyle w:val="TextoNormalCaracter"/>
          </w:rPr>
          <w:t>88/1997</w:t>
        </w:r>
      </w:hyperlink>
      <w:r w:rsidRPr="008E589A">
        <w:rPr>
          <w:rStyle w:val="TextoNormalCaracter"/>
        </w:rPr>
        <w:t xml:space="preserve">, f. 2; </w:t>
      </w:r>
      <w:hyperlink w:anchor="SENTENCIA_1997_112" w:history="1">
        <w:r w:rsidRPr="008E589A">
          <w:rPr>
            <w:rStyle w:val="TextoNormalCaracter"/>
          </w:rPr>
          <w:t>112/1997</w:t>
        </w:r>
      </w:hyperlink>
      <w:r w:rsidRPr="008E589A">
        <w:rPr>
          <w:rStyle w:val="TextoNormalCaracter"/>
        </w:rPr>
        <w:t xml:space="preserve">, ff. 3, 4, 6; </w:t>
      </w:r>
      <w:hyperlink w:anchor="SENTENCIA_1997_132" w:history="1">
        <w:r w:rsidRPr="008E589A">
          <w:rPr>
            <w:rStyle w:val="TextoNormalCaracter"/>
          </w:rPr>
          <w:t>132/1997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Prisión preventiva</w:t>
      </w:r>
      <w:r>
        <w:t xml:space="preserve"> véase </w:t>
      </w:r>
      <w:hyperlink w:anchor="DESCRIPTORALFABETICO413" w:history="1">
        <w:r w:rsidRPr="008E589A">
          <w:rPr>
            <w:rStyle w:val="TextoNormalNegritaCaracter"/>
          </w:rPr>
          <w:t>Prisión provisional</w:t>
        </w:r>
      </w:hyperlink>
    </w:p>
    <w:p w:rsidR="008E589A" w:rsidRPr="008E589A" w:rsidRDefault="008E589A" w:rsidP="008E589A">
      <w:pPr>
        <w:pStyle w:val="TextoNormalSangraFrancesa"/>
        <w:rPr>
          <w:rStyle w:val="TextoNormalCaracter"/>
        </w:rPr>
      </w:pPr>
      <w:bookmarkStart w:id="1006" w:name="DESCRIPTORALFABETICO413"/>
      <w:r w:rsidRPr="008E589A">
        <w:rPr>
          <w:rStyle w:val="TextoNormalNegritaCaracter"/>
        </w:rPr>
        <w:t>Prisión provisional</w:t>
      </w:r>
      <w:bookmarkEnd w:id="1006"/>
      <w:r w:rsidRPr="008E589A">
        <w:rPr>
          <w:rStyle w:val="TextoNormalCaracter"/>
        </w:rPr>
        <w:t xml:space="preserve">, Sentencias </w:t>
      </w:r>
      <w:hyperlink w:anchor="SENTENCIA_1997_98" w:history="1">
        <w:r w:rsidRPr="008E589A">
          <w:rPr>
            <w:rStyle w:val="TextoNormalCaracter"/>
          </w:rPr>
          <w:t>98/1997</w:t>
        </w:r>
      </w:hyperlink>
      <w:r w:rsidRPr="008E589A">
        <w:rPr>
          <w:rStyle w:val="TextoNormalCaracter"/>
        </w:rPr>
        <w:t xml:space="preserve">, ff. 2, 7, VP; </w:t>
      </w:r>
      <w:hyperlink w:anchor="SENTENCIA_1997_107" w:history="1">
        <w:r w:rsidRPr="008E589A">
          <w:rPr>
            <w:rStyle w:val="TextoNormalCaracter"/>
          </w:rPr>
          <w:t>107/1997</w:t>
        </w:r>
      </w:hyperlink>
      <w:r w:rsidRPr="008E589A">
        <w:rPr>
          <w:rStyle w:val="TextoNormalCaracter"/>
        </w:rPr>
        <w:t xml:space="preserve">, ff. 1, 2, 3, 4, 5, 6; </w:t>
      </w:r>
      <w:hyperlink w:anchor="SENTENCIA_1997_108" w:history="1">
        <w:r w:rsidRPr="008E589A">
          <w:rPr>
            <w:rStyle w:val="TextoNormalCaracter"/>
          </w:rPr>
          <w:t>108/1997</w:t>
        </w:r>
      </w:hyperlink>
      <w:r w:rsidRPr="008E589A">
        <w:rPr>
          <w:rStyle w:val="TextoNormalCaracter"/>
        </w:rPr>
        <w:t>, ff. 1, 2, 3, 4.</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77" w:history="1">
        <w:r w:rsidRPr="008E589A">
          <w:rPr>
            <w:rStyle w:val="TextoNormalCaracter"/>
          </w:rPr>
          <w:t>277/1997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 </w:t>
      </w:r>
      <w:hyperlink w:anchor="SENTENCIA_1997_107" w:history="1">
        <w:r w:rsidRPr="008E589A">
          <w:rPr>
            <w:rStyle w:val="TextoNormalCaracter"/>
          </w:rPr>
          <w:t>107/1997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07" w:name="DESCRIPTORALFABETICO418"/>
      <w:r w:rsidRPr="008E589A">
        <w:rPr>
          <w:rStyle w:val="TextoNormalNegritaCaracter"/>
        </w:rPr>
        <w:t>Prisión provisional en procedimiento de extradición</w:t>
      </w:r>
      <w:bookmarkEnd w:id="1007"/>
      <w:r w:rsidRPr="008E589A">
        <w:rPr>
          <w:rStyle w:val="TextoNormalCaracter"/>
        </w:rPr>
        <w:t xml:space="preserve">, Auto </w:t>
      </w:r>
      <w:hyperlink w:anchor="AUTO_1997_277" w:history="1">
        <w:r w:rsidRPr="008E589A">
          <w:rPr>
            <w:rStyle w:val="TextoNormalCaracter"/>
          </w:rPr>
          <w:t>277/1997</w:t>
        </w:r>
      </w:hyperlink>
      <w:r w:rsidRPr="008E589A">
        <w:rPr>
          <w:rStyle w:val="TextoNormalCaracter"/>
        </w:rPr>
        <w:t>.</w:t>
      </w:r>
    </w:p>
    <w:p w:rsidR="008E589A" w:rsidRPr="008E589A" w:rsidRDefault="008E589A" w:rsidP="008E589A">
      <w:pPr>
        <w:pStyle w:val="TextoNormalSangraFrancesa"/>
        <w:rPr>
          <w:rStyle w:val="TextoNormalCaracter"/>
        </w:rPr>
      </w:pPr>
      <w:bookmarkStart w:id="1008" w:name="DESCRIPTORALFABETICO206"/>
      <w:r w:rsidRPr="008E589A">
        <w:rPr>
          <w:rStyle w:val="TextoNormalNegritaCaracter"/>
        </w:rPr>
        <w:t>Procedimiento administrativo sancionador</w:t>
      </w:r>
      <w:bookmarkEnd w:id="1008"/>
      <w:r w:rsidRPr="008E589A">
        <w:rPr>
          <w:rStyle w:val="TextoNormalCaracter"/>
        </w:rPr>
        <w:t xml:space="preserve">, Auto </w:t>
      </w:r>
      <w:hyperlink w:anchor="AUTO_1997_267" w:history="1">
        <w:r w:rsidRPr="008E589A">
          <w:rPr>
            <w:rStyle w:val="TextoNormalCaracter"/>
          </w:rPr>
          <w:t>267/1997</w:t>
        </w:r>
      </w:hyperlink>
      <w:r w:rsidRPr="008E589A">
        <w:rPr>
          <w:rStyle w:val="TextoNormalCaracter"/>
        </w:rPr>
        <w:t>.</w:t>
      </w:r>
    </w:p>
    <w:p w:rsidR="008E589A" w:rsidRPr="008E589A" w:rsidRDefault="008E589A" w:rsidP="008E589A">
      <w:pPr>
        <w:pStyle w:val="TextoNormalSangraFrancesa"/>
        <w:rPr>
          <w:rStyle w:val="TextoNormalCaracter"/>
        </w:rPr>
      </w:pPr>
      <w:bookmarkStart w:id="1009" w:name="DESCRIPTORALFABETICO386"/>
      <w:r w:rsidRPr="008E589A">
        <w:rPr>
          <w:rStyle w:val="TextoNormalNegritaCaracter"/>
        </w:rPr>
        <w:t>Procedimiento de adopción</w:t>
      </w:r>
      <w:bookmarkEnd w:id="1009"/>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ff. 3, 6.</w:t>
      </w:r>
    </w:p>
    <w:p w:rsidR="008E589A" w:rsidRPr="008E589A" w:rsidRDefault="008E589A" w:rsidP="008E589A">
      <w:pPr>
        <w:pStyle w:val="TextoNormalSangraFrancesa"/>
        <w:rPr>
          <w:rStyle w:val="TextoNormalCaracter"/>
        </w:rPr>
      </w:pPr>
      <w:bookmarkStart w:id="1010" w:name="DESCRIPTORALFABETICO291"/>
      <w:r w:rsidRPr="008E589A">
        <w:rPr>
          <w:rStyle w:val="TextoNormalNegritaCaracter"/>
        </w:rPr>
        <w:t>Procedimiento de protección judicial de derechos fundamentales</w:t>
      </w:r>
      <w:bookmarkEnd w:id="1010"/>
      <w:r w:rsidRPr="008E589A">
        <w:rPr>
          <w:rStyle w:val="TextoNormalCaracter"/>
        </w:rPr>
        <w:t xml:space="preserve">, Sentencias </w:t>
      </w:r>
      <w:hyperlink w:anchor="SENTENCIA_1997_105" w:history="1">
        <w:r w:rsidRPr="008E589A">
          <w:rPr>
            <w:rStyle w:val="TextoNormalCaracter"/>
          </w:rPr>
          <w:t>105/1997</w:t>
        </w:r>
      </w:hyperlink>
      <w:r w:rsidRPr="008E589A">
        <w:rPr>
          <w:rStyle w:val="TextoNormalCaracter"/>
        </w:rPr>
        <w:t xml:space="preserve">, f. 2; </w:t>
      </w:r>
      <w:hyperlink w:anchor="SENTENCIA_1997_125" w:history="1">
        <w:r w:rsidRPr="008E589A">
          <w:rPr>
            <w:rStyle w:val="TextoNormalCaracter"/>
          </w:rPr>
          <w:t>125/1997</w:t>
        </w:r>
      </w:hyperlink>
      <w:r w:rsidRPr="008E589A">
        <w:rPr>
          <w:rStyle w:val="TextoNormalCaracter"/>
        </w:rPr>
        <w:t>, ff. 4, 5, VP I, VP II.</w:t>
      </w:r>
    </w:p>
    <w:p w:rsidR="008E589A" w:rsidRPr="008E589A" w:rsidRDefault="008E589A" w:rsidP="008E589A">
      <w:pPr>
        <w:pStyle w:val="TextoNormalSangraFrancesa"/>
        <w:rPr>
          <w:rStyle w:val="TextoNormalCaracter"/>
        </w:rPr>
      </w:pPr>
      <w:bookmarkStart w:id="1011" w:name="DESCRIPTORALFABETICO292"/>
      <w:r w:rsidRPr="008E589A">
        <w:rPr>
          <w:rStyle w:val="TextoNormalNegritaCaracter"/>
        </w:rPr>
        <w:t>Procedimiento especial de la ley de protección jurisdiccional de los derechos fundamentales</w:t>
      </w:r>
      <w:bookmarkEnd w:id="1011"/>
      <w:r w:rsidRPr="008E589A">
        <w:rPr>
          <w:rStyle w:val="TextoNormalCaracter"/>
        </w:rPr>
        <w:t xml:space="preserve">, Sentencia </w:t>
      </w:r>
      <w:hyperlink w:anchor="SENTENCIA_1997_95" w:history="1">
        <w:r w:rsidRPr="008E589A">
          <w:rPr>
            <w:rStyle w:val="TextoNormalCaracter"/>
          </w:rPr>
          <w:t>95/1997</w:t>
        </w:r>
      </w:hyperlink>
      <w:r w:rsidRPr="008E589A">
        <w:rPr>
          <w:rStyle w:val="TextoNormalCaracter"/>
        </w:rPr>
        <w:t>, f. 1.</w:t>
      </w:r>
    </w:p>
    <w:p w:rsidR="008E589A" w:rsidRPr="008E589A" w:rsidRDefault="008E589A" w:rsidP="008E589A">
      <w:pPr>
        <w:pStyle w:val="TextoNormalSangraFrancesa"/>
        <w:rPr>
          <w:rStyle w:val="TextoNormalCaracter"/>
        </w:rPr>
      </w:pPr>
      <w:r w:rsidRPr="008E589A">
        <w:rPr>
          <w:rStyle w:val="TextoNormalCursivaCaracter"/>
        </w:rPr>
        <w:t xml:space="preserve">    Alcance, </w:t>
      </w:r>
      <w:r w:rsidRPr="008E589A">
        <w:rPr>
          <w:rStyle w:val="TextoNormalCaracter"/>
        </w:rPr>
        <w:t xml:space="preserve">Sentencia </w:t>
      </w:r>
      <w:hyperlink w:anchor="SENTENCIA_1997_125" w:history="1">
        <w:r w:rsidRPr="008E589A">
          <w:rPr>
            <w:rStyle w:val="TextoNormalCaracter"/>
          </w:rPr>
          <w:t>125/1997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ursivaCaracter"/>
        </w:rPr>
        <w:t xml:space="preserve">    Naturaleza, </w:t>
      </w:r>
      <w:r w:rsidRPr="008E589A">
        <w:rPr>
          <w:rStyle w:val="TextoNormalCaracter"/>
        </w:rPr>
        <w:t xml:space="preserve">Sentencia </w:t>
      </w:r>
      <w:hyperlink w:anchor="SENTENCIA_1997_95" w:history="1">
        <w:r w:rsidRPr="008E589A">
          <w:rPr>
            <w:rStyle w:val="TextoNormalCaracter"/>
          </w:rPr>
          <w:t>95/1997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1012" w:name="DESCRIPTORALFABETICO398"/>
      <w:r w:rsidRPr="008E589A">
        <w:rPr>
          <w:rStyle w:val="TextoNormalNegritaCaracter"/>
        </w:rPr>
        <w:t>Procedimiento especial de tutela de la libertad sindical</w:t>
      </w:r>
      <w:bookmarkEnd w:id="1012"/>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 2.</w:t>
      </w:r>
    </w:p>
    <w:p w:rsidR="008E589A" w:rsidRPr="008E589A" w:rsidRDefault="008E589A" w:rsidP="008E589A">
      <w:pPr>
        <w:pStyle w:val="TextoNormalSangraFrancesa"/>
        <w:rPr>
          <w:rStyle w:val="TextoNormalCaracter"/>
        </w:rPr>
      </w:pPr>
      <w:bookmarkStart w:id="1013" w:name="DESCRIPTORALFABETICO349"/>
      <w:r w:rsidRPr="008E589A">
        <w:rPr>
          <w:rStyle w:val="TextoNormalNegritaCaracter"/>
        </w:rPr>
        <w:t>Procedimiento para la obtención de justicia gratuita</w:t>
      </w:r>
      <w:bookmarkEnd w:id="1013"/>
      <w:r w:rsidRPr="008E589A">
        <w:rPr>
          <w:rStyle w:val="TextoNormalCaracter"/>
        </w:rPr>
        <w:t xml:space="preserve">, Autos </w:t>
      </w:r>
      <w:hyperlink w:anchor="AUTO_1997_138" w:history="1">
        <w:r w:rsidRPr="008E589A">
          <w:rPr>
            <w:rStyle w:val="TextoNormalCaracter"/>
          </w:rPr>
          <w:t>138/1997</w:t>
        </w:r>
      </w:hyperlink>
      <w:r w:rsidRPr="008E589A">
        <w:rPr>
          <w:rStyle w:val="TextoNormalCaracter"/>
        </w:rPr>
        <w:t xml:space="preserve">; </w:t>
      </w:r>
      <w:hyperlink w:anchor="AUTO_1997_204" w:history="1">
        <w:r w:rsidRPr="008E589A">
          <w:rPr>
            <w:rStyle w:val="TextoNormalCaracter"/>
          </w:rPr>
          <w:t>204/1997</w:t>
        </w:r>
      </w:hyperlink>
      <w:r w:rsidRPr="008E589A">
        <w:rPr>
          <w:rStyle w:val="TextoNormalCaracter"/>
        </w:rPr>
        <w:t>.</w:t>
      </w:r>
    </w:p>
    <w:p w:rsidR="008E589A" w:rsidRPr="008E589A" w:rsidRDefault="008E589A" w:rsidP="008E589A">
      <w:pPr>
        <w:pStyle w:val="TextoNormalSangraFrancesa"/>
        <w:rPr>
          <w:rStyle w:val="TextoNormalCaracter"/>
        </w:rPr>
      </w:pPr>
      <w:bookmarkStart w:id="1014" w:name="DESCRIPTORALFABETICO397"/>
      <w:r w:rsidRPr="008E589A">
        <w:rPr>
          <w:rStyle w:val="TextoNormalNegritaCaracter"/>
        </w:rPr>
        <w:t>Proceso laboral</w:t>
      </w:r>
      <w:bookmarkEnd w:id="1014"/>
      <w:r w:rsidRPr="008E589A">
        <w:rPr>
          <w:rStyle w:val="TextoNormalCaracter"/>
        </w:rPr>
        <w:t xml:space="preserve">, Sentencias </w:t>
      </w:r>
      <w:hyperlink w:anchor="SENTENCIA_1997_104" w:history="1">
        <w:r w:rsidRPr="008E589A">
          <w:rPr>
            <w:rStyle w:val="TextoNormalCaracter"/>
          </w:rPr>
          <w:t>104/1997</w:t>
        </w:r>
      </w:hyperlink>
      <w:r w:rsidRPr="008E589A">
        <w:rPr>
          <w:rStyle w:val="TextoNormalCaracter"/>
        </w:rPr>
        <w:t xml:space="preserve">, f. 1; </w:t>
      </w:r>
      <w:hyperlink w:anchor="SENTENCIA_1997_105" w:history="1">
        <w:r w:rsidRPr="008E589A">
          <w:rPr>
            <w:rStyle w:val="TextoNormalCaracter"/>
          </w:rPr>
          <w:t>105/1997</w:t>
        </w:r>
      </w:hyperlink>
      <w:r w:rsidRPr="008E589A">
        <w:rPr>
          <w:rStyle w:val="TextoNormalCaracter"/>
        </w:rPr>
        <w:t xml:space="preserve">, f. 2; </w:t>
      </w:r>
      <w:hyperlink w:anchor="SENTENCIA_1997_112" w:history="1">
        <w:r w:rsidRPr="008E589A">
          <w:rPr>
            <w:rStyle w:val="TextoNormalCaracter"/>
          </w:rPr>
          <w:t>112/1997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15" w:name="DESCRIPTORALFABETICO403"/>
      <w:r w:rsidRPr="008E589A">
        <w:rPr>
          <w:rStyle w:val="TextoNormalNegritaCaracter"/>
        </w:rPr>
        <w:t>Proceso penal</w:t>
      </w:r>
      <w:bookmarkEnd w:id="1015"/>
      <w:r w:rsidRPr="008E589A">
        <w:rPr>
          <w:rStyle w:val="TextoNormalCaracter"/>
        </w:rPr>
        <w:t xml:space="preserve">, Sentencias </w:t>
      </w:r>
      <w:hyperlink w:anchor="SENTENCIA_1997_120" w:history="1">
        <w:r w:rsidRPr="008E589A">
          <w:rPr>
            <w:rStyle w:val="TextoNormalCaracter"/>
          </w:rPr>
          <w:t>120/1997</w:t>
        </w:r>
      </w:hyperlink>
      <w:r w:rsidRPr="008E589A">
        <w:rPr>
          <w:rStyle w:val="TextoNormalCaracter"/>
        </w:rPr>
        <w:t xml:space="preserve">, f. 3; </w:t>
      </w:r>
      <w:hyperlink w:anchor="SENTENCIA_1997_135" w:history="1">
        <w:r w:rsidRPr="008E589A">
          <w:rPr>
            <w:rStyle w:val="TextoNormalCaracter"/>
          </w:rPr>
          <w:t>135/1997</w:t>
        </w:r>
      </w:hyperlink>
      <w:r w:rsidRPr="008E589A">
        <w:rPr>
          <w:rStyle w:val="TextoNormalCaracter"/>
        </w:rPr>
        <w:t>, ff. 3, 4, 5, 6.</w:t>
      </w:r>
    </w:p>
    <w:p w:rsidR="008E589A" w:rsidRPr="008E589A" w:rsidRDefault="008E589A" w:rsidP="008E589A">
      <w:pPr>
        <w:pStyle w:val="TextoNormalSangraFrancesa"/>
        <w:rPr>
          <w:rStyle w:val="TextoNormalCaracter"/>
        </w:rPr>
      </w:pPr>
      <w:bookmarkStart w:id="1016" w:name="DESCRIPTORALFABETICO419"/>
      <w:r w:rsidRPr="008E589A">
        <w:rPr>
          <w:rStyle w:val="TextoNormalNegritaCaracter"/>
        </w:rPr>
        <w:t>Prueba de cargo suficiente</w:t>
      </w:r>
      <w:bookmarkEnd w:id="1016"/>
      <w:r w:rsidRPr="008E589A">
        <w:rPr>
          <w:rStyle w:val="TextoNormalCaracter"/>
        </w:rPr>
        <w:t xml:space="preserve">, Sentencia </w:t>
      </w:r>
      <w:hyperlink w:anchor="SENTENCIA_1997_131" w:history="1">
        <w:r w:rsidRPr="008E589A">
          <w:rPr>
            <w:rStyle w:val="TextoNormalCaracter"/>
          </w:rPr>
          <w:t>131/1997</w:t>
        </w:r>
      </w:hyperlink>
      <w:r w:rsidRPr="008E589A">
        <w:rPr>
          <w:rStyle w:val="TextoNormalCaracter"/>
        </w:rPr>
        <w:t>, f. 4.</w:t>
      </w:r>
    </w:p>
    <w:p w:rsidR="008E589A" w:rsidRPr="008E589A" w:rsidRDefault="008E589A" w:rsidP="008E589A">
      <w:pPr>
        <w:pStyle w:val="TextoNormalSangraFrancesa"/>
        <w:rPr>
          <w:rStyle w:val="TextoNormalNegritaCaracter"/>
        </w:rPr>
      </w:pPr>
      <w:r w:rsidRPr="008E589A">
        <w:rPr>
          <w:rStyle w:val="TextoNormalCursivaCaracter"/>
        </w:rPr>
        <w:t>Prueba de indicios</w:t>
      </w:r>
      <w:r>
        <w:t xml:space="preserve"> véase </w:t>
      </w:r>
      <w:hyperlink w:anchor="DESCRIPTORALFABETICO338" w:history="1">
        <w:r w:rsidRPr="008E589A">
          <w:rPr>
            <w:rStyle w:val="TextoNormalNegritaCaracter"/>
          </w:rPr>
          <w:t>Prueba indiciaria</w:t>
        </w:r>
      </w:hyperlink>
    </w:p>
    <w:p w:rsidR="008E589A" w:rsidRPr="008E589A" w:rsidRDefault="008E589A" w:rsidP="008E589A">
      <w:pPr>
        <w:pStyle w:val="TextoNormalSangraFrancesa"/>
        <w:rPr>
          <w:rStyle w:val="TextoNormalCaracter"/>
        </w:rPr>
      </w:pPr>
      <w:bookmarkStart w:id="1017" w:name="DESCRIPTORALFABETICO113"/>
      <w:r w:rsidRPr="008E589A">
        <w:rPr>
          <w:rStyle w:val="TextoNormalNegritaCaracter"/>
        </w:rPr>
        <w:t>Prueba en procesos constitucionales</w:t>
      </w:r>
      <w:bookmarkEnd w:id="1017"/>
      <w:r w:rsidRPr="008E589A">
        <w:rPr>
          <w:rStyle w:val="TextoNormalCaracter"/>
        </w:rPr>
        <w:t xml:space="preserve">, Auto </w:t>
      </w:r>
      <w:hyperlink w:anchor="AUTO_1997_260" w:history="1">
        <w:r w:rsidRPr="008E589A">
          <w:rPr>
            <w:rStyle w:val="TextoNormalCaracter"/>
          </w:rPr>
          <w:t>260/1997</w:t>
        </w:r>
      </w:hyperlink>
      <w:r w:rsidRPr="008E589A">
        <w:rPr>
          <w:rStyle w:val="TextoNormalCaracter"/>
        </w:rPr>
        <w:t>.</w:t>
      </w:r>
    </w:p>
    <w:p w:rsidR="008E589A" w:rsidRPr="008E589A" w:rsidRDefault="008E589A" w:rsidP="008E589A">
      <w:pPr>
        <w:pStyle w:val="TextoNormalSangraFrancesa"/>
        <w:rPr>
          <w:rStyle w:val="TextoNormalCaracter"/>
        </w:rPr>
      </w:pPr>
      <w:bookmarkStart w:id="1018" w:name="DESCRIPTORALFABETICO338"/>
      <w:r w:rsidRPr="008E589A">
        <w:rPr>
          <w:rStyle w:val="TextoNormalNegritaCaracter"/>
        </w:rPr>
        <w:t>Prueba indiciaria</w:t>
      </w:r>
      <w:bookmarkEnd w:id="1018"/>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ff. 3, 5, 6.</w:t>
      </w:r>
    </w:p>
    <w:p w:rsidR="008E589A" w:rsidRPr="008E589A" w:rsidRDefault="008E589A" w:rsidP="008E589A">
      <w:pPr>
        <w:pStyle w:val="TextoNormalSangraFrancesa"/>
        <w:rPr>
          <w:rStyle w:val="TextoNormalNegritaCaracter"/>
        </w:rPr>
      </w:pPr>
      <w:r w:rsidRPr="008E589A">
        <w:rPr>
          <w:rStyle w:val="TextoNormalCursivaCaracter"/>
        </w:rPr>
        <w:t>Prueba indirecta</w:t>
      </w:r>
      <w:r>
        <w:t xml:space="preserve"> véase </w:t>
      </w:r>
      <w:hyperlink w:anchor="DESCRIPTORALFABETICO338" w:history="1">
        <w:r w:rsidRPr="008E589A">
          <w:rPr>
            <w:rStyle w:val="TextoNormalNegritaCaracter"/>
          </w:rPr>
          <w:t>Prueba indiciaria</w:t>
        </w:r>
      </w:hyperlink>
    </w:p>
    <w:p w:rsidR="008E589A" w:rsidRPr="008E589A" w:rsidRDefault="008E589A" w:rsidP="008E589A">
      <w:pPr>
        <w:pStyle w:val="TextoNormalSangraFrancesa"/>
        <w:rPr>
          <w:rStyle w:val="TextoNormalCaracter"/>
        </w:rPr>
      </w:pPr>
      <w:bookmarkStart w:id="1019" w:name="DESCRIPTORALFABETICO333"/>
      <w:r w:rsidRPr="008E589A">
        <w:rPr>
          <w:rStyle w:val="TextoNormalNegritaCaracter"/>
        </w:rPr>
        <w:t>Prueba irrelevante</w:t>
      </w:r>
      <w:bookmarkEnd w:id="1019"/>
      <w:r w:rsidRPr="008E589A">
        <w:rPr>
          <w:rStyle w:val="TextoNormalCaracter"/>
        </w:rPr>
        <w:t xml:space="preserve">, Auto </w:t>
      </w:r>
      <w:hyperlink w:anchor="AUTO_1997_290" w:history="1">
        <w:r w:rsidRPr="008E589A">
          <w:rPr>
            <w:rStyle w:val="TextoNormalCaracter"/>
          </w:rPr>
          <w:t>290/1997</w:t>
        </w:r>
      </w:hyperlink>
      <w:r w:rsidRPr="008E589A">
        <w:rPr>
          <w:rStyle w:val="TextoNormalCaracter"/>
        </w:rPr>
        <w:t>.</w:t>
      </w:r>
    </w:p>
    <w:p w:rsidR="008E589A" w:rsidRPr="008E589A" w:rsidRDefault="008E589A" w:rsidP="008E589A">
      <w:pPr>
        <w:pStyle w:val="TextoNormalSangraFrancesa"/>
        <w:rPr>
          <w:rStyle w:val="TextoNormalCaracter"/>
        </w:rPr>
      </w:pPr>
      <w:bookmarkStart w:id="1020" w:name="DESCRIPTORALFABETICO6"/>
      <w:r w:rsidRPr="008E589A">
        <w:rPr>
          <w:rStyle w:val="TextoNormalNegritaCaracter"/>
        </w:rPr>
        <w:t>Puntos de conexión para el ejercicio de competencias autonómicas</w:t>
      </w:r>
      <w:bookmarkEnd w:id="1020"/>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12.</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R</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1021" w:name="DESCRIPTORALFABETICO135"/>
      <w:r w:rsidRPr="008E589A">
        <w:rPr>
          <w:rStyle w:val="TextoNormalNegritaCaracter"/>
        </w:rPr>
        <w:t>Ratificación de la demanda de amparo</w:t>
      </w:r>
      <w:bookmarkEnd w:id="1021"/>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1.</w:t>
      </w:r>
    </w:p>
    <w:p w:rsidR="008E589A" w:rsidRPr="008E589A" w:rsidRDefault="008E589A" w:rsidP="008E589A">
      <w:pPr>
        <w:pStyle w:val="TextoNormalSangraFrancesa"/>
        <w:rPr>
          <w:rStyle w:val="TextoNormalCaracter"/>
        </w:rPr>
      </w:pPr>
      <w:bookmarkStart w:id="1022" w:name="DESCRIPTORALFABETICO390"/>
      <w:r w:rsidRPr="008E589A">
        <w:rPr>
          <w:rStyle w:val="TextoNormalNegritaCaracter"/>
        </w:rPr>
        <w:t>Reclamación administrativa previa</w:t>
      </w:r>
      <w:bookmarkEnd w:id="1022"/>
      <w:r w:rsidRPr="008E589A">
        <w:rPr>
          <w:rStyle w:val="TextoNormalCaracter"/>
        </w:rPr>
        <w:t xml:space="preserve">, Sentencia </w:t>
      </w:r>
      <w:hyperlink w:anchor="SENTENCIA_1997_112" w:history="1">
        <w:r w:rsidRPr="008E589A">
          <w:rPr>
            <w:rStyle w:val="TextoNormalCaracter"/>
          </w:rPr>
          <w:t>112/1997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23" w:name="DESCRIPTORALFABETICO392"/>
      <w:r w:rsidRPr="008E589A">
        <w:rPr>
          <w:rStyle w:val="TextoNormalNegritaCaracter"/>
        </w:rPr>
        <w:t>Reclamación administrativa previa extemporánea</w:t>
      </w:r>
      <w:bookmarkEnd w:id="1023"/>
      <w:r w:rsidRPr="008E589A">
        <w:rPr>
          <w:rStyle w:val="TextoNormalCaracter"/>
        </w:rPr>
        <w:t xml:space="preserve">, Sentencia </w:t>
      </w:r>
      <w:hyperlink w:anchor="SENTENCIA_1997_104" w:history="1">
        <w:r w:rsidRPr="008E589A">
          <w:rPr>
            <w:rStyle w:val="TextoNormalCaracter"/>
          </w:rPr>
          <w:t>104/1997</w:t>
        </w:r>
      </w:hyperlink>
      <w:r w:rsidRPr="008E589A">
        <w:rPr>
          <w:rStyle w:val="TextoNormalCaracter"/>
        </w:rPr>
        <w:t>, f. 1.</w:t>
      </w:r>
    </w:p>
    <w:p w:rsidR="008E589A" w:rsidRPr="008E589A" w:rsidRDefault="008E589A" w:rsidP="008E589A">
      <w:pPr>
        <w:pStyle w:val="TextoNormalSangraFrancesa"/>
        <w:rPr>
          <w:rStyle w:val="TextoNormalCaracter"/>
        </w:rPr>
      </w:pPr>
      <w:bookmarkStart w:id="1024" w:name="DESCRIPTORALFABETICO329"/>
      <w:r w:rsidRPr="008E589A">
        <w:rPr>
          <w:rStyle w:val="TextoNormalNegritaCaracter"/>
        </w:rPr>
        <w:t>Rectificación de error material</w:t>
      </w:r>
      <w:bookmarkEnd w:id="1024"/>
      <w:r w:rsidRPr="008E589A">
        <w:rPr>
          <w:rStyle w:val="TextoNormalCaracter"/>
        </w:rPr>
        <w:t xml:space="preserve">, Auto </w:t>
      </w:r>
      <w:hyperlink w:anchor="AUTO_1997_279" w:history="1">
        <w:r w:rsidRPr="008E589A">
          <w:rPr>
            <w:rStyle w:val="TextoNormalCaracter"/>
          </w:rPr>
          <w:t>279/1997</w:t>
        </w:r>
      </w:hyperlink>
      <w:r w:rsidRPr="008E589A">
        <w:rPr>
          <w:rStyle w:val="TextoNormalCaracter"/>
        </w:rPr>
        <w:t>.</w:t>
      </w:r>
    </w:p>
    <w:p w:rsidR="008E589A" w:rsidRPr="008E589A" w:rsidRDefault="008E589A" w:rsidP="008E589A">
      <w:pPr>
        <w:pStyle w:val="TextoNormalSangraFrancesa"/>
        <w:rPr>
          <w:rStyle w:val="TextoNormalCaracter"/>
        </w:rPr>
      </w:pPr>
      <w:bookmarkStart w:id="1025" w:name="DESCRIPTORALFABETICO394"/>
      <w:r w:rsidRPr="008E589A">
        <w:rPr>
          <w:rStyle w:val="TextoNormalNegritaCaracter"/>
        </w:rPr>
        <w:t>Recurso contencioso-administrativo</w:t>
      </w:r>
      <w:bookmarkEnd w:id="1025"/>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1026" w:name="DESCRIPTORALFABETICO126"/>
      <w:r w:rsidRPr="008E589A">
        <w:rPr>
          <w:rStyle w:val="TextoNormalNegritaCaracter"/>
        </w:rPr>
        <w:t>Recurso de amparo</w:t>
      </w:r>
      <w:bookmarkEnd w:id="1026"/>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ff. 2, 3.</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36" w:history="1">
        <w:r w:rsidRPr="008E589A">
          <w:rPr>
            <w:rStyle w:val="TextoNormalCaracter"/>
          </w:rPr>
          <w:t>136/1997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Recurso de amparo contra actos del Congreso de los Diputados</w:t>
      </w:r>
      <w:r>
        <w:t xml:space="preserve"> véase </w:t>
      </w:r>
      <w:hyperlink w:anchor="DESCRIPTORALFABETICO146" w:history="1">
        <w:r w:rsidRPr="008E589A">
          <w:rPr>
            <w:rStyle w:val="TextoNormalNegritaCaracter"/>
          </w:rPr>
          <w:t>Recurso de amparo contra actos parlamentarios</w:t>
        </w:r>
      </w:hyperlink>
    </w:p>
    <w:p w:rsidR="008E589A" w:rsidRPr="008E589A" w:rsidRDefault="008E589A" w:rsidP="008E589A">
      <w:pPr>
        <w:pStyle w:val="TextoNormalSangraFrancesa"/>
        <w:rPr>
          <w:rStyle w:val="TextoNormalNegritaCaracter"/>
        </w:rPr>
      </w:pPr>
      <w:r w:rsidRPr="008E589A">
        <w:rPr>
          <w:rStyle w:val="TextoNormalCursivaCaracter"/>
        </w:rPr>
        <w:lastRenderedPageBreak/>
        <w:t>Recurso de amparo contra actos del Senado</w:t>
      </w:r>
      <w:r>
        <w:t xml:space="preserve"> véase </w:t>
      </w:r>
      <w:hyperlink w:anchor="DESCRIPTORALFABETICO146" w:history="1">
        <w:r w:rsidRPr="008E589A">
          <w:rPr>
            <w:rStyle w:val="TextoNormalNegritaCaracter"/>
          </w:rPr>
          <w:t>Recurso de amparo contra actos parlamentarios</w:t>
        </w:r>
      </w:hyperlink>
    </w:p>
    <w:p w:rsidR="008E589A" w:rsidRPr="008E589A" w:rsidRDefault="008E589A" w:rsidP="008E589A">
      <w:pPr>
        <w:pStyle w:val="TextoNormalSangraFrancesa"/>
        <w:rPr>
          <w:rStyle w:val="TextoNormalCaracter"/>
        </w:rPr>
      </w:pPr>
      <w:bookmarkStart w:id="1027" w:name="DESCRIPTORALFABETICO146"/>
      <w:r w:rsidRPr="008E589A">
        <w:rPr>
          <w:rStyle w:val="TextoNormalNegritaCaracter"/>
        </w:rPr>
        <w:t>Recurso de amparo contra actos parlamentarios</w:t>
      </w:r>
      <w:bookmarkEnd w:id="1027"/>
      <w:r w:rsidRPr="008E589A">
        <w:rPr>
          <w:rStyle w:val="TextoNormalCaracter"/>
        </w:rPr>
        <w:t xml:space="preserve">, Sentencia </w:t>
      </w:r>
      <w:hyperlink w:anchor="SENTENCIA_1997_121" w:history="1">
        <w:r w:rsidRPr="008E589A">
          <w:rPr>
            <w:rStyle w:val="TextoNormalCaracter"/>
          </w:rPr>
          <w:t>121/1997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Recurso de amparo contra actos sin fuerza de ley de los órganos legislativos</w:t>
      </w:r>
      <w:r>
        <w:t xml:space="preserve"> véase </w:t>
      </w:r>
      <w:hyperlink w:anchor="DESCRIPTORALFABETICO146" w:history="1">
        <w:r w:rsidRPr="008E589A">
          <w:rPr>
            <w:rStyle w:val="TextoNormalNegritaCaracter"/>
          </w:rPr>
          <w:t>Recurso de amparo contra actos parlamentarios</w:t>
        </w:r>
      </w:hyperlink>
    </w:p>
    <w:p w:rsidR="008E589A" w:rsidRPr="008E589A" w:rsidRDefault="008E589A" w:rsidP="008E589A">
      <w:pPr>
        <w:pStyle w:val="TextoNormalSangraFrancesa"/>
        <w:rPr>
          <w:rStyle w:val="TextoNormalCaracter"/>
        </w:rPr>
      </w:pPr>
      <w:bookmarkStart w:id="1028" w:name="DESCRIPTORALFABETICO362"/>
      <w:r w:rsidRPr="008E589A">
        <w:rPr>
          <w:rStyle w:val="TextoNormalNegritaCaracter"/>
        </w:rPr>
        <w:t>Recurso de apelación</w:t>
      </w:r>
      <w:bookmarkEnd w:id="1028"/>
      <w:r w:rsidRPr="008E589A">
        <w:rPr>
          <w:rStyle w:val="TextoNormalCaracter"/>
        </w:rPr>
        <w:t xml:space="preserve">, Sentencias </w:t>
      </w:r>
      <w:hyperlink w:anchor="SENTENCIA_1997_106" w:history="1">
        <w:r w:rsidRPr="008E589A">
          <w:rPr>
            <w:rStyle w:val="TextoNormalCaracter"/>
          </w:rPr>
          <w:t>106/1997</w:t>
        </w:r>
      </w:hyperlink>
      <w:r w:rsidRPr="008E589A">
        <w:rPr>
          <w:rStyle w:val="TextoNormalCaracter"/>
        </w:rPr>
        <w:t xml:space="preserve">, f. 2; </w:t>
      </w:r>
      <w:hyperlink w:anchor="SENTENCIA_1997_114" w:history="1">
        <w:r w:rsidRPr="008E589A">
          <w:rPr>
            <w:rStyle w:val="TextoNormalCaracter"/>
          </w:rPr>
          <w:t>114/1997</w:t>
        </w:r>
      </w:hyperlink>
      <w:r w:rsidRPr="008E589A">
        <w:rPr>
          <w:rStyle w:val="TextoNormalCaracter"/>
        </w:rPr>
        <w:t>, f. 7.</w:t>
      </w:r>
    </w:p>
    <w:p w:rsidR="008E589A" w:rsidRPr="008E589A" w:rsidRDefault="008E589A" w:rsidP="008E589A">
      <w:pPr>
        <w:pStyle w:val="TextoNormalSangraFrancesa"/>
        <w:rPr>
          <w:rStyle w:val="TextoNormalCaracter"/>
        </w:rPr>
      </w:pPr>
      <w:bookmarkStart w:id="1029" w:name="DESCRIPTORALFABETICO364"/>
      <w:r w:rsidRPr="008E589A">
        <w:rPr>
          <w:rStyle w:val="TextoNormalNegritaCaracter"/>
        </w:rPr>
        <w:t>Recurso de apelación manifiestamente improcedente</w:t>
      </w:r>
      <w:bookmarkEnd w:id="1029"/>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 2.</w:t>
      </w:r>
    </w:p>
    <w:p w:rsidR="008E589A" w:rsidRPr="008E589A" w:rsidRDefault="008E589A" w:rsidP="008E589A">
      <w:pPr>
        <w:pStyle w:val="TextoNormalSangraFrancesa"/>
        <w:rPr>
          <w:rStyle w:val="TextoNormalCaracter"/>
        </w:rPr>
      </w:pPr>
      <w:bookmarkStart w:id="1030" w:name="DESCRIPTORALFABETICO365"/>
      <w:r w:rsidRPr="008E589A">
        <w:rPr>
          <w:rStyle w:val="TextoNormalNegritaCaracter"/>
        </w:rPr>
        <w:t>Recurso de audiencia al rebelde</w:t>
      </w:r>
      <w:bookmarkEnd w:id="1030"/>
      <w:r w:rsidRPr="008E589A">
        <w:rPr>
          <w:rStyle w:val="TextoNormalCaracter"/>
        </w:rPr>
        <w:t xml:space="preserve">, Sentencias </w:t>
      </w:r>
      <w:hyperlink w:anchor="SENTENCIA_1997_105" w:history="1">
        <w:r w:rsidRPr="008E589A">
          <w:rPr>
            <w:rStyle w:val="TextoNormalCaracter"/>
          </w:rPr>
          <w:t>105/1997</w:t>
        </w:r>
      </w:hyperlink>
      <w:r w:rsidRPr="008E589A">
        <w:rPr>
          <w:rStyle w:val="TextoNormalCaracter"/>
        </w:rPr>
        <w:t xml:space="preserve">, f. 4; </w:t>
      </w:r>
      <w:hyperlink w:anchor="SENTENCIA_1997_113" w:history="1">
        <w:r w:rsidRPr="008E589A">
          <w:rPr>
            <w:rStyle w:val="TextoNormalCaracter"/>
          </w:rPr>
          <w:t>113/1997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ursivaCaracter"/>
        </w:rPr>
        <w:t xml:space="preserve">    Requisitos, </w:t>
      </w:r>
      <w:r w:rsidRPr="008E589A">
        <w:rPr>
          <w:rStyle w:val="TextoNormalCaracter"/>
        </w:rPr>
        <w:t xml:space="preserve">Sentencia </w:t>
      </w:r>
      <w:hyperlink w:anchor="SENTENCIA_1997_106" w:history="1">
        <w:r w:rsidRPr="008E589A">
          <w:rPr>
            <w:rStyle w:val="TextoNormalCaracter"/>
          </w:rPr>
          <w:t>106/1997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31" w:name="DESCRIPTORALFABETICO395"/>
      <w:r w:rsidRPr="008E589A">
        <w:rPr>
          <w:rStyle w:val="TextoNormalNegritaCaracter"/>
        </w:rPr>
        <w:t>Recurso de casación contencioso-administrativo</w:t>
      </w:r>
      <w:bookmarkEnd w:id="1031"/>
      <w:r w:rsidRPr="008E589A">
        <w:rPr>
          <w:rStyle w:val="TextoNormalCaracter"/>
        </w:rPr>
        <w:t xml:space="preserve">, Sentencia </w:t>
      </w:r>
      <w:hyperlink w:anchor="SENTENCIA_1997_125" w:history="1">
        <w:r w:rsidRPr="008E589A">
          <w:rPr>
            <w:rStyle w:val="TextoNormalCaracter"/>
          </w:rPr>
          <w:t>125/1997</w:t>
        </w:r>
      </w:hyperlink>
      <w:r w:rsidRPr="008E589A">
        <w:rPr>
          <w:rStyle w:val="TextoNormalCaracter"/>
        </w:rPr>
        <w:t>, ff. 4, 5, VP I, VP II.</w:t>
      </w:r>
    </w:p>
    <w:p w:rsidR="008E589A" w:rsidRPr="008E589A" w:rsidRDefault="008E589A" w:rsidP="008E589A">
      <w:pPr>
        <w:pStyle w:val="TextoNormalSangraFrancesa"/>
        <w:rPr>
          <w:rStyle w:val="TextoNormalCaracter"/>
        </w:rPr>
      </w:pPr>
      <w:r w:rsidRPr="008E589A">
        <w:rPr>
          <w:rStyle w:val="TextoNormalCursivaCaracter"/>
        </w:rPr>
        <w:t xml:space="preserve">    Naturaleza, </w:t>
      </w:r>
      <w:r w:rsidRPr="008E589A">
        <w:rPr>
          <w:rStyle w:val="TextoNormalCaracter"/>
        </w:rPr>
        <w:t xml:space="preserve">Sentencia </w:t>
      </w:r>
      <w:hyperlink w:anchor="SENTENCIA_1997_125" w:history="1">
        <w:r w:rsidRPr="008E589A">
          <w:rPr>
            <w:rStyle w:val="TextoNormalCaracter"/>
          </w:rPr>
          <w:t>125/1997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32" w:name="DESCRIPTORALFABETICO368"/>
      <w:r w:rsidRPr="008E589A">
        <w:rPr>
          <w:rStyle w:val="TextoNormalNegritaCaracter"/>
        </w:rPr>
        <w:t>Recurso de casación para la unificación de doctrina</w:t>
      </w:r>
      <w:bookmarkEnd w:id="1032"/>
      <w:r w:rsidRPr="008E589A">
        <w:rPr>
          <w:rStyle w:val="TextoNormalCaracter"/>
        </w:rPr>
        <w:t xml:space="preserve">, Sentencias </w:t>
      </w:r>
      <w:hyperlink w:anchor="SENTENCIA_1997_93" w:history="1">
        <w:r w:rsidRPr="008E589A">
          <w:rPr>
            <w:rStyle w:val="TextoNormalCaracter"/>
          </w:rPr>
          <w:t>93/1997</w:t>
        </w:r>
      </w:hyperlink>
      <w:r w:rsidRPr="008E589A">
        <w:rPr>
          <w:rStyle w:val="TextoNormalCaracter"/>
        </w:rPr>
        <w:t xml:space="preserve">, f. 2; </w:t>
      </w:r>
      <w:hyperlink w:anchor="SENTENCIA_1997_132" w:history="1">
        <w:r w:rsidRPr="008E589A">
          <w:rPr>
            <w:rStyle w:val="TextoNormalCaracter"/>
          </w:rPr>
          <w:t>132/1997</w:t>
        </w:r>
      </w:hyperlink>
      <w:r w:rsidRPr="008E589A">
        <w:rPr>
          <w:rStyle w:val="TextoNormalCaracter"/>
        </w:rPr>
        <w:t>, ff. 7, 8.</w:t>
      </w:r>
    </w:p>
    <w:p w:rsidR="008E589A" w:rsidRPr="008E589A" w:rsidRDefault="008E589A" w:rsidP="008E589A">
      <w:pPr>
        <w:pStyle w:val="TextoNormalSangraFrancesa"/>
        <w:rPr>
          <w:rStyle w:val="TextoNormalCaracter"/>
        </w:rPr>
      </w:pPr>
      <w:r w:rsidRPr="008E589A">
        <w:rPr>
          <w:rStyle w:val="TextoNormalCursivaCaracter"/>
        </w:rPr>
        <w:t xml:space="preserve">    Función, </w:t>
      </w:r>
      <w:r w:rsidRPr="008E589A">
        <w:rPr>
          <w:rStyle w:val="TextoNormalCaracter"/>
        </w:rPr>
        <w:t xml:space="preserve">Sentencia </w:t>
      </w:r>
      <w:hyperlink w:anchor="SENTENCIA_1997_132" w:history="1">
        <w:r w:rsidRPr="008E589A">
          <w:rPr>
            <w:rStyle w:val="TextoNormalCaracter"/>
          </w:rPr>
          <w:t>132/1997</w:t>
        </w:r>
      </w:hyperlink>
      <w:r w:rsidRPr="008E589A">
        <w:rPr>
          <w:rStyle w:val="TextoNormalCaracter"/>
        </w:rPr>
        <w:t>, f. 6, VP.</w:t>
      </w:r>
    </w:p>
    <w:p w:rsidR="008E589A" w:rsidRPr="008E589A" w:rsidRDefault="008E589A" w:rsidP="008E589A">
      <w:pPr>
        <w:pStyle w:val="TextoNormalSangraFrancesa"/>
        <w:rPr>
          <w:rStyle w:val="TextoNormalCaracter"/>
        </w:rPr>
      </w:pPr>
      <w:bookmarkStart w:id="1033" w:name="DESCRIPTORALFABETICO373"/>
      <w:r w:rsidRPr="008E589A">
        <w:rPr>
          <w:rStyle w:val="TextoNormalNegritaCaracter"/>
        </w:rPr>
        <w:t>Recurso de queja</w:t>
      </w:r>
      <w:bookmarkEnd w:id="1033"/>
      <w:r w:rsidRPr="008E589A">
        <w:rPr>
          <w:rStyle w:val="TextoNormalCaracter"/>
        </w:rPr>
        <w:t xml:space="preserve">, Auto </w:t>
      </w:r>
      <w:hyperlink w:anchor="AUTO_1997_239" w:history="1">
        <w:r w:rsidRPr="008E589A">
          <w:rPr>
            <w:rStyle w:val="TextoNormalCaracter"/>
          </w:rPr>
          <w:t>239/1997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Recurso de revisión</w:t>
      </w:r>
      <w:r>
        <w:t xml:space="preserve"> véase </w:t>
      </w:r>
      <w:hyperlink w:anchor="DESCRIPTORALFABETICO375" w:history="1">
        <w:r w:rsidRPr="008E589A">
          <w:rPr>
            <w:rStyle w:val="TextoNormalNegritaCaracter"/>
          </w:rPr>
          <w:t>Recurso de revisión de sentencia firme</w:t>
        </w:r>
      </w:hyperlink>
    </w:p>
    <w:p w:rsidR="008E589A" w:rsidRPr="008E589A" w:rsidRDefault="008E589A" w:rsidP="008E589A">
      <w:pPr>
        <w:pStyle w:val="TextoNormalSangraFrancesa"/>
        <w:rPr>
          <w:rStyle w:val="TextoNormalCaracter"/>
        </w:rPr>
      </w:pPr>
      <w:bookmarkStart w:id="1034" w:name="DESCRIPTORALFABETICO375"/>
      <w:r w:rsidRPr="008E589A">
        <w:rPr>
          <w:rStyle w:val="TextoNormalNegritaCaracter"/>
        </w:rPr>
        <w:t>Recurso de revisión de sentencia firme</w:t>
      </w:r>
      <w:bookmarkEnd w:id="1034"/>
      <w:r w:rsidRPr="008E589A">
        <w:rPr>
          <w:rStyle w:val="TextoNormalCaracter"/>
        </w:rPr>
        <w:t xml:space="preserve">, Sentencia </w:t>
      </w:r>
      <w:hyperlink w:anchor="SENTENCIA_1997_99" w:history="1">
        <w:r w:rsidRPr="008E589A">
          <w:rPr>
            <w:rStyle w:val="TextoNormalCaracter"/>
          </w:rPr>
          <w:t>99/1997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74" w:history="1">
        <w:r w:rsidRPr="008E589A">
          <w:rPr>
            <w:rStyle w:val="TextoNormalCaracter"/>
          </w:rPr>
          <w:t>174/1997</w:t>
        </w:r>
      </w:hyperlink>
      <w:r w:rsidRPr="008E589A">
        <w:rPr>
          <w:rStyle w:val="TextoNormalCaracter"/>
        </w:rPr>
        <w:t>.</w:t>
      </w:r>
    </w:p>
    <w:p w:rsidR="008E589A" w:rsidRPr="008E589A" w:rsidRDefault="008E589A" w:rsidP="008E589A">
      <w:pPr>
        <w:pStyle w:val="TextoNormalSangraFrancesa"/>
        <w:rPr>
          <w:rStyle w:val="TextoNormalCaracter"/>
        </w:rPr>
      </w:pPr>
      <w:bookmarkStart w:id="1035" w:name="DESCRIPTORALFABETICO399"/>
      <w:r w:rsidRPr="008E589A">
        <w:rPr>
          <w:rStyle w:val="TextoNormalNegritaCaracter"/>
        </w:rPr>
        <w:t>Recurso de suplicación</w:t>
      </w:r>
      <w:bookmarkEnd w:id="1035"/>
      <w:r w:rsidRPr="008E589A">
        <w:rPr>
          <w:rStyle w:val="TextoNormalCaracter"/>
        </w:rPr>
        <w:t xml:space="preserve">, Sentencia </w:t>
      </w:r>
      <w:hyperlink w:anchor="SENTENCIA_1997_93" w:history="1">
        <w:r w:rsidRPr="008E589A">
          <w:rPr>
            <w:rStyle w:val="TextoNormalCaracter"/>
          </w:rPr>
          <w:t>93/1997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36" w:name="DESCRIPTORALFABETICO151"/>
      <w:r w:rsidRPr="008E589A">
        <w:rPr>
          <w:rStyle w:val="TextoNormalNegritaCaracter"/>
        </w:rPr>
        <w:t>Recurso útil</w:t>
      </w:r>
      <w:bookmarkEnd w:id="1036"/>
      <w:r w:rsidRPr="008E589A">
        <w:rPr>
          <w:rStyle w:val="TextoNormalCaracter"/>
        </w:rPr>
        <w:t xml:space="preserve">, Sentencia </w:t>
      </w:r>
      <w:hyperlink w:anchor="SENTENCIA_1997_135" w:history="1">
        <w:r w:rsidRPr="008E589A">
          <w:rPr>
            <w:rStyle w:val="TextoNormalCaracter"/>
          </w:rPr>
          <w:t>135/1997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39" w:history="1">
        <w:r w:rsidRPr="008E589A">
          <w:rPr>
            <w:rStyle w:val="TextoNormalCaracter"/>
          </w:rPr>
          <w:t>239/1997</w:t>
        </w:r>
      </w:hyperlink>
      <w:r w:rsidRPr="008E589A">
        <w:rPr>
          <w:rStyle w:val="TextoNormalCaracter"/>
        </w:rPr>
        <w:t>.</w:t>
      </w:r>
    </w:p>
    <w:p w:rsidR="008E589A" w:rsidRPr="008E589A" w:rsidRDefault="008E589A" w:rsidP="008E589A">
      <w:pPr>
        <w:pStyle w:val="TextoNormalSangraFrancesa"/>
        <w:rPr>
          <w:rStyle w:val="TextoNormalCaracter"/>
        </w:rPr>
      </w:pPr>
      <w:bookmarkStart w:id="1037" w:name="DESCRIPTORALFABETICO152"/>
      <w:r w:rsidRPr="008E589A">
        <w:rPr>
          <w:rStyle w:val="TextoNormalNegritaCaracter"/>
        </w:rPr>
        <w:t>Recursos utilizables</w:t>
      </w:r>
      <w:bookmarkEnd w:id="1037"/>
      <w:r w:rsidRPr="008E589A">
        <w:rPr>
          <w:rStyle w:val="TextoNormalCaracter"/>
        </w:rPr>
        <w:t xml:space="preserve">, Sentencia </w:t>
      </w:r>
      <w:hyperlink w:anchor="SENTENCIA_1997_115" w:history="1">
        <w:r w:rsidRPr="008E589A">
          <w:rPr>
            <w:rStyle w:val="TextoNormalCaracter"/>
          </w:rPr>
          <w:t>115/1997</w:t>
        </w:r>
      </w:hyperlink>
      <w:r w:rsidRPr="008E589A">
        <w:rPr>
          <w:rStyle w:val="TextoNormalCaracter"/>
        </w:rPr>
        <w:t>, f. 1.</w:t>
      </w:r>
    </w:p>
    <w:p w:rsidR="008E589A" w:rsidRPr="008E589A" w:rsidRDefault="008E589A" w:rsidP="008E589A">
      <w:pPr>
        <w:pStyle w:val="TextoNormalSangraFrancesa"/>
        <w:rPr>
          <w:rStyle w:val="TextoNormalCaracter"/>
        </w:rPr>
      </w:pPr>
      <w:bookmarkStart w:id="1038" w:name="DESCRIPTORALFABETICO62"/>
      <w:r w:rsidRPr="008E589A">
        <w:rPr>
          <w:rStyle w:val="TextoNormalNegritaCaracter"/>
          <w:i/>
        </w:rPr>
        <w:t>Reformatio in peius</w:t>
      </w:r>
      <w:bookmarkEnd w:id="1038"/>
      <w:r w:rsidRPr="008E589A">
        <w:rPr>
          <w:rStyle w:val="TextoNormalCaracter"/>
        </w:rPr>
        <w:t xml:space="preserve">, Auto </w:t>
      </w:r>
      <w:hyperlink w:anchor="AUTO_1997_191" w:history="1">
        <w:r w:rsidRPr="008E589A">
          <w:rPr>
            <w:rStyle w:val="TextoNormalCaracter"/>
          </w:rPr>
          <w:t>191/1997</w:t>
        </w:r>
      </w:hyperlink>
      <w:r w:rsidRPr="008E589A">
        <w:rPr>
          <w:rStyle w:val="TextoNormalCaracter"/>
        </w:rPr>
        <w:t>.</w:t>
      </w:r>
    </w:p>
    <w:p w:rsidR="008E589A" w:rsidRPr="008E589A" w:rsidRDefault="008E589A" w:rsidP="008E589A">
      <w:pPr>
        <w:pStyle w:val="TextoNormalSangraFrancesa"/>
        <w:rPr>
          <w:rStyle w:val="TextoNormalCaracter"/>
        </w:rPr>
      </w:pPr>
      <w:bookmarkStart w:id="1039" w:name="DESCRIPTORALFABETICO421"/>
      <w:r w:rsidRPr="008E589A">
        <w:rPr>
          <w:rStyle w:val="TextoNormalNegritaCaracter"/>
        </w:rPr>
        <w:t>Refundición de condenas</w:t>
      </w:r>
      <w:bookmarkEnd w:id="1039"/>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Naturaleza, </w:t>
      </w:r>
      <w:r w:rsidRPr="008E589A">
        <w:rPr>
          <w:rStyle w:val="TextoNormalCaracter"/>
        </w:rPr>
        <w:t xml:space="preserve">Auto </w:t>
      </w:r>
      <w:hyperlink w:anchor="AUTO_1997_274" w:history="1">
        <w:r w:rsidRPr="008E589A">
          <w:rPr>
            <w:rStyle w:val="TextoNormalCaracter"/>
          </w:rPr>
          <w:t>274/1997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Refundición de penas</w:t>
      </w:r>
      <w:r>
        <w:t xml:space="preserve"> véase </w:t>
      </w:r>
      <w:hyperlink w:anchor="DESCRIPTORALFABETICO421" w:history="1">
        <w:r w:rsidRPr="008E589A">
          <w:rPr>
            <w:rStyle w:val="TextoNormalNegritaCaracter"/>
          </w:rPr>
          <w:t>Refundición de condenas</w:t>
        </w:r>
      </w:hyperlink>
    </w:p>
    <w:p w:rsidR="008E589A" w:rsidRPr="008E589A" w:rsidRDefault="008E589A" w:rsidP="008E589A">
      <w:pPr>
        <w:pStyle w:val="TextoNormalSangraFrancesa"/>
        <w:rPr>
          <w:rStyle w:val="TextoNormalCaracter"/>
        </w:rPr>
      </w:pPr>
      <w:bookmarkStart w:id="1040" w:name="DESCRIPTORALFABETICO226"/>
      <w:r w:rsidRPr="008E589A">
        <w:rPr>
          <w:rStyle w:val="TextoNormalNegritaCaracter"/>
        </w:rPr>
        <w:t>Régimen estatutario de los funcionarios públicos</w:t>
      </w:r>
      <w:bookmarkEnd w:id="1040"/>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2.</w:t>
      </w:r>
    </w:p>
    <w:p w:rsidR="008E589A" w:rsidRPr="008E589A" w:rsidRDefault="008E589A" w:rsidP="008E589A">
      <w:pPr>
        <w:pStyle w:val="TextoNormalSangraFrancesa"/>
        <w:rPr>
          <w:rStyle w:val="TextoNormalCaracter"/>
        </w:rPr>
      </w:pPr>
      <w:bookmarkStart w:id="1041" w:name="DESCRIPTORALFABETICO271"/>
      <w:r w:rsidRPr="008E589A">
        <w:rPr>
          <w:rStyle w:val="TextoNormalNegritaCaracter"/>
        </w:rPr>
        <w:t>Régimen penitenciario</w:t>
      </w:r>
      <w:bookmarkEnd w:id="1041"/>
      <w:r w:rsidRPr="008E589A">
        <w:rPr>
          <w:rStyle w:val="TextoNormalCaracter"/>
        </w:rPr>
        <w:t xml:space="preserve">, Sentencia </w:t>
      </w:r>
      <w:hyperlink w:anchor="SENTENCIA_1997_128" w:history="1">
        <w:r w:rsidRPr="008E589A">
          <w:rPr>
            <w:rStyle w:val="TextoNormalCaracter"/>
          </w:rPr>
          <w:t>128/1997</w:t>
        </w:r>
      </w:hyperlink>
      <w:r w:rsidRPr="008E589A">
        <w:rPr>
          <w:rStyle w:val="TextoNormalCaracter"/>
        </w:rPr>
        <w:t>, ff. 1, 2, 3, 4, 5, 6, 7.</w:t>
      </w:r>
    </w:p>
    <w:p w:rsidR="008E589A" w:rsidRPr="008E589A" w:rsidRDefault="008E589A" w:rsidP="008E589A">
      <w:pPr>
        <w:pStyle w:val="TextoNormalSangraFrancesa"/>
        <w:rPr>
          <w:rStyle w:val="TextoNormalCaracter"/>
        </w:rPr>
      </w:pPr>
      <w:bookmarkStart w:id="1042" w:name="DESCRIPTORALFABETICO231"/>
      <w:r w:rsidRPr="008E589A">
        <w:rPr>
          <w:rStyle w:val="TextoNormalNegritaCaracter"/>
        </w:rPr>
        <w:t>Reglamento de casinos</w:t>
      </w:r>
      <w:bookmarkEnd w:id="1042"/>
      <w:r w:rsidRPr="008E589A">
        <w:rPr>
          <w:rStyle w:val="TextoNormalCaracter"/>
        </w:rPr>
        <w:t xml:space="preserve">, Sentencia </w:t>
      </w:r>
      <w:hyperlink w:anchor="SENTENCIA_1997_117" w:history="1">
        <w:r w:rsidRPr="008E589A">
          <w:rPr>
            <w:rStyle w:val="TextoNormalCaracter"/>
          </w:rPr>
          <w:t>117/1997</w:t>
        </w:r>
      </w:hyperlink>
      <w:r w:rsidRPr="008E589A">
        <w:rPr>
          <w:rStyle w:val="TextoNormalCaracter"/>
        </w:rPr>
        <w:t>, f. 3.</w:t>
      </w:r>
    </w:p>
    <w:p w:rsidR="008E589A" w:rsidRPr="008E589A" w:rsidRDefault="008E589A" w:rsidP="008E589A">
      <w:pPr>
        <w:pStyle w:val="TextoNormalSangraFrancesa"/>
        <w:rPr>
          <w:rStyle w:val="TextoNormalNegritaCaracter"/>
        </w:rPr>
      </w:pPr>
      <w:r w:rsidRPr="008E589A">
        <w:rPr>
          <w:rStyle w:val="TextoNormalCursivaCaracter"/>
        </w:rPr>
        <w:t>Reglas procesales</w:t>
      </w:r>
      <w:r>
        <w:t xml:space="preserve"> véase </w:t>
      </w:r>
      <w:hyperlink w:anchor="DESCRIPTORALFABETICO377" w:history="1">
        <w:r w:rsidRPr="008E589A">
          <w:rPr>
            <w:rStyle w:val="TextoNormalNegritaCaracter"/>
          </w:rPr>
          <w:t>Requisitos procesales</w:t>
        </w:r>
      </w:hyperlink>
    </w:p>
    <w:p w:rsidR="008E589A" w:rsidRPr="008E589A" w:rsidRDefault="008E589A" w:rsidP="008E589A">
      <w:pPr>
        <w:pStyle w:val="TextoNormalSangraFrancesa"/>
        <w:rPr>
          <w:rStyle w:val="TextoNormalCaracter"/>
        </w:rPr>
      </w:pPr>
      <w:bookmarkStart w:id="1043" w:name="DESCRIPTORALFABETICO165"/>
      <w:r w:rsidRPr="008E589A">
        <w:rPr>
          <w:rStyle w:val="TextoNormalNegritaCaracter"/>
        </w:rPr>
        <w:t>Rehabilitación de jueces y magistrados</w:t>
      </w:r>
      <w:bookmarkEnd w:id="1043"/>
      <w:r w:rsidRPr="008E589A">
        <w:rPr>
          <w:rStyle w:val="TextoNormalCaracter"/>
        </w:rPr>
        <w:t xml:space="preserve">, Auto </w:t>
      </w:r>
      <w:hyperlink w:anchor="AUTO_1997_207" w:history="1">
        <w:r w:rsidRPr="008E589A">
          <w:rPr>
            <w:rStyle w:val="TextoNormalCaracter"/>
          </w:rPr>
          <w:t>207/1997</w:t>
        </w:r>
      </w:hyperlink>
      <w:r w:rsidRPr="008E589A">
        <w:rPr>
          <w:rStyle w:val="TextoNormalCaracter"/>
        </w:rPr>
        <w:t>.</w:t>
      </w:r>
    </w:p>
    <w:p w:rsidR="008E589A" w:rsidRPr="008E589A" w:rsidRDefault="008E589A" w:rsidP="008E589A">
      <w:pPr>
        <w:pStyle w:val="TextoNormalSangraFrancesa"/>
        <w:rPr>
          <w:rStyle w:val="TextoNormalCaracter"/>
        </w:rPr>
      </w:pPr>
      <w:bookmarkStart w:id="1044" w:name="DESCRIPTORALFABETICO279"/>
      <w:r w:rsidRPr="008E589A">
        <w:rPr>
          <w:rStyle w:val="TextoNormalNegritaCaracter"/>
        </w:rPr>
        <w:t>Relaciones laborales</w:t>
      </w:r>
      <w:bookmarkEnd w:id="1044"/>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ff. 1, 2, 3, 4, 5, 6.</w:t>
      </w:r>
    </w:p>
    <w:p w:rsidR="008E589A" w:rsidRPr="008E589A" w:rsidRDefault="008E589A" w:rsidP="008E589A">
      <w:pPr>
        <w:pStyle w:val="TextoNormalSangraFrancesa"/>
        <w:rPr>
          <w:rStyle w:val="TextoNormalNegritaCaracter"/>
        </w:rPr>
      </w:pPr>
      <w:r w:rsidRPr="008E589A">
        <w:rPr>
          <w:rStyle w:val="TextoNormalCursivaCaracter"/>
        </w:rPr>
        <w:t>Remisión condicional de la pena</w:t>
      </w:r>
      <w:r>
        <w:t xml:space="preserve"> véase </w:t>
      </w:r>
      <w:hyperlink w:anchor="DESCRIPTORALFABETICO263" w:history="1">
        <w:r w:rsidRPr="008E589A">
          <w:rPr>
            <w:rStyle w:val="TextoNormalNegritaCaracter"/>
          </w:rPr>
          <w:t>Suspensión de la ejecución de la pena</w:t>
        </w:r>
      </w:hyperlink>
    </w:p>
    <w:p w:rsidR="008E589A" w:rsidRPr="008E589A" w:rsidRDefault="008E589A" w:rsidP="008E589A">
      <w:pPr>
        <w:pStyle w:val="TextoNormalSangraFrancesa"/>
        <w:rPr>
          <w:rStyle w:val="TextoNormalCaracter"/>
        </w:rPr>
      </w:pPr>
      <w:bookmarkStart w:id="1045" w:name="DESCRIPTORALFABETICO371"/>
      <w:r w:rsidRPr="008E589A">
        <w:rPr>
          <w:rStyle w:val="TextoNormalNegritaCaracter"/>
        </w:rPr>
        <w:t>Requisitos de admisión del recurso de casación para la unificación de doctrina</w:t>
      </w:r>
      <w:bookmarkEnd w:id="1045"/>
      <w:r w:rsidRPr="008E589A">
        <w:rPr>
          <w:rStyle w:val="TextoNormalCaracter"/>
        </w:rPr>
        <w:t xml:space="preserve">, Sentencia </w:t>
      </w:r>
      <w:hyperlink w:anchor="SENTENCIA_1997_132" w:history="1">
        <w:r w:rsidRPr="008E589A">
          <w:rPr>
            <w:rStyle w:val="TextoNormalCaracter"/>
          </w:rPr>
          <w:t>132/1997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34" w:history="1">
        <w:r w:rsidRPr="008E589A">
          <w:rPr>
            <w:rStyle w:val="TextoNormalCaracter"/>
          </w:rPr>
          <w:t>134/1997</w:t>
        </w:r>
      </w:hyperlink>
      <w:r w:rsidRPr="008E589A">
        <w:rPr>
          <w:rStyle w:val="TextoNormalCaracter"/>
        </w:rPr>
        <w:t>.</w:t>
      </w:r>
    </w:p>
    <w:p w:rsidR="008E589A" w:rsidRPr="008E589A" w:rsidRDefault="008E589A" w:rsidP="008E589A">
      <w:pPr>
        <w:pStyle w:val="TextoNormalSangraFrancesa"/>
        <w:rPr>
          <w:rStyle w:val="TextoNormalCaracter"/>
        </w:rPr>
      </w:pPr>
      <w:bookmarkStart w:id="1046" w:name="DESCRIPTORALFABETICO82"/>
      <w:r w:rsidRPr="008E589A">
        <w:rPr>
          <w:rStyle w:val="TextoNormalNegritaCaracter"/>
        </w:rPr>
        <w:t>Requisitos de la intervención telefónica</w:t>
      </w:r>
      <w:bookmarkEnd w:id="1046"/>
      <w:r w:rsidRPr="008E589A">
        <w:rPr>
          <w:rStyle w:val="TextoNormalCaracter"/>
        </w:rPr>
        <w:t xml:space="preserve">, Sentencia </w:t>
      </w:r>
      <w:hyperlink w:anchor="SENTENCIA_1997_123" w:history="1">
        <w:r w:rsidRPr="008E589A">
          <w:rPr>
            <w:rStyle w:val="TextoNormalCaracter"/>
          </w:rPr>
          <w:t>123/1997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47" w:name="DESCRIPTORALFABETICO241"/>
      <w:r w:rsidRPr="008E589A">
        <w:rPr>
          <w:rStyle w:val="TextoNormalNegritaCaracter"/>
        </w:rPr>
        <w:t>Requisitos formales de la normativa básica</w:t>
      </w:r>
      <w:bookmarkEnd w:id="1047"/>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48" w:name="DESCRIPTORALFABETICO242"/>
      <w:r w:rsidRPr="008E589A">
        <w:rPr>
          <w:rStyle w:val="TextoNormalNegritaCaracter"/>
        </w:rPr>
        <w:t>Requisitos materiales de la normativa básica</w:t>
      </w:r>
      <w:bookmarkEnd w:id="1048"/>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49" w:name="DESCRIPTORALFABETICO348"/>
      <w:r w:rsidRPr="008E589A">
        <w:rPr>
          <w:rStyle w:val="TextoNormalNegritaCaracter"/>
        </w:rPr>
        <w:t>Requisitos para la designación de abogado de oficio</w:t>
      </w:r>
      <w:bookmarkEnd w:id="1049"/>
      <w:r w:rsidRPr="008E589A">
        <w:rPr>
          <w:rStyle w:val="TextoNormalCaracter"/>
        </w:rPr>
        <w:t xml:space="preserve">, Sentencia </w:t>
      </w:r>
      <w:hyperlink w:anchor="SENTENCIA_1997_138" w:history="1">
        <w:r w:rsidRPr="008E589A">
          <w:rPr>
            <w:rStyle w:val="TextoNormalCaracter"/>
          </w:rPr>
          <w:t>138/1997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50" w:name="DESCRIPTORALFABETICO377"/>
      <w:r w:rsidRPr="008E589A">
        <w:rPr>
          <w:rStyle w:val="TextoNormalNegritaCaracter"/>
        </w:rPr>
        <w:t>Requisitos procesales</w:t>
      </w:r>
      <w:bookmarkEnd w:id="1050"/>
      <w:r w:rsidRPr="008E589A">
        <w:rPr>
          <w:rStyle w:val="TextoNormalCaracter"/>
        </w:rPr>
        <w:t xml:space="preserve">, Sentencias </w:t>
      </w:r>
      <w:hyperlink w:anchor="SENTENCIA_1997_93" w:history="1">
        <w:r w:rsidRPr="008E589A">
          <w:rPr>
            <w:rStyle w:val="TextoNormalCaracter"/>
          </w:rPr>
          <w:t>93/1997</w:t>
        </w:r>
      </w:hyperlink>
      <w:r w:rsidRPr="008E589A">
        <w:rPr>
          <w:rStyle w:val="TextoNormalCaracter"/>
        </w:rPr>
        <w:t xml:space="preserve">, ff. 3, 4; </w:t>
      </w:r>
      <w:hyperlink w:anchor="SENTENCIA_1997_112" w:history="1">
        <w:r w:rsidRPr="008E589A">
          <w:rPr>
            <w:rStyle w:val="TextoNormalCaracter"/>
          </w:rPr>
          <w:t>112/1997</w:t>
        </w:r>
      </w:hyperlink>
      <w:r w:rsidRPr="008E589A">
        <w:rPr>
          <w:rStyle w:val="TextoNormalCaracter"/>
        </w:rPr>
        <w:t xml:space="preserve">, f. 3; </w:t>
      </w:r>
      <w:hyperlink w:anchor="SENTENCIA_1997_122" w:history="1">
        <w:r w:rsidRPr="008E589A">
          <w:rPr>
            <w:rStyle w:val="TextoNormalCaracter"/>
          </w:rPr>
          <w:t>122/1997</w:t>
        </w:r>
      </w:hyperlink>
      <w:r w:rsidRPr="008E589A">
        <w:rPr>
          <w:rStyle w:val="TextoNormalCaracter"/>
        </w:rPr>
        <w:t>, f. 4.</w:t>
      </w:r>
    </w:p>
    <w:p w:rsidR="008E589A" w:rsidRPr="008E589A" w:rsidRDefault="008E589A" w:rsidP="008E589A">
      <w:pPr>
        <w:pStyle w:val="TextoNormalSangraFrancesa"/>
        <w:rPr>
          <w:rStyle w:val="TextoNormalCaracter"/>
        </w:rPr>
      </w:pPr>
      <w:r w:rsidRPr="008E589A">
        <w:rPr>
          <w:rStyle w:val="TextoNormalCursivaCaracter"/>
        </w:rPr>
        <w:t xml:space="preserve">    Doctrina constitucional, </w:t>
      </w:r>
      <w:r w:rsidRPr="008E589A">
        <w:rPr>
          <w:rStyle w:val="TextoNormalCaracter"/>
        </w:rPr>
        <w:t xml:space="preserve">Sentencia </w:t>
      </w:r>
      <w:hyperlink w:anchor="SENTENCIA_1997_101" w:history="1">
        <w:r w:rsidRPr="008E589A">
          <w:rPr>
            <w:rStyle w:val="TextoNormalCaracter"/>
          </w:rPr>
          <w:t>101/1997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1051" w:name="DESCRIPTORALFABETICO124"/>
      <w:r w:rsidRPr="008E589A">
        <w:rPr>
          <w:rStyle w:val="TextoNormalNegritaCaracter"/>
        </w:rPr>
        <w:t>Requisitos procesales de la cuestión de inconstitucionalidad</w:t>
      </w:r>
      <w:bookmarkEnd w:id="1051"/>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 3, VP II.</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40" w:history="1">
        <w:r w:rsidRPr="008E589A">
          <w:rPr>
            <w:rStyle w:val="TextoNormalCaracter"/>
          </w:rPr>
          <w:t>140/1997</w:t>
        </w:r>
      </w:hyperlink>
      <w:r w:rsidRPr="008E589A">
        <w:rPr>
          <w:rStyle w:val="TextoNormalCaracter"/>
        </w:rPr>
        <w:t>.</w:t>
      </w:r>
    </w:p>
    <w:p w:rsidR="008E589A" w:rsidRPr="008E589A" w:rsidRDefault="008E589A" w:rsidP="008E589A">
      <w:pPr>
        <w:pStyle w:val="TextoNormalSangraFrancesa"/>
        <w:rPr>
          <w:rStyle w:val="TextoNormalCaracter"/>
        </w:rPr>
      </w:pPr>
      <w:bookmarkStart w:id="1052" w:name="DESCRIPTORALFABETICO63"/>
      <w:r w:rsidRPr="008E589A">
        <w:rPr>
          <w:rStyle w:val="TextoNormalNegritaCaracter"/>
        </w:rPr>
        <w:t>Resolución fundada en Derecho</w:t>
      </w:r>
      <w:bookmarkEnd w:id="1052"/>
      <w:r w:rsidRPr="008E589A">
        <w:rPr>
          <w:rStyle w:val="TextoNormalCaracter"/>
        </w:rPr>
        <w:t xml:space="preserve">, </w:t>
      </w:r>
    </w:p>
    <w:p w:rsidR="008E589A" w:rsidRPr="008E589A" w:rsidRDefault="008E589A" w:rsidP="008E589A">
      <w:pPr>
        <w:pStyle w:val="TextoNormalSangraFrancesa"/>
        <w:rPr>
          <w:rStyle w:val="TextoNormalCaracter"/>
        </w:rPr>
      </w:pPr>
      <w:r w:rsidRPr="008E589A">
        <w:rPr>
          <w:rStyle w:val="TextoNormalCursivaCaracter"/>
        </w:rPr>
        <w:t xml:space="preserve">    Vulnerado, </w:t>
      </w:r>
      <w:r w:rsidRPr="008E589A">
        <w:rPr>
          <w:rStyle w:val="TextoNormalCaracter"/>
        </w:rPr>
        <w:t xml:space="preserve">Sentencia </w:t>
      </w:r>
      <w:hyperlink w:anchor="SENTENCIA_1997_114" w:history="1">
        <w:r w:rsidRPr="008E589A">
          <w:rPr>
            <w:rStyle w:val="TextoNormalCaracter"/>
          </w:rPr>
          <w:t>114/1997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53" w:name="DESCRIPTORALFABETICO380"/>
      <w:r w:rsidRPr="008E589A">
        <w:rPr>
          <w:rStyle w:val="TextoNormalNegritaCaracter"/>
        </w:rPr>
        <w:lastRenderedPageBreak/>
        <w:t>Resoluciones interlocutorias</w:t>
      </w:r>
      <w:bookmarkEnd w:id="1053"/>
      <w:r w:rsidRPr="008E589A">
        <w:rPr>
          <w:rStyle w:val="TextoNormalCaracter"/>
        </w:rPr>
        <w:t xml:space="preserve">, Auto </w:t>
      </w:r>
      <w:hyperlink w:anchor="AUTO_1997_136" w:history="1">
        <w:r w:rsidRPr="008E589A">
          <w:rPr>
            <w:rStyle w:val="TextoNormalCaracter"/>
          </w:rPr>
          <w:t>136/1997</w:t>
        </w:r>
      </w:hyperlink>
      <w:r w:rsidRPr="008E589A">
        <w:rPr>
          <w:rStyle w:val="TextoNormalCaracter"/>
        </w:rPr>
        <w:t>.</w:t>
      </w:r>
    </w:p>
    <w:p w:rsidR="008E589A" w:rsidRPr="008E589A" w:rsidRDefault="008E589A" w:rsidP="008E589A">
      <w:pPr>
        <w:pStyle w:val="TextoNormalSangraFrancesa"/>
        <w:rPr>
          <w:rStyle w:val="TextoNormalCaracter"/>
        </w:rPr>
      </w:pPr>
      <w:bookmarkStart w:id="1054" w:name="DESCRIPTORALFABETICO273"/>
      <w:r w:rsidRPr="008E589A">
        <w:rPr>
          <w:rStyle w:val="TextoNormalNegritaCaracter"/>
        </w:rPr>
        <w:t>Responsabilidad civil derivada de delito</w:t>
      </w:r>
      <w:bookmarkEnd w:id="1054"/>
      <w:r w:rsidRPr="008E589A">
        <w:rPr>
          <w:rStyle w:val="TextoNormalCaracter"/>
        </w:rPr>
        <w:t xml:space="preserve">, Auto </w:t>
      </w:r>
      <w:hyperlink w:anchor="AUTO_1997_154" w:history="1">
        <w:r w:rsidRPr="008E589A">
          <w:rPr>
            <w:rStyle w:val="TextoNormalCaracter"/>
          </w:rPr>
          <w:t>154/1997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Responsabilidad civil por delito</w:t>
      </w:r>
      <w:r>
        <w:t xml:space="preserve"> véase </w:t>
      </w:r>
      <w:hyperlink w:anchor="DESCRIPTORALFABETICO273" w:history="1">
        <w:r w:rsidRPr="008E589A">
          <w:rPr>
            <w:rStyle w:val="TextoNormalNegritaCaracter"/>
          </w:rPr>
          <w:t>Responsabilidad civil derivada de delito</w:t>
        </w:r>
      </w:hyperlink>
    </w:p>
    <w:p w:rsidR="008E589A" w:rsidRPr="008E589A" w:rsidRDefault="008E589A" w:rsidP="008E589A">
      <w:pPr>
        <w:pStyle w:val="TextoNormalSangraFrancesa"/>
        <w:rPr>
          <w:rStyle w:val="TextoNormalCaracter"/>
        </w:rPr>
      </w:pPr>
      <w:bookmarkStart w:id="1055" w:name="DESCRIPTORALFABETICO223"/>
      <w:r w:rsidRPr="008E589A">
        <w:rPr>
          <w:rStyle w:val="TextoNormalNegritaCaracter"/>
        </w:rPr>
        <w:t>Retribuciones de empleados públicos</w:t>
      </w:r>
      <w:bookmarkEnd w:id="1055"/>
      <w:r w:rsidRPr="008E589A">
        <w:rPr>
          <w:rStyle w:val="TextoNormalCaracter"/>
        </w:rPr>
        <w:t xml:space="preserve">, Sentencias </w:t>
      </w:r>
      <w:hyperlink w:anchor="SENTENCIA_1997_96" w:history="1">
        <w:r w:rsidRPr="008E589A">
          <w:rPr>
            <w:rStyle w:val="TextoNormalCaracter"/>
          </w:rPr>
          <w:t>96/1997</w:t>
        </w:r>
      </w:hyperlink>
      <w:r w:rsidRPr="008E589A">
        <w:rPr>
          <w:rStyle w:val="TextoNormalCaracter"/>
        </w:rPr>
        <w:t xml:space="preserve">, f. 3; </w:t>
      </w:r>
      <w:hyperlink w:anchor="SENTENCIA_1997_103" w:history="1">
        <w:r w:rsidRPr="008E589A">
          <w:rPr>
            <w:rStyle w:val="TextoNormalCaracter"/>
          </w:rPr>
          <w:t>103/1997</w:t>
        </w:r>
      </w:hyperlink>
      <w:r w:rsidRPr="008E589A">
        <w:rPr>
          <w:rStyle w:val="TextoNormalCaracter"/>
        </w:rPr>
        <w:t>, f. 2.</w:t>
      </w:r>
    </w:p>
    <w:p w:rsidR="008E589A" w:rsidRPr="008E589A" w:rsidRDefault="008E589A" w:rsidP="008E589A">
      <w:pPr>
        <w:pStyle w:val="TextoNormalSangraFrancesa"/>
        <w:rPr>
          <w:rStyle w:val="TextoNormalNegritaCaracter"/>
        </w:rPr>
      </w:pPr>
      <w:r w:rsidRPr="008E589A">
        <w:rPr>
          <w:rStyle w:val="TextoNormalCursivaCaracter"/>
        </w:rPr>
        <w:t>Retribuciones de personal</w:t>
      </w:r>
      <w:r>
        <w:t xml:space="preserve"> véase </w:t>
      </w:r>
      <w:hyperlink w:anchor="DESCRIPTORALFABETICO223" w:history="1">
        <w:r w:rsidRPr="008E589A">
          <w:rPr>
            <w:rStyle w:val="TextoNormalNegritaCaracter"/>
          </w:rPr>
          <w:t>Retribuciones de empleados públicos</w:t>
        </w:r>
      </w:hyperlink>
    </w:p>
    <w:p w:rsidR="008E589A" w:rsidRPr="008E589A" w:rsidRDefault="008E589A" w:rsidP="008E589A">
      <w:pPr>
        <w:pStyle w:val="TextoNormalSangraFrancesa"/>
        <w:rPr>
          <w:rStyle w:val="TextoNormalNegritaCaracter"/>
        </w:rPr>
      </w:pPr>
      <w:r w:rsidRPr="008E589A">
        <w:rPr>
          <w:rStyle w:val="TextoNormalCursivaCaracter"/>
        </w:rPr>
        <w:t>Retribuciones en el sector público</w:t>
      </w:r>
      <w:r>
        <w:t xml:space="preserve"> véase </w:t>
      </w:r>
      <w:hyperlink w:anchor="DESCRIPTORALFABETICO223" w:history="1">
        <w:r w:rsidRPr="008E589A">
          <w:rPr>
            <w:rStyle w:val="TextoNormalNegritaCaracter"/>
          </w:rPr>
          <w:t>Retribuciones de empleados públicos</w:t>
        </w:r>
      </w:hyperlink>
    </w:p>
    <w:p w:rsidR="008E589A" w:rsidRPr="008E589A" w:rsidRDefault="008E589A" w:rsidP="008E589A">
      <w:pPr>
        <w:pStyle w:val="TextoNormalSangraFrancesa"/>
        <w:rPr>
          <w:rStyle w:val="TextoNormalCaracter"/>
        </w:rPr>
      </w:pPr>
      <w:bookmarkStart w:id="1056" w:name="DESCRIPTORALFABETICO225"/>
      <w:r w:rsidRPr="008E589A">
        <w:rPr>
          <w:rStyle w:val="TextoNormalNegritaCaracter"/>
        </w:rPr>
        <w:t>Retribuciones reguladas por leyes de presupuestos</w:t>
      </w:r>
      <w:bookmarkEnd w:id="1056"/>
      <w:r w:rsidRPr="008E589A">
        <w:rPr>
          <w:rStyle w:val="TextoNormalCaracter"/>
        </w:rPr>
        <w:t xml:space="preserve">, Sentencia </w:t>
      </w:r>
      <w:hyperlink w:anchor="SENTENCIA_1997_103" w:history="1">
        <w:r w:rsidRPr="008E589A">
          <w:rPr>
            <w:rStyle w:val="TextoNormalCaracter"/>
          </w:rPr>
          <w:t>103/1997</w:t>
        </w:r>
      </w:hyperlink>
      <w:r w:rsidRPr="008E589A">
        <w:rPr>
          <w:rStyle w:val="TextoNormalCaracter"/>
        </w:rPr>
        <w:t>, f. 1.</w:t>
      </w:r>
    </w:p>
    <w:p w:rsidR="008E589A" w:rsidRPr="008E589A" w:rsidRDefault="008E589A" w:rsidP="008E589A">
      <w:pPr>
        <w:pStyle w:val="TextoNormalSangraFrancesa"/>
        <w:rPr>
          <w:rStyle w:val="TextoNormalNegritaCaracter"/>
        </w:rPr>
      </w:pPr>
      <w:r w:rsidRPr="008E589A">
        <w:rPr>
          <w:rStyle w:val="TextoNormalCursivaCaracter"/>
        </w:rPr>
        <w:t>Retroacción &lt;em&gt;in bonum&lt;/em&gt;</w:t>
      </w:r>
      <w:r>
        <w:t xml:space="preserve"> véase </w:t>
      </w:r>
      <w:hyperlink w:anchor="DESCRIPTORALFABETICO207" w:history="1">
        <w:r w:rsidRPr="008E589A">
          <w:rPr>
            <w:rStyle w:val="TextoNormalNegritaCaracter"/>
          </w:rPr>
          <w:t>Irretroactividad de las normas sancionadoras desfavorables</w:t>
        </w:r>
      </w:hyperlink>
    </w:p>
    <w:p w:rsidR="008E589A" w:rsidRPr="008E589A" w:rsidRDefault="008E589A" w:rsidP="008E589A">
      <w:pPr>
        <w:pStyle w:val="TextoNormalSangraFrancesa"/>
        <w:rPr>
          <w:rStyle w:val="TextoNormalCaracter"/>
        </w:rPr>
      </w:pPr>
      <w:bookmarkStart w:id="1057" w:name="DESCRIPTORALFABETICO251"/>
      <w:r w:rsidRPr="008E589A">
        <w:rPr>
          <w:rStyle w:val="TextoNormalNegritaCaracter"/>
        </w:rPr>
        <w:t>Retroactividad de las normas jurídicas</w:t>
      </w:r>
      <w:bookmarkEnd w:id="1057"/>
      <w:r w:rsidRPr="008E589A">
        <w:rPr>
          <w:rStyle w:val="TextoNormalCaracter"/>
        </w:rPr>
        <w:t xml:space="preserve">, Auto </w:t>
      </w:r>
      <w:hyperlink w:anchor="AUTO_1997_221" w:history="1">
        <w:r w:rsidRPr="008E589A">
          <w:rPr>
            <w:rStyle w:val="TextoNormalCaracter"/>
          </w:rPr>
          <w:t>221/1997</w:t>
        </w:r>
      </w:hyperlink>
      <w:r w:rsidRPr="008E589A">
        <w:rPr>
          <w:rStyle w:val="TextoNormalCaracter"/>
        </w:rPr>
        <w:t>.</w:t>
      </w:r>
    </w:p>
    <w:p w:rsidR="008E589A" w:rsidRPr="008E589A" w:rsidRDefault="008E589A" w:rsidP="008E589A">
      <w:pPr>
        <w:pStyle w:val="TextoNormalSangraFrancesa"/>
        <w:rPr>
          <w:rStyle w:val="TextoNormalCaracter"/>
        </w:rPr>
      </w:pPr>
      <w:bookmarkStart w:id="1058" w:name="DESCRIPTORALFABETICO252"/>
      <w:r w:rsidRPr="008E589A">
        <w:rPr>
          <w:rStyle w:val="TextoNormalNegritaCaracter"/>
        </w:rPr>
        <w:t>Retroactividad de normas tributarias</w:t>
      </w:r>
      <w:bookmarkEnd w:id="1058"/>
      <w:r w:rsidRPr="008E589A">
        <w:rPr>
          <w:rStyle w:val="TextoNormalCaracter"/>
        </w:rPr>
        <w:t xml:space="preserve">, Sentencias </w:t>
      </w:r>
      <w:hyperlink w:anchor="SENTENCIA_1997_91" w:history="1">
        <w:r w:rsidRPr="008E589A">
          <w:rPr>
            <w:rStyle w:val="TextoNormalCaracter"/>
          </w:rPr>
          <w:t>91/1997</w:t>
        </w:r>
      </w:hyperlink>
      <w:r w:rsidRPr="008E589A">
        <w:rPr>
          <w:rStyle w:val="TextoNormalCaracter"/>
        </w:rPr>
        <w:t xml:space="preserve">, f. único; </w:t>
      </w:r>
      <w:hyperlink w:anchor="SENTENCIA_1997_117" w:history="1">
        <w:r w:rsidRPr="008E589A">
          <w:rPr>
            <w:rStyle w:val="TextoNormalCaracter"/>
          </w:rPr>
          <w:t>117/1997</w:t>
        </w:r>
      </w:hyperlink>
      <w:r w:rsidRPr="008E589A">
        <w:rPr>
          <w:rStyle w:val="TextoNormalCaracter"/>
        </w:rPr>
        <w:t xml:space="preserve">, f. 3; </w:t>
      </w:r>
      <w:hyperlink w:anchor="SENTENCIA_1997_129" w:history="1">
        <w:r w:rsidRPr="008E589A">
          <w:rPr>
            <w:rStyle w:val="TextoNormalCaracter"/>
          </w:rPr>
          <w:t>129/1997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59" w:name="DESCRIPTORALFABETICO422"/>
      <w:r w:rsidRPr="008E589A">
        <w:rPr>
          <w:rStyle w:val="TextoNormalNegritaCaracter"/>
        </w:rPr>
        <w:t>Revisión de condena ante un tribunal superior</w:t>
      </w:r>
      <w:bookmarkEnd w:id="1059"/>
      <w:r w:rsidRPr="008E589A">
        <w:rPr>
          <w:rStyle w:val="TextoNormalCaracter"/>
        </w:rPr>
        <w:t xml:space="preserve">, Sentencia </w:t>
      </w:r>
      <w:hyperlink w:anchor="SENTENCIA_1997_88" w:history="1">
        <w:r w:rsidRPr="008E589A">
          <w:rPr>
            <w:rStyle w:val="TextoNormalCaracter"/>
          </w:rPr>
          <w:t>88/1997</w:t>
        </w:r>
      </w:hyperlink>
      <w:r w:rsidRPr="008E589A">
        <w:rPr>
          <w:rStyle w:val="TextoNormalCaracter"/>
        </w:rPr>
        <w:t>, f. 2.</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S</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1060" w:name="DESCRIPTORALFABETICO382"/>
      <w:r w:rsidRPr="008E589A">
        <w:rPr>
          <w:rStyle w:val="TextoNormalNegritaCaracter"/>
        </w:rPr>
        <w:t>Sanciones procesales</w:t>
      </w:r>
      <w:bookmarkEnd w:id="1060"/>
      <w:r w:rsidRPr="008E589A">
        <w:rPr>
          <w:rStyle w:val="TextoNormalCaracter"/>
        </w:rPr>
        <w:t xml:space="preserve">, Auto </w:t>
      </w:r>
      <w:hyperlink w:anchor="AUTO_1997_207" w:history="1">
        <w:r w:rsidRPr="008E589A">
          <w:rPr>
            <w:rStyle w:val="TextoNormalCaracter"/>
          </w:rPr>
          <w:t>207/1997</w:t>
        </w:r>
      </w:hyperlink>
      <w:r w:rsidRPr="008E589A">
        <w:rPr>
          <w:rStyle w:val="TextoNormalCaracter"/>
        </w:rPr>
        <w:t>.</w:t>
      </w:r>
    </w:p>
    <w:p w:rsidR="008E589A" w:rsidRPr="008E589A" w:rsidRDefault="008E589A" w:rsidP="008E589A">
      <w:pPr>
        <w:pStyle w:val="TextoNormalSangraFrancesa"/>
        <w:rPr>
          <w:rStyle w:val="TextoNormalCaracter"/>
        </w:rPr>
      </w:pPr>
      <w:bookmarkStart w:id="1061" w:name="DESCRIPTORALFABETICO208"/>
      <w:r w:rsidRPr="008E589A">
        <w:rPr>
          <w:rStyle w:val="TextoNormalNegritaCaracter"/>
        </w:rPr>
        <w:t>Sanciones tributarias</w:t>
      </w:r>
      <w:bookmarkEnd w:id="1061"/>
      <w:r w:rsidRPr="008E589A">
        <w:rPr>
          <w:rStyle w:val="TextoNormalCaracter"/>
        </w:rPr>
        <w:t xml:space="preserve">, Sentencias </w:t>
      </w:r>
      <w:hyperlink w:anchor="SENTENCIA_1997_117" w:history="1">
        <w:r w:rsidRPr="008E589A">
          <w:rPr>
            <w:rStyle w:val="TextoNormalCaracter"/>
          </w:rPr>
          <w:t>117/1997</w:t>
        </w:r>
      </w:hyperlink>
      <w:r w:rsidRPr="008E589A">
        <w:rPr>
          <w:rStyle w:val="TextoNormalCaracter"/>
        </w:rPr>
        <w:t xml:space="preserve">, f. 3; </w:t>
      </w:r>
      <w:hyperlink w:anchor="SENTENCIA_1997_129" w:history="1">
        <w:r w:rsidRPr="008E589A">
          <w:rPr>
            <w:rStyle w:val="TextoNormalCaracter"/>
          </w:rPr>
          <w:t>129/1997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62" w:name="DESCRIPTORALFABETICO383"/>
      <w:r w:rsidRPr="008E589A">
        <w:rPr>
          <w:rStyle w:val="TextoNormalNegritaCaracter"/>
        </w:rPr>
        <w:t>Satisfacción extraprocesal de la pretensión</w:t>
      </w:r>
      <w:bookmarkEnd w:id="1062"/>
      <w:r w:rsidRPr="008E589A">
        <w:rPr>
          <w:rStyle w:val="TextoNormalCaracter"/>
        </w:rPr>
        <w:t xml:space="preserve">, Auto </w:t>
      </w:r>
      <w:hyperlink w:anchor="AUTO_1997_254" w:history="1">
        <w:r w:rsidRPr="008E589A">
          <w:rPr>
            <w:rStyle w:val="TextoNormalCaracter"/>
          </w:rPr>
          <w:t>254/1997</w:t>
        </w:r>
      </w:hyperlink>
      <w:r w:rsidRPr="008E589A">
        <w:rPr>
          <w:rStyle w:val="TextoNormalCaracter"/>
        </w:rPr>
        <w:t>.</w:t>
      </w:r>
    </w:p>
    <w:p w:rsidR="008E589A" w:rsidRPr="008E589A" w:rsidRDefault="008E589A" w:rsidP="008E589A">
      <w:pPr>
        <w:pStyle w:val="TextoNormalSangraFrancesa"/>
        <w:rPr>
          <w:rStyle w:val="TextoNormalCaracter"/>
        </w:rPr>
      </w:pPr>
      <w:bookmarkStart w:id="1063" w:name="DESCRIPTORALFABETICO402"/>
      <w:r w:rsidRPr="008E589A">
        <w:rPr>
          <w:rStyle w:val="TextoNormalNegritaCaracter"/>
        </w:rPr>
        <w:t>Sentencia laboral</w:t>
      </w:r>
      <w:bookmarkEnd w:id="1063"/>
      <w:r w:rsidRPr="008E589A">
        <w:rPr>
          <w:rStyle w:val="TextoNormalCaracter"/>
        </w:rPr>
        <w:t xml:space="preserve">, Sentencia </w:t>
      </w:r>
      <w:hyperlink w:anchor="SENTENCIA_1997_105" w:history="1">
        <w:r w:rsidRPr="008E589A">
          <w:rPr>
            <w:rStyle w:val="TextoNormalCaracter"/>
          </w:rPr>
          <w:t>105/1997</w:t>
        </w:r>
      </w:hyperlink>
      <w:r w:rsidRPr="008E589A">
        <w:rPr>
          <w:rStyle w:val="TextoNormalCaracter"/>
        </w:rPr>
        <w:t>, f. 2.</w:t>
      </w:r>
    </w:p>
    <w:p w:rsidR="008E589A" w:rsidRPr="008E589A" w:rsidRDefault="008E589A" w:rsidP="008E589A">
      <w:pPr>
        <w:pStyle w:val="TextoNormalSangraFrancesa"/>
        <w:rPr>
          <w:rStyle w:val="TextoNormalCaracter"/>
        </w:rPr>
      </w:pPr>
      <w:bookmarkStart w:id="1064" w:name="DESCRIPTORALFABETICO216"/>
      <w:r w:rsidRPr="008E589A">
        <w:rPr>
          <w:rStyle w:val="TextoNormalNegritaCaracter"/>
        </w:rPr>
        <w:t>Significado de título académico</w:t>
      </w:r>
      <w:bookmarkEnd w:id="1064"/>
      <w:r w:rsidRPr="008E589A">
        <w:rPr>
          <w:rStyle w:val="TextoNormalCaracter"/>
        </w:rPr>
        <w:t xml:space="preserve">, Sentencia </w:t>
      </w:r>
      <w:hyperlink w:anchor="SENTENCIA_1997_130" w:history="1">
        <w:r w:rsidRPr="008E589A">
          <w:rPr>
            <w:rStyle w:val="TextoNormalCaracter"/>
          </w:rPr>
          <w:t>130/1997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65" w:name="DESCRIPTORALFABETICO215"/>
      <w:r w:rsidRPr="008E589A">
        <w:rPr>
          <w:rStyle w:val="TextoNormalNegritaCaracter"/>
        </w:rPr>
        <w:t>Significado de título oficial</w:t>
      </w:r>
      <w:bookmarkEnd w:id="1065"/>
      <w:r w:rsidRPr="008E589A">
        <w:rPr>
          <w:rStyle w:val="TextoNormalCaracter"/>
        </w:rPr>
        <w:t xml:space="preserve">, Auto </w:t>
      </w:r>
      <w:hyperlink w:anchor="AUTO_1997_275" w:history="1">
        <w:r w:rsidRPr="008E589A">
          <w:rPr>
            <w:rStyle w:val="TextoNormalCaracter"/>
          </w:rPr>
          <w:t>275/1997</w:t>
        </w:r>
      </w:hyperlink>
      <w:r w:rsidRPr="008E589A">
        <w:rPr>
          <w:rStyle w:val="TextoNormalCaracter"/>
        </w:rPr>
        <w:t>.</w:t>
      </w:r>
    </w:p>
    <w:p w:rsidR="008E589A" w:rsidRPr="008E589A" w:rsidRDefault="008E589A" w:rsidP="008E589A">
      <w:pPr>
        <w:pStyle w:val="TextoNormalSangraFrancesa"/>
        <w:rPr>
          <w:rStyle w:val="TextoNormalCaracter"/>
        </w:rPr>
      </w:pPr>
      <w:bookmarkStart w:id="1066" w:name="DESCRIPTORALFABETICO214"/>
      <w:r w:rsidRPr="008E589A">
        <w:rPr>
          <w:rStyle w:val="TextoNormalNegritaCaracter"/>
        </w:rPr>
        <w:t>Sistema educativo</w:t>
      </w:r>
      <w:bookmarkEnd w:id="1066"/>
      <w:r w:rsidRPr="008E589A">
        <w:rPr>
          <w:rStyle w:val="TextoNormalCaracter"/>
        </w:rPr>
        <w:t xml:space="preserve">, Sentencia </w:t>
      </w:r>
      <w:hyperlink w:anchor="SENTENCIA_1997_134" w:history="1">
        <w:r w:rsidRPr="008E589A">
          <w:rPr>
            <w:rStyle w:val="TextoNormalCaracter"/>
          </w:rPr>
          <w:t>134/1997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67" w:name="DESCRIPTORALFABETICO15"/>
      <w:r w:rsidRPr="008E589A">
        <w:rPr>
          <w:rStyle w:val="TextoNormalNegritaCaracter"/>
        </w:rPr>
        <w:t>Sistema nacional de compensación electrónica</w:t>
      </w:r>
      <w:bookmarkEnd w:id="1067"/>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9.</w:t>
      </w:r>
    </w:p>
    <w:p w:rsidR="008E589A" w:rsidRPr="008E589A" w:rsidRDefault="008E589A" w:rsidP="008E589A">
      <w:pPr>
        <w:pStyle w:val="TextoNormalSangraFrancesa"/>
        <w:rPr>
          <w:rStyle w:val="TextoNormalNegritaCaracter"/>
        </w:rPr>
      </w:pPr>
      <w:r w:rsidRPr="008E589A">
        <w:rPr>
          <w:rStyle w:val="TextoNormalCursivaCaracter"/>
        </w:rPr>
        <w:t>Sistema retributivo</w:t>
      </w:r>
      <w:r>
        <w:t xml:space="preserve"> véase </w:t>
      </w:r>
      <w:hyperlink w:anchor="DESCRIPTORALFABETICO223" w:history="1">
        <w:r w:rsidRPr="008E589A">
          <w:rPr>
            <w:rStyle w:val="TextoNormalNegritaCaracter"/>
          </w:rPr>
          <w:t>Retribuciones de empleados públicos</w:t>
        </w:r>
      </w:hyperlink>
    </w:p>
    <w:p w:rsidR="008E589A" w:rsidRPr="008E589A" w:rsidRDefault="008E589A" w:rsidP="008E589A">
      <w:pPr>
        <w:pStyle w:val="TextoNormalSangraFrancesa"/>
        <w:rPr>
          <w:rStyle w:val="TextoNormalCaracter"/>
        </w:rPr>
      </w:pPr>
      <w:bookmarkStart w:id="1068" w:name="DESCRIPTORALFABETICO384"/>
      <w:r w:rsidRPr="008E589A">
        <w:rPr>
          <w:rStyle w:val="TextoNormalNegritaCaracter"/>
        </w:rPr>
        <w:t>Sobreseimiento provisional</w:t>
      </w:r>
      <w:bookmarkEnd w:id="1068"/>
      <w:r w:rsidRPr="008E589A">
        <w:rPr>
          <w:rStyle w:val="TextoNormalCaracter"/>
        </w:rPr>
        <w:t xml:space="preserve">, Sentencia </w:t>
      </w:r>
      <w:hyperlink w:anchor="SENTENCIA_1997_120" w:history="1">
        <w:r w:rsidRPr="008E589A">
          <w:rPr>
            <w:rStyle w:val="TextoNormalCaracter"/>
          </w:rPr>
          <w:t>120/1997</w:t>
        </w:r>
      </w:hyperlink>
      <w:r w:rsidRPr="008E589A">
        <w:rPr>
          <w:rStyle w:val="TextoNormalCaracter"/>
        </w:rPr>
        <w:t>, f. 3.</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175" w:history="1">
        <w:r w:rsidRPr="008E589A">
          <w:rPr>
            <w:rStyle w:val="TextoNormalCaracter"/>
          </w:rPr>
          <w:t>175/1997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Solicitud de nulidad de actuaciones</w:t>
      </w:r>
      <w:r>
        <w:t xml:space="preserve"> véase </w:t>
      </w:r>
      <w:hyperlink w:anchor="DESCRIPTORALFABETICO344" w:history="1">
        <w:r w:rsidRPr="008E589A">
          <w:rPr>
            <w:rStyle w:val="TextoNormalNegritaCaracter"/>
          </w:rPr>
          <w:t>Incidente de nulidad de actuaciones</w:t>
        </w:r>
      </w:hyperlink>
    </w:p>
    <w:p w:rsidR="008E589A" w:rsidRPr="008E589A" w:rsidRDefault="008E589A" w:rsidP="008E589A">
      <w:pPr>
        <w:pStyle w:val="TextoNormalSangraFrancesa"/>
        <w:rPr>
          <w:rStyle w:val="TextoNormalNegritaCaracter"/>
        </w:rPr>
      </w:pPr>
      <w:r w:rsidRPr="008E589A">
        <w:rPr>
          <w:rStyle w:val="TextoNormalCursivaCaracter"/>
        </w:rPr>
        <w:t>Subsanabilidad de infracciones procesales</w:t>
      </w:r>
      <w:r>
        <w:t xml:space="preserve"> véase </w:t>
      </w:r>
      <w:hyperlink w:anchor="DESCRIPTORALFABETICO315" w:history="1">
        <w:r w:rsidRPr="008E589A">
          <w:rPr>
            <w:rStyle w:val="TextoNormalNegritaCaracter"/>
          </w:rPr>
          <w:t>Subsanación de defectos procesales</w:t>
        </w:r>
      </w:hyperlink>
    </w:p>
    <w:p w:rsidR="008E589A" w:rsidRPr="008E589A" w:rsidRDefault="008E589A" w:rsidP="008E589A">
      <w:pPr>
        <w:pStyle w:val="TextoNormalSangraFrancesa"/>
        <w:rPr>
          <w:rStyle w:val="TextoNormalCaracter"/>
        </w:rPr>
      </w:pPr>
      <w:bookmarkStart w:id="1069" w:name="DESCRIPTORALFABETICO393"/>
      <w:r w:rsidRPr="008E589A">
        <w:rPr>
          <w:rStyle w:val="TextoNormalNegritaCaracter"/>
        </w:rPr>
        <w:t>Subsanabilidad de la reclamación administrativa previa</w:t>
      </w:r>
      <w:bookmarkEnd w:id="1069"/>
      <w:r w:rsidRPr="008E589A">
        <w:rPr>
          <w:rStyle w:val="TextoNormalCaracter"/>
        </w:rPr>
        <w:t xml:space="preserve">, Sentencia </w:t>
      </w:r>
      <w:hyperlink w:anchor="SENTENCIA_1997_112" w:history="1">
        <w:r w:rsidRPr="008E589A">
          <w:rPr>
            <w:rStyle w:val="TextoNormalCaracter"/>
          </w:rPr>
          <w:t>112/1997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70" w:name="DESCRIPTORALFABETICO315"/>
      <w:r w:rsidRPr="008E589A">
        <w:rPr>
          <w:rStyle w:val="TextoNormalNegritaCaracter"/>
        </w:rPr>
        <w:t>Subsanación de defectos procesales</w:t>
      </w:r>
      <w:bookmarkEnd w:id="1070"/>
      <w:r w:rsidRPr="008E589A">
        <w:rPr>
          <w:rStyle w:val="TextoNormalCaracter"/>
        </w:rPr>
        <w:t xml:space="preserve">, Sentencias </w:t>
      </w:r>
      <w:hyperlink w:anchor="SENTENCIA_1997_104" w:history="1">
        <w:r w:rsidRPr="008E589A">
          <w:rPr>
            <w:rStyle w:val="TextoNormalCaracter"/>
          </w:rPr>
          <w:t>104/1997</w:t>
        </w:r>
      </w:hyperlink>
      <w:r w:rsidRPr="008E589A">
        <w:rPr>
          <w:rStyle w:val="TextoNormalCaracter"/>
        </w:rPr>
        <w:t xml:space="preserve">, f. 4; </w:t>
      </w:r>
      <w:hyperlink w:anchor="SENTENCIA_1997_112" w:history="1">
        <w:r w:rsidRPr="008E589A">
          <w:rPr>
            <w:rStyle w:val="TextoNormalCaracter"/>
          </w:rPr>
          <w:t>112/1997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71" w:name="DESCRIPTORALFABETICO316"/>
      <w:r w:rsidRPr="008E589A">
        <w:rPr>
          <w:rStyle w:val="TextoNormalNegritaCaracter"/>
        </w:rPr>
        <w:t>Subsanación de la demanda</w:t>
      </w:r>
      <w:bookmarkEnd w:id="1071"/>
      <w:r w:rsidRPr="008E589A">
        <w:rPr>
          <w:rStyle w:val="TextoNormalCaracter"/>
        </w:rPr>
        <w:t xml:space="preserve">, Sentencia </w:t>
      </w:r>
      <w:hyperlink w:anchor="SENTENCIA_1997_112" w:history="1">
        <w:r w:rsidRPr="008E589A">
          <w:rPr>
            <w:rStyle w:val="TextoNormalCaracter"/>
          </w:rPr>
          <w:t>112/1997</w:t>
        </w:r>
      </w:hyperlink>
      <w:r w:rsidRPr="008E589A">
        <w:rPr>
          <w:rStyle w:val="TextoNormalCaracter"/>
        </w:rPr>
        <w:t>, f. 3.</w:t>
      </w:r>
    </w:p>
    <w:p w:rsidR="008E589A" w:rsidRPr="008E589A" w:rsidRDefault="008E589A" w:rsidP="008E589A">
      <w:pPr>
        <w:pStyle w:val="TextoNormalSangraFrancesa"/>
        <w:rPr>
          <w:rStyle w:val="TextoNormalCaracter"/>
        </w:rPr>
      </w:pPr>
      <w:bookmarkStart w:id="1072" w:name="DESCRIPTORALFABETICO210"/>
      <w:r w:rsidRPr="008E589A">
        <w:rPr>
          <w:rStyle w:val="TextoNormalNegritaCaracter"/>
        </w:rPr>
        <w:t>Sucesiones</w:t>
      </w:r>
      <w:bookmarkEnd w:id="1072"/>
      <w:r w:rsidRPr="008E589A">
        <w:rPr>
          <w:rStyle w:val="TextoNormalCaracter"/>
        </w:rPr>
        <w:t xml:space="preserve">, Sentencia </w:t>
      </w:r>
      <w:hyperlink w:anchor="SENTENCIA_1997_119" w:history="1">
        <w:r w:rsidRPr="008E589A">
          <w:rPr>
            <w:rStyle w:val="TextoNormalCaracter"/>
          </w:rPr>
          <w:t>119/1997</w:t>
        </w:r>
      </w:hyperlink>
      <w:r w:rsidRPr="008E589A">
        <w:rPr>
          <w:rStyle w:val="TextoNormalCaracter"/>
        </w:rPr>
        <w:t>, f. 1.</w:t>
      </w:r>
    </w:p>
    <w:p w:rsidR="008E589A" w:rsidRPr="008E589A" w:rsidRDefault="008E589A" w:rsidP="008E589A">
      <w:pPr>
        <w:pStyle w:val="TextoNormalSangraFrancesa"/>
        <w:rPr>
          <w:rStyle w:val="TextoNormalCaracter"/>
        </w:rPr>
      </w:pPr>
      <w:bookmarkStart w:id="1073" w:name="DESCRIPTORALFABETICO238"/>
      <w:r w:rsidRPr="008E589A">
        <w:rPr>
          <w:rStyle w:val="TextoNormalNegritaCaracter"/>
        </w:rPr>
        <w:t>Supuestos de impugnabilidad en vía de amparo</w:t>
      </w:r>
      <w:bookmarkEnd w:id="1073"/>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1074" w:name="DESCRIPTORALFABETICO106"/>
      <w:r w:rsidRPr="008E589A">
        <w:rPr>
          <w:rStyle w:val="TextoNormalNegritaCaracter"/>
        </w:rPr>
        <w:t>Suspensión cautelar de resoluciones judiciales</w:t>
      </w:r>
      <w:bookmarkEnd w:id="1074"/>
      <w:r w:rsidRPr="008E589A">
        <w:rPr>
          <w:rStyle w:val="TextoNormalCaracter"/>
        </w:rPr>
        <w:t xml:space="preserve">, Autos </w:t>
      </w:r>
      <w:hyperlink w:anchor="AUTO_1997_125" w:history="1">
        <w:r w:rsidRPr="008E589A">
          <w:rPr>
            <w:rStyle w:val="TextoNormalCaracter"/>
          </w:rPr>
          <w:t>125/1997</w:t>
        </w:r>
      </w:hyperlink>
      <w:r w:rsidRPr="008E589A">
        <w:rPr>
          <w:rStyle w:val="TextoNormalCaracter"/>
        </w:rPr>
        <w:t xml:space="preserve">; </w:t>
      </w:r>
      <w:hyperlink w:anchor="AUTO_1997_192" w:history="1">
        <w:r w:rsidRPr="008E589A">
          <w:rPr>
            <w:rStyle w:val="TextoNormalCaracter"/>
          </w:rPr>
          <w:t>192/1997</w:t>
        </w:r>
      </w:hyperlink>
      <w:r w:rsidRPr="008E589A">
        <w:rPr>
          <w:rStyle w:val="TextoNormalCaracter"/>
        </w:rPr>
        <w:t xml:space="preserve">; </w:t>
      </w:r>
      <w:hyperlink w:anchor="AUTO_1997_193" w:history="1">
        <w:r w:rsidRPr="008E589A">
          <w:rPr>
            <w:rStyle w:val="TextoNormalCaracter"/>
          </w:rPr>
          <w:t>193/1997</w:t>
        </w:r>
      </w:hyperlink>
      <w:r w:rsidRPr="008E589A">
        <w:rPr>
          <w:rStyle w:val="TextoNormalCaracter"/>
        </w:rPr>
        <w:t xml:space="preserve">; </w:t>
      </w:r>
      <w:hyperlink w:anchor="AUTO_1997_194" w:history="1">
        <w:r w:rsidRPr="008E589A">
          <w:rPr>
            <w:rStyle w:val="TextoNormalCaracter"/>
          </w:rPr>
          <w:t>194/1997</w:t>
        </w:r>
      </w:hyperlink>
      <w:r w:rsidRPr="008E589A">
        <w:rPr>
          <w:rStyle w:val="TextoNormalCaracter"/>
        </w:rPr>
        <w:t xml:space="preserve">; </w:t>
      </w:r>
      <w:hyperlink w:anchor="AUTO_1997_205" w:history="1">
        <w:r w:rsidRPr="008E589A">
          <w:rPr>
            <w:rStyle w:val="TextoNormalCaracter"/>
          </w:rPr>
          <w:t>205/1997</w:t>
        </w:r>
      </w:hyperlink>
      <w:r w:rsidRPr="008E589A">
        <w:rPr>
          <w:rStyle w:val="TextoNormalCaracter"/>
        </w:rPr>
        <w:t xml:space="preserve">; </w:t>
      </w:r>
      <w:hyperlink w:anchor="AUTO_1997_210" w:history="1">
        <w:r w:rsidRPr="008E589A">
          <w:rPr>
            <w:rStyle w:val="TextoNormalCaracter"/>
          </w:rPr>
          <w:t>210/1997</w:t>
        </w:r>
      </w:hyperlink>
      <w:r w:rsidRPr="008E589A">
        <w:rPr>
          <w:rStyle w:val="TextoNormalCaracter"/>
        </w:rPr>
        <w:t xml:space="preserve">; </w:t>
      </w:r>
      <w:hyperlink w:anchor="AUTO_1997_212" w:history="1">
        <w:r w:rsidRPr="008E589A">
          <w:rPr>
            <w:rStyle w:val="TextoNormalCaracter"/>
          </w:rPr>
          <w:t>212/1997</w:t>
        </w:r>
      </w:hyperlink>
      <w:r w:rsidRPr="008E589A">
        <w:rPr>
          <w:rStyle w:val="TextoNormalCaracter"/>
        </w:rPr>
        <w:t xml:space="preserve">; </w:t>
      </w:r>
      <w:hyperlink w:anchor="AUTO_1997_213" w:history="1">
        <w:r w:rsidRPr="008E589A">
          <w:rPr>
            <w:rStyle w:val="TextoNormalCaracter"/>
          </w:rPr>
          <w:t>213/1997</w:t>
        </w:r>
      </w:hyperlink>
      <w:r w:rsidRPr="008E589A">
        <w:rPr>
          <w:rStyle w:val="TextoNormalCaracter"/>
        </w:rPr>
        <w:t xml:space="preserve">; </w:t>
      </w:r>
      <w:hyperlink w:anchor="AUTO_1997_223" w:history="1">
        <w:r w:rsidRPr="008E589A">
          <w:rPr>
            <w:rStyle w:val="TextoNormalCaracter"/>
          </w:rPr>
          <w:t>223/1997</w:t>
        </w:r>
      </w:hyperlink>
      <w:r w:rsidRPr="008E589A">
        <w:rPr>
          <w:rStyle w:val="TextoNormalCaracter"/>
        </w:rPr>
        <w:t xml:space="preserve">; </w:t>
      </w:r>
      <w:hyperlink w:anchor="AUTO_1997_226" w:history="1">
        <w:r w:rsidRPr="008E589A">
          <w:rPr>
            <w:rStyle w:val="TextoNormalCaracter"/>
          </w:rPr>
          <w:t>226/1997</w:t>
        </w:r>
      </w:hyperlink>
      <w:r w:rsidRPr="008E589A">
        <w:rPr>
          <w:rStyle w:val="TextoNormalCaracter"/>
        </w:rPr>
        <w:t xml:space="preserve">; </w:t>
      </w:r>
      <w:hyperlink w:anchor="AUTO_1997_248" w:history="1">
        <w:r w:rsidRPr="008E589A">
          <w:rPr>
            <w:rStyle w:val="TextoNormalCaracter"/>
          </w:rPr>
          <w:t>248/1997</w:t>
        </w:r>
      </w:hyperlink>
      <w:r w:rsidRPr="008E589A">
        <w:rPr>
          <w:rStyle w:val="TextoNormalCaracter"/>
        </w:rPr>
        <w:t xml:space="preserve">; </w:t>
      </w:r>
      <w:hyperlink w:anchor="AUTO_1997_282" w:history="1">
        <w:r w:rsidRPr="008E589A">
          <w:rPr>
            <w:rStyle w:val="TextoNormalCaracter"/>
          </w:rPr>
          <w:t>282/1997</w:t>
        </w:r>
      </w:hyperlink>
      <w:r w:rsidRPr="008E589A">
        <w:rPr>
          <w:rStyle w:val="TextoNormalCaracter"/>
        </w:rPr>
        <w:t xml:space="preserve">; </w:t>
      </w:r>
      <w:hyperlink w:anchor="AUTO_1997_283" w:history="1">
        <w:r w:rsidRPr="008E589A">
          <w:rPr>
            <w:rStyle w:val="TextoNormalCaracter"/>
          </w:rPr>
          <w:t>283/1997</w:t>
        </w:r>
      </w:hyperlink>
      <w:r w:rsidRPr="008E589A">
        <w:rPr>
          <w:rStyle w:val="TextoNormalCaracter"/>
        </w:rPr>
        <w:t xml:space="preserve">; </w:t>
      </w:r>
      <w:hyperlink w:anchor="AUTO_1997_287" w:history="1">
        <w:r w:rsidRPr="008E589A">
          <w:rPr>
            <w:rStyle w:val="TextoNormalCaracter"/>
          </w:rPr>
          <w:t>287/1997</w:t>
        </w:r>
      </w:hyperlink>
      <w:r w:rsidRPr="008E589A">
        <w:rPr>
          <w:rStyle w:val="TextoNormalCaracter"/>
        </w:rPr>
        <w:t xml:space="preserve">; </w:t>
      </w:r>
      <w:hyperlink w:anchor="AUTO_1997_288" w:history="1">
        <w:r w:rsidRPr="008E589A">
          <w:rPr>
            <w:rStyle w:val="TextoNormalCaracter"/>
          </w:rPr>
          <w:t>288/1997</w:t>
        </w:r>
      </w:hyperlink>
      <w:r w:rsidRPr="008E589A">
        <w:rPr>
          <w:rStyle w:val="TextoNormalCaracter"/>
        </w:rPr>
        <w:t xml:space="preserve">; </w:t>
      </w:r>
      <w:hyperlink w:anchor="AUTO_1997_289" w:history="1">
        <w:r w:rsidRPr="008E589A">
          <w:rPr>
            <w:rStyle w:val="TextoNormalCaracter"/>
          </w:rPr>
          <w:t>289/1997</w:t>
        </w:r>
      </w:hyperlink>
      <w:r w:rsidRPr="008E589A">
        <w:rPr>
          <w:rStyle w:val="TextoNormalCaracter"/>
        </w:rPr>
        <w:t>.</w:t>
      </w:r>
    </w:p>
    <w:p w:rsidR="008E589A" w:rsidRPr="008E589A" w:rsidRDefault="008E589A" w:rsidP="008E589A">
      <w:pPr>
        <w:pStyle w:val="TextoNormalSangraFrancesa"/>
        <w:rPr>
          <w:rStyle w:val="TextoNormalCaracter"/>
        </w:rPr>
      </w:pPr>
      <w:bookmarkStart w:id="1075" w:name="DESCRIPTORALFABETICO107"/>
      <w:r w:rsidRPr="008E589A">
        <w:rPr>
          <w:rStyle w:val="TextoNormalNegritaCaracter"/>
        </w:rPr>
        <w:t>Suspensión cautelar de sentencias civiles</w:t>
      </w:r>
      <w:bookmarkEnd w:id="1075"/>
      <w:r w:rsidRPr="008E589A">
        <w:rPr>
          <w:rStyle w:val="TextoNormalCaracter"/>
        </w:rPr>
        <w:t xml:space="preserve">, Autos </w:t>
      </w:r>
      <w:hyperlink w:anchor="AUTO_1997_129" w:history="1">
        <w:r w:rsidRPr="008E589A">
          <w:rPr>
            <w:rStyle w:val="TextoNormalCaracter"/>
          </w:rPr>
          <w:t>129/1997</w:t>
        </w:r>
      </w:hyperlink>
      <w:r w:rsidRPr="008E589A">
        <w:rPr>
          <w:rStyle w:val="TextoNormalCaracter"/>
        </w:rPr>
        <w:t xml:space="preserve">; </w:t>
      </w:r>
      <w:hyperlink w:anchor="AUTO_1997_143" w:history="1">
        <w:r w:rsidRPr="008E589A">
          <w:rPr>
            <w:rStyle w:val="TextoNormalCaracter"/>
          </w:rPr>
          <w:t>143/1997</w:t>
        </w:r>
      </w:hyperlink>
      <w:r w:rsidRPr="008E589A">
        <w:rPr>
          <w:rStyle w:val="TextoNormalCaracter"/>
        </w:rPr>
        <w:t xml:space="preserve">; </w:t>
      </w:r>
      <w:hyperlink w:anchor="AUTO_1997_153" w:history="1">
        <w:r w:rsidRPr="008E589A">
          <w:rPr>
            <w:rStyle w:val="TextoNormalCaracter"/>
          </w:rPr>
          <w:t>153/1997</w:t>
        </w:r>
      </w:hyperlink>
      <w:r w:rsidRPr="008E589A">
        <w:rPr>
          <w:rStyle w:val="TextoNormalCaracter"/>
        </w:rPr>
        <w:t xml:space="preserve">; </w:t>
      </w:r>
      <w:hyperlink w:anchor="AUTO_1997_155" w:history="1">
        <w:r w:rsidRPr="008E589A">
          <w:rPr>
            <w:rStyle w:val="TextoNormalCaracter"/>
          </w:rPr>
          <w:t>155/1997</w:t>
        </w:r>
      </w:hyperlink>
      <w:r w:rsidRPr="008E589A">
        <w:rPr>
          <w:rStyle w:val="TextoNormalCaracter"/>
        </w:rPr>
        <w:t xml:space="preserve">; </w:t>
      </w:r>
      <w:hyperlink w:anchor="AUTO_1997_156" w:history="1">
        <w:r w:rsidRPr="008E589A">
          <w:rPr>
            <w:rStyle w:val="TextoNormalCaracter"/>
          </w:rPr>
          <w:t>156/1997</w:t>
        </w:r>
      </w:hyperlink>
      <w:r w:rsidRPr="008E589A">
        <w:rPr>
          <w:rStyle w:val="TextoNormalCaracter"/>
        </w:rPr>
        <w:t xml:space="preserve">; </w:t>
      </w:r>
      <w:hyperlink w:anchor="AUTO_1997_180" w:history="1">
        <w:r w:rsidRPr="008E589A">
          <w:rPr>
            <w:rStyle w:val="TextoNormalCaracter"/>
          </w:rPr>
          <w:t>180/1997</w:t>
        </w:r>
      </w:hyperlink>
      <w:r w:rsidRPr="008E589A">
        <w:rPr>
          <w:rStyle w:val="TextoNormalCaracter"/>
        </w:rPr>
        <w:t xml:space="preserve">; </w:t>
      </w:r>
      <w:hyperlink w:anchor="AUTO_1997_181" w:history="1">
        <w:r w:rsidRPr="008E589A">
          <w:rPr>
            <w:rStyle w:val="TextoNormalCaracter"/>
          </w:rPr>
          <w:t>181/1997</w:t>
        </w:r>
      </w:hyperlink>
      <w:r w:rsidRPr="008E589A">
        <w:rPr>
          <w:rStyle w:val="TextoNormalCaracter"/>
        </w:rPr>
        <w:t xml:space="preserve">; </w:t>
      </w:r>
      <w:hyperlink w:anchor="AUTO_1997_251" w:history="1">
        <w:r w:rsidRPr="008E589A">
          <w:rPr>
            <w:rStyle w:val="TextoNormalCaracter"/>
          </w:rPr>
          <w:t>251/1997</w:t>
        </w:r>
      </w:hyperlink>
      <w:r w:rsidRPr="008E589A">
        <w:rPr>
          <w:rStyle w:val="TextoNormalCaracter"/>
        </w:rPr>
        <w:t>.</w:t>
      </w:r>
    </w:p>
    <w:p w:rsidR="008E589A" w:rsidRPr="008E589A" w:rsidRDefault="008E589A" w:rsidP="008E589A">
      <w:pPr>
        <w:pStyle w:val="TextoNormalSangraFrancesa"/>
        <w:rPr>
          <w:rStyle w:val="TextoNormalCaracter"/>
        </w:rPr>
      </w:pPr>
      <w:bookmarkStart w:id="1076" w:name="DESCRIPTORALFABETICO108"/>
      <w:r w:rsidRPr="008E589A">
        <w:rPr>
          <w:rStyle w:val="TextoNormalNegritaCaracter"/>
        </w:rPr>
        <w:t>Suspensión cautelar de sentencias contencioso-administrativas</w:t>
      </w:r>
      <w:bookmarkEnd w:id="1076"/>
      <w:r w:rsidRPr="008E589A">
        <w:rPr>
          <w:rStyle w:val="TextoNormalCaracter"/>
        </w:rPr>
        <w:t xml:space="preserve">, Autos </w:t>
      </w:r>
      <w:hyperlink w:anchor="AUTO_1997_126" w:history="1">
        <w:r w:rsidRPr="008E589A">
          <w:rPr>
            <w:rStyle w:val="TextoNormalCaracter"/>
          </w:rPr>
          <w:t>126/1997</w:t>
        </w:r>
      </w:hyperlink>
      <w:r w:rsidRPr="008E589A">
        <w:rPr>
          <w:rStyle w:val="TextoNormalCaracter"/>
        </w:rPr>
        <w:t xml:space="preserve">; </w:t>
      </w:r>
      <w:hyperlink w:anchor="AUTO_1997_141" w:history="1">
        <w:r w:rsidRPr="008E589A">
          <w:rPr>
            <w:rStyle w:val="TextoNormalCaracter"/>
          </w:rPr>
          <w:t>141/1997</w:t>
        </w:r>
      </w:hyperlink>
      <w:r w:rsidRPr="008E589A">
        <w:rPr>
          <w:rStyle w:val="TextoNormalCaracter"/>
        </w:rPr>
        <w:t xml:space="preserve">; </w:t>
      </w:r>
      <w:hyperlink w:anchor="AUTO_1997_183" w:history="1">
        <w:r w:rsidRPr="008E589A">
          <w:rPr>
            <w:rStyle w:val="TextoNormalCaracter"/>
          </w:rPr>
          <w:t>183/1997</w:t>
        </w:r>
      </w:hyperlink>
      <w:r w:rsidRPr="008E589A">
        <w:rPr>
          <w:rStyle w:val="TextoNormalCaracter"/>
        </w:rPr>
        <w:t xml:space="preserve">; </w:t>
      </w:r>
      <w:hyperlink w:anchor="AUTO_1997_216" w:history="1">
        <w:r w:rsidRPr="008E589A">
          <w:rPr>
            <w:rStyle w:val="TextoNormalCaracter"/>
          </w:rPr>
          <w:t>216/1997</w:t>
        </w:r>
      </w:hyperlink>
      <w:r w:rsidRPr="008E589A">
        <w:rPr>
          <w:rStyle w:val="TextoNormalCaracter"/>
        </w:rPr>
        <w:t xml:space="preserve">; </w:t>
      </w:r>
      <w:hyperlink w:anchor="AUTO_1997_222" w:history="1">
        <w:r w:rsidRPr="008E589A">
          <w:rPr>
            <w:rStyle w:val="TextoNormalCaracter"/>
          </w:rPr>
          <w:t>222/1997</w:t>
        </w:r>
      </w:hyperlink>
      <w:r w:rsidRPr="008E589A">
        <w:rPr>
          <w:rStyle w:val="TextoNormalCaracter"/>
        </w:rPr>
        <w:t xml:space="preserve">; </w:t>
      </w:r>
      <w:hyperlink w:anchor="AUTO_1997_265" w:history="1">
        <w:r w:rsidRPr="008E589A">
          <w:rPr>
            <w:rStyle w:val="TextoNormalCaracter"/>
          </w:rPr>
          <w:t>265/1997</w:t>
        </w:r>
      </w:hyperlink>
      <w:r w:rsidRPr="008E589A">
        <w:rPr>
          <w:rStyle w:val="TextoNormalCaracter"/>
        </w:rPr>
        <w:t>.</w:t>
      </w:r>
    </w:p>
    <w:p w:rsidR="008E589A" w:rsidRPr="008E589A" w:rsidRDefault="008E589A" w:rsidP="008E589A">
      <w:pPr>
        <w:pStyle w:val="TextoNormalSangraFrancesa"/>
        <w:rPr>
          <w:rStyle w:val="TextoNormalCaracter"/>
        </w:rPr>
      </w:pPr>
      <w:bookmarkStart w:id="1077" w:name="DESCRIPTORALFABETICO109"/>
      <w:r w:rsidRPr="008E589A">
        <w:rPr>
          <w:rStyle w:val="TextoNormalNegritaCaracter"/>
        </w:rPr>
        <w:t>Suspensión cautelar de sentencias laborales</w:t>
      </w:r>
      <w:bookmarkEnd w:id="1077"/>
      <w:r w:rsidRPr="008E589A">
        <w:rPr>
          <w:rStyle w:val="TextoNormalCaracter"/>
        </w:rPr>
        <w:t xml:space="preserve">, Autos </w:t>
      </w:r>
      <w:hyperlink w:anchor="AUTO_1997_184" w:history="1">
        <w:r w:rsidRPr="008E589A">
          <w:rPr>
            <w:rStyle w:val="TextoNormalCaracter"/>
          </w:rPr>
          <w:t>184/1997</w:t>
        </w:r>
      </w:hyperlink>
      <w:r w:rsidRPr="008E589A">
        <w:rPr>
          <w:rStyle w:val="TextoNormalCaracter"/>
        </w:rPr>
        <w:t xml:space="preserve">; </w:t>
      </w:r>
      <w:hyperlink w:anchor="AUTO_1997_198" w:history="1">
        <w:r w:rsidRPr="008E589A">
          <w:rPr>
            <w:rStyle w:val="TextoNormalCaracter"/>
          </w:rPr>
          <w:t>198/1997</w:t>
        </w:r>
      </w:hyperlink>
      <w:r w:rsidRPr="008E589A">
        <w:rPr>
          <w:rStyle w:val="TextoNormalCaracter"/>
        </w:rPr>
        <w:t xml:space="preserve">; </w:t>
      </w:r>
      <w:hyperlink w:anchor="AUTO_1997_211" w:history="1">
        <w:r w:rsidRPr="008E589A">
          <w:rPr>
            <w:rStyle w:val="TextoNormalCaracter"/>
          </w:rPr>
          <w:t>211/1997</w:t>
        </w:r>
      </w:hyperlink>
      <w:r w:rsidRPr="008E589A">
        <w:rPr>
          <w:rStyle w:val="TextoNormalCaracter"/>
        </w:rPr>
        <w:t xml:space="preserve">; </w:t>
      </w:r>
      <w:hyperlink w:anchor="AUTO_1997_284" w:history="1">
        <w:r w:rsidRPr="008E589A">
          <w:rPr>
            <w:rStyle w:val="TextoNormalCaracter"/>
          </w:rPr>
          <w:t>284/1997</w:t>
        </w:r>
      </w:hyperlink>
      <w:r w:rsidRPr="008E589A">
        <w:rPr>
          <w:rStyle w:val="TextoNormalCaracter"/>
        </w:rPr>
        <w:t xml:space="preserve">; </w:t>
      </w:r>
      <w:hyperlink w:anchor="AUTO_1997_285" w:history="1">
        <w:r w:rsidRPr="008E589A">
          <w:rPr>
            <w:rStyle w:val="TextoNormalCaracter"/>
          </w:rPr>
          <w:t>285/1997</w:t>
        </w:r>
      </w:hyperlink>
      <w:r w:rsidRPr="008E589A">
        <w:rPr>
          <w:rStyle w:val="TextoNormalCaracter"/>
        </w:rPr>
        <w:t>.</w:t>
      </w:r>
    </w:p>
    <w:p w:rsidR="008E589A" w:rsidRPr="008E589A" w:rsidRDefault="008E589A" w:rsidP="008E589A">
      <w:pPr>
        <w:pStyle w:val="TextoNormalSangraFrancesa"/>
        <w:rPr>
          <w:rStyle w:val="TextoNormalCaracter"/>
        </w:rPr>
      </w:pPr>
      <w:bookmarkStart w:id="1078" w:name="DESCRIPTORALFABETICO110"/>
      <w:r w:rsidRPr="008E589A">
        <w:rPr>
          <w:rStyle w:val="TextoNormalNegritaCaracter"/>
        </w:rPr>
        <w:t>Suspensión cautelar de sentencias penales</w:t>
      </w:r>
      <w:bookmarkEnd w:id="1078"/>
      <w:r w:rsidRPr="008E589A">
        <w:rPr>
          <w:rStyle w:val="TextoNormalCaracter"/>
        </w:rPr>
        <w:t xml:space="preserve">, Autos </w:t>
      </w:r>
      <w:hyperlink w:anchor="AUTO_1997_124" w:history="1">
        <w:r w:rsidRPr="008E589A">
          <w:rPr>
            <w:rStyle w:val="TextoNormalCaracter"/>
          </w:rPr>
          <w:t>124/1997</w:t>
        </w:r>
      </w:hyperlink>
      <w:r w:rsidRPr="008E589A">
        <w:rPr>
          <w:rStyle w:val="TextoNormalCaracter"/>
        </w:rPr>
        <w:t xml:space="preserve">; </w:t>
      </w:r>
      <w:hyperlink w:anchor="AUTO_1997_128" w:history="1">
        <w:r w:rsidRPr="008E589A">
          <w:rPr>
            <w:rStyle w:val="TextoNormalCaracter"/>
          </w:rPr>
          <w:t>128/1997</w:t>
        </w:r>
      </w:hyperlink>
      <w:r w:rsidRPr="008E589A">
        <w:rPr>
          <w:rStyle w:val="TextoNormalCaracter"/>
        </w:rPr>
        <w:t xml:space="preserve">; </w:t>
      </w:r>
      <w:hyperlink w:anchor="AUTO_1997_214" w:history="1">
        <w:r w:rsidRPr="008E589A">
          <w:rPr>
            <w:rStyle w:val="TextoNormalCaracter"/>
          </w:rPr>
          <w:t>214/1997</w:t>
        </w:r>
      </w:hyperlink>
      <w:r w:rsidRPr="008E589A">
        <w:rPr>
          <w:rStyle w:val="TextoNormalCaracter"/>
        </w:rPr>
        <w:t xml:space="preserve">; </w:t>
      </w:r>
      <w:hyperlink w:anchor="AUTO_1997_280" w:history="1">
        <w:r w:rsidRPr="008E589A">
          <w:rPr>
            <w:rStyle w:val="TextoNormalCaracter"/>
          </w:rPr>
          <w:t>280/1997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ursivaCaracter"/>
        </w:rPr>
        <w:lastRenderedPageBreak/>
        <w:t xml:space="preserve">    Suspende parcialmente, </w:t>
      </w:r>
      <w:r w:rsidRPr="008E589A">
        <w:rPr>
          <w:rStyle w:val="TextoNormalCaracter"/>
        </w:rPr>
        <w:t xml:space="preserve">Autos </w:t>
      </w:r>
      <w:hyperlink w:anchor="AUTO_1997_127" w:history="1">
        <w:r w:rsidRPr="008E589A">
          <w:rPr>
            <w:rStyle w:val="TextoNormalCaracter"/>
          </w:rPr>
          <w:t>127/1997</w:t>
        </w:r>
      </w:hyperlink>
      <w:r w:rsidRPr="008E589A">
        <w:rPr>
          <w:rStyle w:val="TextoNormalCaracter"/>
        </w:rPr>
        <w:t xml:space="preserve">; </w:t>
      </w:r>
      <w:hyperlink w:anchor="AUTO_1997_144" w:history="1">
        <w:r w:rsidRPr="008E589A">
          <w:rPr>
            <w:rStyle w:val="TextoNormalCaracter"/>
          </w:rPr>
          <w:t>144/1997</w:t>
        </w:r>
      </w:hyperlink>
      <w:r w:rsidRPr="008E589A">
        <w:rPr>
          <w:rStyle w:val="TextoNormalCaracter"/>
        </w:rPr>
        <w:t xml:space="preserve">; </w:t>
      </w:r>
      <w:hyperlink w:anchor="AUTO_1997_145" w:history="1">
        <w:r w:rsidRPr="008E589A">
          <w:rPr>
            <w:rStyle w:val="TextoNormalCaracter"/>
          </w:rPr>
          <w:t>145/1997</w:t>
        </w:r>
      </w:hyperlink>
      <w:r w:rsidRPr="008E589A">
        <w:rPr>
          <w:rStyle w:val="TextoNormalCaracter"/>
        </w:rPr>
        <w:t xml:space="preserve">; </w:t>
      </w:r>
      <w:hyperlink w:anchor="AUTO_1997_149" w:history="1">
        <w:r w:rsidRPr="008E589A">
          <w:rPr>
            <w:rStyle w:val="TextoNormalCaracter"/>
          </w:rPr>
          <w:t>149/1997</w:t>
        </w:r>
      </w:hyperlink>
      <w:r w:rsidRPr="008E589A">
        <w:rPr>
          <w:rStyle w:val="TextoNormalCaracter"/>
        </w:rPr>
        <w:t xml:space="preserve">; </w:t>
      </w:r>
      <w:hyperlink w:anchor="AUTO_1997_151" w:history="1">
        <w:r w:rsidRPr="008E589A">
          <w:rPr>
            <w:rStyle w:val="TextoNormalCaracter"/>
          </w:rPr>
          <w:t>151/1997</w:t>
        </w:r>
      </w:hyperlink>
      <w:r w:rsidRPr="008E589A">
        <w:rPr>
          <w:rStyle w:val="TextoNormalCaracter"/>
        </w:rPr>
        <w:t xml:space="preserve">; </w:t>
      </w:r>
      <w:hyperlink w:anchor="AUTO_1997_152" w:history="1">
        <w:r w:rsidRPr="008E589A">
          <w:rPr>
            <w:rStyle w:val="TextoNormalCaracter"/>
          </w:rPr>
          <w:t>152/1997</w:t>
        </w:r>
      </w:hyperlink>
      <w:r w:rsidRPr="008E589A">
        <w:rPr>
          <w:rStyle w:val="TextoNormalCaracter"/>
        </w:rPr>
        <w:t xml:space="preserve">; </w:t>
      </w:r>
      <w:hyperlink w:anchor="AUTO_1997_158" w:history="1">
        <w:r w:rsidRPr="008E589A">
          <w:rPr>
            <w:rStyle w:val="TextoNormalCaracter"/>
          </w:rPr>
          <w:t>158/1997</w:t>
        </w:r>
      </w:hyperlink>
      <w:r w:rsidRPr="008E589A">
        <w:rPr>
          <w:rStyle w:val="TextoNormalCaracter"/>
        </w:rPr>
        <w:t xml:space="preserve">; </w:t>
      </w:r>
      <w:hyperlink w:anchor="AUTO_1997_185" w:history="1">
        <w:r w:rsidRPr="008E589A">
          <w:rPr>
            <w:rStyle w:val="TextoNormalCaracter"/>
          </w:rPr>
          <w:t>185/1997</w:t>
        </w:r>
      </w:hyperlink>
      <w:r w:rsidRPr="008E589A">
        <w:rPr>
          <w:rStyle w:val="TextoNormalCaracter"/>
        </w:rPr>
        <w:t xml:space="preserve">; </w:t>
      </w:r>
      <w:hyperlink w:anchor="AUTO_1997_186" w:history="1">
        <w:r w:rsidRPr="008E589A">
          <w:rPr>
            <w:rStyle w:val="TextoNormalCaracter"/>
          </w:rPr>
          <w:t>186/1997</w:t>
        </w:r>
      </w:hyperlink>
      <w:r w:rsidRPr="008E589A">
        <w:rPr>
          <w:rStyle w:val="TextoNormalCaracter"/>
        </w:rPr>
        <w:t xml:space="preserve">; </w:t>
      </w:r>
      <w:hyperlink w:anchor="AUTO_1997_200" w:history="1">
        <w:r w:rsidRPr="008E589A">
          <w:rPr>
            <w:rStyle w:val="TextoNormalCaracter"/>
          </w:rPr>
          <w:t>200/1997</w:t>
        </w:r>
      </w:hyperlink>
      <w:r w:rsidRPr="008E589A">
        <w:rPr>
          <w:rStyle w:val="TextoNormalCaracter"/>
        </w:rPr>
        <w:t xml:space="preserve">; </w:t>
      </w:r>
      <w:hyperlink w:anchor="AUTO_1997_202" w:history="1">
        <w:r w:rsidRPr="008E589A">
          <w:rPr>
            <w:rStyle w:val="TextoNormalCaracter"/>
          </w:rPr>
          <w:t>202/1997</w:t>
        </w:r>
      </w:hyperlink>
      <w:r w:rsidRPr="008E589A">
        <w:rPr>
          <w:rStyle w:val="TextoNormalCaracter"/>
        </w:rPr>
        <w:t xml:space="preserve">; </w:t>
      </w:r>
      <w:hyperlink w:anchor="AUTO_1997_247" w:history="1">
        <w:r w:rsidRPr="008E589A">
          <w:rPr>
            <w:rStyle w:val="TextoNormalCaracter"/>
          </w:rPr>
          <w:t>247/1997</w:t>
        </w:r>
      </w:hyperlink>
      <w:r w:rsidRPr="008E589A">
        <w:rPr>
          <w:rStyle w:val="TextoNormalCaracter"/>
        </w:rPr>
        <w:t xml:space="preserve">; </w:t>
      </w:r>
      <w:hyperlink w:anchor="AUTO_1997_253" w:history="1">
        <w:r w:rsidRPr="008E589A">
          <w:rPr>
            <w:rStyle w:val="TextoNormalCaracter"/>
          </w:rPr>
          <w:t>253/1997</w:t>
        </w:r>
      </w:hyperlink>
      <w:r w:rsidRPr="008E589A">
        <w:rPr>
          <w:rStyle w:val="TextoNormalCaracter"/>
        </w:rPr>
        <w:t xml:space="preserve">; </w:t>
      </w:r>
      <w:hyperlink w:anchor="AUTO_1997_261" w:history="1">
        <w:r w:rsidRPr="008E589A">
          <w:rPr>
            <w:rStyle w:val="TextoNormalCaracter"/>
          </w:rPr>
          <w:t>261/1997</w:t>
        </w:r>
      </w:hyperlink>
      <w:r w:rsidRPr="008E589A">
        <w:rPr>
          <w:rStyle w:val="TextoNormalCaracter"/>
        </w:rPr>
        <w:t xml:space="preserve">; </w:t>
      </w:r>
      <w:hyperlink w:anchor="AUTO_1997_266" w:history="1">
        <w:r w:rsidRPr="008E589A">
          <w:rPr>
            <w:rStyle w:val="TextoNormalCaracter"/>
          </w:rPr>
          <w:t>266/1997</w:t>
        </w:r>
      </w:hyperlink>
      <w:r w:rsidRPr="008E589A">
        <w:rPr>
          <w:rStyle w:val="TextoNormalCaracter"/>
        </w:rPr>
        <w:t xml:space="preserve">; </w:t>
      </w:r>
      <w:hyperlink w:anchor="AUTO_1997_286" w:history="1">
        <w:r w:rsidRPr="008E589A">
          <w:rPr>
            <w:rStyle w:val="TextoNormalCaracter"/>
          </w:rPr>
          <w:t>286/1997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Suspensión condicional de la pena</w:t>
      </w:r>
      <w:r>
        <w:t xml:space="preserve"> véase </w:t>
      </w:r>
      <w:hyperlink w:anchor="DESCRIPTORALFABETICO263" w:history="1">
        <w:r w:rsidRPr="008E589A">
          <w:rPr>
            <w:rStyle w:val="TextoNormalNegritaCaracter"/>
          </w:rPr>
          <w:t>Suspensión de la ejecución de la pena</w:t>
        </w:r>
      </w:hyperlink>
    </w:p>
    <w:p w:rsidR="008E589A" w:rsidRPr="008E589A" w:rsidRDefault="008E589A" w:rsidP="008E589A">
      <w:pPr>
        <w:pStyle w:val="TextoNormalSangraFrancesa"/>
        <w:rPr>
          <w:rStyle w:val="TextoNormalCaracter"/>
        </w:rPr>
      </w:pPr>
      <w:bookmarkStart w:id="1079" w:name="DESCRIPTORALFABETICO310"/>
      <w:r w:rsidRPr="008E589A">
        <w:rPr>
          <w:rStyle w:val="TextoNormalNegritaCaracter"/>
        </w:rPr>
        <w:t>Suspensión de actos procesales</w:t>
      </w:r>
      <w:bookmarkEnd w:id="1079"/>
      <w:r w:rsidRPr="008E589A">
        <w:rPr>
          <w:rStyle w:val="TextoNormalCaracter"/>
        </w:rPr>
        <w:t xml:space="preserve">, Auto </w:t>
      </w:r>
      <w:hyperlink w:anchor="AUTO_1997_196" w:history="1">
        <w:r w:rsidRPr="008E589A">
          <w:rPr>
            <w:rStyle w:val="TextoNormalCaracter"/>
          </w:rPr>
          <w:t>196/1997</w:t>
        </w:r>
      </w:hyperlink>
      <w:r w:rsidRPr="008E589A">
        <w:rPr>
          <w:rStyle w:val="TextoNormalCaracter"/>
        </w:rPr>
        <w:t>.</w:t>
      </w:r>
    </w:p>
    <w:p w:rsidR="008E589A" w:rsidRPr="008E589A" w:rsidRDefault="008E589A" w:rsidP="008E589A">
      <w:pPr>
        <w:pStyle w:val="TextoNormalSangraFrancesa"/>
        <w:rPr>
          <w:rStyle w:val="TextoNormalCaracter"/>
        </w:rPr>
      </w:pPr>
      <w:bookmarkStart w:id="1080" w:name="DESCRIPTORALFABETICO263"/>
      <w:r w:rsidRPr="008E589A">
        <w:rPr>
          <w:rStyle w:val="TextoNormalNegritaCaracter"/>
        </w:rPr>
        <w:t>Suspensión de la ejecución de la pena</w:t>
      </w:r>
      <w:bookmarkEnd w:id="1080"/>
      <w:r w:rsidRPr="008E589A">
        <w:rPr>
          <w:rStyle w:val="TextoNormalCaracter"/>
        </w:rPr>
        <w:t xml:space="preserve">, Sentencia </w:t>
      </w:r>
      <w:hyperlink w:anchor="SENTENCIA_1997_115" w:history="1">
        <w:r w:rsidRPr="008E589A">
          <w:rPr>
            <w:rStyle w:val="TextoNormalCaracter"/>
          </w:rPr>
          <w:t>115/1997</w:t>
        </w:r>
      </w:hyperlink>
      <w:r w:rsidRPr="008E589A">
        <w:rPr>
          <w:rStyle w:val="TextoNormalCaracter"/>
        </w:rPr>
        <w:t>, f. 2.</w:t>
      </w:r>
    </w:p>
    <w:p w:rsidR="008E589A" w:rsidRPr="008E589A" w:rsidRDefault="008E589A" w:rsidP="008E589A">
      <w:pPr>
        <w:pStyle w:val="TextoNormalSangraFrancesa"/>
        <w:rPr>
          <w:rStyle w:val="TextoNormalCaracter"/>
        </w:rPr>
      </w:pPr>
      <w:r w:rsidRPr="008E589A">
        <w:rPr>
          <w:rStyle w:val="TextoNormalCursivaCaracter"/>
        </w:rPr>
        <w:t xml:space="preserve">    Requisitos, </w:t>
      </w:r>
      <w:r w:rsidRPr="008E589A">
        <w:rPr>
          <w:rStyle w:val="TextoNormalCaracter"/>
        </w:rPr>
        <w:t xml:space="preserve">Sentencia </w:t>
      </w:r>
      <w:hyperlink w:anchor="SENTENCIA_1997_115" w:history="1">
        <w:r w:rsidRPr="008E589A">
          <w:rPr>
            <w:rStyle w:val="TextoNormalCaracter"/>
          </w:rPr>
          <w:t>115/1997</w:t>
        </w:r>
      </w:hyperlink>
      <w:r w:rsidRPr="008E589A">
        <w:rPr>
          <w:rStyle w:val="TextoNormalCaracter"/>
        </w:rPr>
        <w:t>, f. 2.</w:t>
      </w:r>
    </w:p>
    <w:p w:rsidR="008E589A" w:rsidRPr="008E589A" w:rsidRDefault="008E589A" w:rsidP="008E589A">
      <w:pPr>
        <w:pStyle w:val="TextoNormalSangraFrancesa"/>
        <w:rPr>
          <w:rStyle w:val="TextoNormalCaracter"/>
        </w:rPr>
      </w:pPr>
      <w:bookmarkStart w:id="1081" w:name="DESCRIPTORALFABETICO342"/>
      <w:r w:rsidRPr="008E589A">
        <w:rPr>
          <w:rStyle w:val="TextoNormalNegritaCaracter"/>
        </w:rPr>
        <w:t>Suspensión de la vista</w:t>
      </w:r>
      <w:bookmarkEnd w:id="1081"/>
      <w:r w:rsidRPr="008E589A">
        <w:rPr>
          <w:rStyle w:val="TextoNormalCaracter"/>
        </w:rPr>
        <w:t xml:space="preserve">, Sentencia </w:t>
      </w:r>
      <w:hyperlink w:anchor="SENTENCIA_1997_114" w:history="1">
        <w:r w:rsidRPr="008E589A">
          <w:rPr>
            <w:rStyle w:val="TextoNormalCaracter"/>
          </w:rPr>
          <w:t>114/1997</w:t>
        </w:r>
      </w:hyperlink>
      <w:r w:rsidRPr="008E589A">
        <w:rPr>
          <w:rStyle w:val="TextoNormalCaracter"/>
        </w:rPr>
        <w:t>, f. 7.</w:t>
      </w:r>
    </w:p>
    <w:p w:rsidR="008E589A" w:rsidRPr="008E589A" w:rsidRDefault="008E589A" w:rsidP="008E589A">
      <w:pPr>
        <w:pStyle w:val="TextoNormalSangraFrancesa"/>
        <w:rPr>
          <w:rStyle w:val="TextoNormalNegritaCaracter"/>
        </w:rPr>
      </w:pPr>
      <w:r w:rsidRPr="008E589A">
        <w:rPr>
          <w:rStyle w:val="TextoNormalCursivaCaracter"/>
        </w:rPr>
        <w:t>Suspensión del juicio</w:t>
      </w:r>
      <w:r>
        <w:t xml:space="preserve"> véase </w:t>
      </w:r>
      <w:hyperlink w:anchor="DESCRIPTORALFABETICO342" w:history="1">
        <w:r w:rsidRPr="008E589A">
          <w:rPr>
            <w:rStyle w:val="TextoNormalNegritaCaracter"/>
          </w:rPr>
          <w:t>Suspensión de la vista</w:t>
        </w:r>
      </w:hyperlink>
    </w:p>
    <w:p w:rsidR="008E589A" w:rsidRPr="008E589A" w:rsidRDefault="008E589A" w:rsidP="008E589A">
      <w:pPr>
        <w:pStyle w:val="TextoNormalSangraFrancesa"/>
        <w:rPr>
          <w:rStyle w:val="TextoNormalCaracter"/>
        </w:rPr>
      </w:pPr>
      <w:bookmarkStart w:id="1082" w:name="DESCRIPTORALFABETICO205"/>
      <w:r w:rsidRPr="008E589A">
        <w:rPr>
          <w:rStyle w:val="TextoNormalNegritaCaracter"/>
        </w:rPr>
        <w:t>Sustituto del mandatario</w:t>
      </w:r>
      <w:bookmarkEnd w:id="1082"/>
      <w:r w:rsidRPr="008E589A">
        <w:rPr>
          <w:rStyle w:val="TextoNormalCaracter"/>
        </w:rPr>
        <w:t xml:space="preserve">, Sentencia </w:t>
      </w:r>
      <w:hyperlink w:anchor="SENTENCIA_1997_101" w:history="1">
        <w:r w:rsidRPr="008E589A">
          <w:rPr>
            <w:rStyle w:val="TextoNormalCaracter"/>
          </w:rPr>
          <w:t>101/1997</w:t>
        </w:r>
      </w:hyperlink>
      <w:r w:rsidRPr="008E589A">
        <w:rPr>
          <w:rStyle w:val="TextoNormalCaracter"/>
        </w:rPr>
        <w:t>, f. 3.</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T</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1083" w:name="DESCRIPTORALFABETICO22"/>
      <w:r w:rsidRPr="008E589A">
        <w:rPr>
          <w:rStyle w:val="TextoNormalNegritaCaracter"/>
        </w:rPr>
        <w:t>Tasa fiscal sobre el juego</w:t>
      </w:r>
      <w:bookmarkEnd w:id="1083"/>
      <w:r w:rsidRPr="008E589A">
        <w:rPr>
          <w:rStyle w:val="TextoNormalCaracter"/>
        </w:rPr>
        <w:t xml:space="preserve">, Sentencia </w:t>
      </w:r>
      <w:hyperlink w:anchor="SENTENCIA_1997_91" w:history="1">
        <w:r w:rsidRPr="008E589A">
          <w:rPr>
            <w:rStyle w:val="TextoNormalCaracter"/>
          </w:rPr>
          <w:t>91/1997</w:t>
        </w:r>
      </w:hyperlink>
      <w:r w:rsidRPr="008E589A">
        <w:rPr>
          <w:rStyle w:val="TextoNormalCaracter"/>
        </w:rPr>
        <w:t>, f. único.</w:t>
      </w:r>
    </w:p>
    <w:p w:rsidR="008E589A" w:rsidRPr="008E589A" w:rsidRDefault="008E589A" w:rsidP="008E589A">
      <w:pPr>
        <w:pStyle w:val="TextoNormalSangraFrancesa"/>
        <w:rPr>
          <w:rStyle w:val="TextoNormalCaracter"/>
        </w:rPr>
      </w:pPr>
      <w:bookmarkStart w:id="1084" w:name="DESCRIPTORALFABETICO232"/>
      <w:r w:rsidRPr="008E589A">
        <w:rPr>
          <w:rStyle w:val="TextoNormalNegritaCaracter"/>
        </w:rPr>
        <w:t>Televisión por cable</w:t>
      </w:r>
      <w:bookmarkEnd w:id="1084"/>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1085" w:name="DESCRIPTORALFABETICO233"/>
      <w:r w:rsidRPr="008E589A">
        <w:rPr>
          <w:rStyle w:val="TextoNormalNegritaCaracter"/>
        </w:rPr>
        <w:t>Televisión por satélite</w:t>
      </w:r>
      <w:bookmarkEnd w:id="1085"/>
      <w:r w:rsidRPr="008E589A">
        <w:rPr>
          <w:rStyle w:val="TextoNormalCaracter"/>
        </w:rPr>
        <w:t xml:space="preserve">, Auto </w:t>
      </w:r>
      <w:hyperlink w:anchor="AUTO_1997_291" w:history="1">
        <w:r w:rsidRPr="008E589A">
          <w:rPr>
            <w:rStyle w:val="TextoNormalCaracter"/>
          </w:rPr>
          <w:t>291/1997</w:t>
        </w:r>
      </w:hyperlink>
      <w:r w:rsidRPr="008E589A">
        <w:rPr>
          <w:rStyle w:val="TextoNormalCaracter"/>
        </w:rPr>
        <w:t>.</w:t>
      </w:r>
    </w:p>
    <w:p w:rsidR="008E589A" w:rsidRPr="008E589A" w:rsidRDefault="008E589A" w:rsidP="008E589A">
      <w:pPr>
        <w:pStyle w:val="TextoNormalSangraFrancesa"/>
        <w:rPr>
          <w:rStyle w:val="TextoNormalCaracter"/>
        </w:rPr>
      </w:pPr>
      <w:bookmarkStart w:id="1086" w:name="DESCRIPTORALFABETICO145"/>
      <w:r w:rsidRPr="008E589A">
        <w:rPr>
          <w:rStyle w:val="TextoNormalNegritaCaracter"/>
        </w:rPr>
        <w:t>Temporaneidad del recurso de amparo</w:t>
      </w:r>
      <w:bookmarkEnd w:id="1086"/>
      <w:r w:rsidRPr="008E589A">
        <w:rPr>
          <w:rStyle w:val="TextoNormalCaracter"/>
        </w:rPr>
        <w:t xml:space="preserve">, Auto </w:t>
      </w:r>
      <w:hyperlink w:anchor="AUTO_1997_130" w:history="1">
        <w:r w:rsidRPr="008E589A">
          <w:rPr>
            <w:rStyle w:val="TextoNormalCaracter"/>
          </w:rPr>
          <w:t>130/1997</w:t>
        </w:r>
      </w:hyperlink>
      <w:r w:rsidRPr="008E589A">
        <w:rPr>
          <w:rStyle w:val="TextoNormalCaracter"/>
        </w:rPr>
        <w:t>.</w:t>
      </w:r>
    </w:p>
    <w:p w:rsidR="008E589A" w:rsidRPr="008E589A" w:rsidRDefault="008E589A" w:rsidP="008E589A">
      <w:pPr>
        <w:pStyle w:val="TextoNormalSangraFrancesa"/>
        <w:rPr>
          <w:rStyle w:val="TextoNormalCaracter"/>
        </w:rPr>
      </w:pPr>
      <w:bookmarkStart w:id="1087" w:name="DESCRIPTORALFABETICO88"/>
      <w:r w:rsidRPr="008E589A">
        <w:rPr>
          <w:rStyle w:val="TextoNormalNegritaCaracter"/>
        </w:rPr>
        <w:t>Teoría general de los derechos fundamentales</w:t>
      </w:r>
      <w:bookmarkEnd w:id="1087"/>
      <w:r w:rsidRPr="008E589A">
        <w:rPr>
          <w:rStyle w:val="TextoNormalCaracter"/>
        </w:rPr>
        <w:t xml:space="preserve">, Sentencias </w:t>
      </w:r>
      <w:hyperlink w:anchor="SENTENCIA_1997_90" w:history="1">
        <w:r w:rsidRPr="008E589A">
          <w:rPr>
            <w:rStyle w:val="TextoNormalCaracter"/>
          </w:rPr>
          <w:t>90/1997</w:t>
        </w:r>
      </w:hyperlink>
      <w:r w:rsidRPr="008E589A">
        <w:rPr>
          <w:rStyle w:val="TextoNormalCaracter"/>
        </w:rPr>
        <w:t xml:space="preserve">, ff. 4, 5; </w:t>
      </w:r>
      <w:hyperlink w:anchor="SENTENCIA_1997_96" w:history="1">
        <w:r w:rsidRPr="008E589A">
          <w:rPr>
            <w:rStyle w:val="TextoNormalCaracter"/>
          </w:rPr>
          <w:t>96/1997</w:t>
        </w:r>
      </w:hyperlink>
      <w:r w:rsidRPr="008E589A">
        <w:rPr>
          <w:rStyle w:val="TextoNormalCaracter"/>
        </w:rPr>
        <w:t xml:space="preserve">, f. 5; </w:t>
      </w:r>
      <w:hyperlink w:anchor="SENTENCIA_1997_123" w:history="1">
        <w:r w:rsidRPr="008E589A">
          <w:rPr>
            <w:rStyle w:val="TextoNormalCaracter"/>
          </w:rPr>
          <w:t>123/1997</w:t>
        </w:r>
      </w:hyperlink>
      <w:r w:rsidRPr="008E589A">
        <w:rPr>
          <w:rStyle w:val="TextoNormalCaracter"/>
        </w:rPr>
        <w:t xml:space="preserve">, ff. 3, 4; </w:t>
      </w:r>
      <w:hyperlink w:anchor="SENTENCIA_1997_125" w:history="1">
        <w:r w:rsidRPr="008E589A">
          <w:rPr>
            <w:rStyle w:val="TextoNormalCaracter"/>
          </w:rPr>
          <w:t>125/1997</w:t>
        </w:r>
      </w:hyperlink>
      <w:r w:rsidRPr="008E589A">
        <w:rPr>
          <w:rStyle w:val="TextoNormalCaracter"/>
        </w:rPr>
        <w:t>, ff. 4, 5, VP I, VP II.</w:t>
      </w:r>
    </w:p>
    <w:p w:rsidR="008E589A" w:rsidRPr="008E589A" w:rsidRDefault="008E589A" w:rsidP="008E589A">
      <w:pPr>
        <w:pStyle w:val="TextoNormalSangraFrancesa"/>
        <w:rPr>
          <w:rStyle w:val="TextoNormalCaracter"/>
        </w:rPr>
      </w:pPr>
      <w:bookmarkStart w:id="1088" w:name="DESCRIPTORALFABETICO339"/>
      <w:r w:rsidRPr="008E589A">
        <w:rPr>
          <w:rStyle w:val="TextoNormalNegritaCaracter"/>
        </w:rPr>
        <w:t>Testigos de referencia</w:t>
      </w:r>
      <w:bookmarkEnd w:id="1088"/>
      <w:r w:rsidRPr="008E589A">
        <w:rPr>
          <w:rStyle w:val="TextoNormalCaracter"/>
        </w:rPr>
        <w:t xml:space="preserve">, Sentencia </w:t>
      </w:r>
      <w:hyperlink w:anchor="SENTENCIA_1997_131" w:history="1">
        <w:r w:rsidRPr="008E589A">
          <w:rPr>
            <w:rStyle w:val="TextoNormalCaracter"/>
          </w:rPr>
          <w:t>131/1997</w:t>
        </w:r>
      </w:hyperlink>
      <w:r w:rsidRPr="008E589A">
        <w:rPr>
          <w:rStyle w:val="TextoNormalCaracter"/>
        </w:rPr>
        <w:t>, ff. 2, 3.</w:t>
      </w:r>
    </w:p>
    <w:p w:rsidR="008E589A" w:rsidRPr="008E589A" w:rsidRDefault="008E589A" w:rsidP="008E589A">
      <w:pPr>
        <w:pStyle w:val="TextoNormalSangraFrancesa"/>
        <w:rPr>
          <w:rStyle w:val="TextoNormalCaracter"/>
        </w:rPr>
      </w:pPr>
      <w:bookmarkStart w:id="1089" w:name="DESCRIPTORALFABETICO190"/>
      <w:r w:rsidRPr="008E589A">
        <w:rPr>
          <w:rStyle w:val="TextoNormalNegritaCaracter"/>
        </w:rPr>
        <w:t>Tipificación</w:t>
      </w:r>
      <w:bookmarkEnd w:id="1089"/>
      <w:r w:rsidRPr="008E589A">
        <w:rPr>
          <w:rStyle w:val="TextoNormalCaracter"/>
        </w:rPr>
        <w:t xml:space="preserve">, Auto </w:t>
      </w:r>
      <w:hyperlink w:anchor="AUTO_1997_264" w:history="1">
        <w:r w:rsidRPr="008E589A">
          <w:rPr>
            <w:rStyle w:val="TextoNormalCaracter"/>
          </w:rPr>
          <w:t>264/1997</w:t>
        </w:r>
      </w:hyperlink>
      <w:r w:rsidRPr="008E589A">
        <w:rPr>
          <w:rStyle w:val="TextoNormalCaracter"/>
        </w:rPr>
        <w:t>.</w:t>
      </w:r>
    </w:p>
    <w:p w:rsidR="008E589A" w:rsidRPr="008E589A" w:rsidRDefault="008E589A" w:rsidP="008E589A">
      <w:pPr>
        <w:pStyle w:val="TextoNormalSangraFrancesa"/>
        <w:rPr>
          <w:rStyle w:val="TextoNormalCaracter"/>
        </w:rPr>
      </w:pPr>
      <w:bookmarkStart w:id="1090" w:name="DESCRIPTORALFABETICO7"/>
      <w:r w:rsidRPr="008E589A">
        <w:rPr>
          <w:rStyle w:val="TextoNormalNegritaCaracter"/>
        </w:rPr>
        <w:t>Títulos competenciales</w:t>
      </w:r>
      <w:bookmarkEnd w:id="1090"/>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Pr="008E589A" w:rsidRDefault="008E589A" w:rsidP="008E589A">
      <w:pPr>
        <w:pStyle w:val="TextoNormalSangraFrancesa"/>
        <w:rPr>
          <w:rStyle w:val="TextoNormalCaracter"/>
        </w:rPr>
      </w:pPr>
      <w:bookmarkStart w:id="1091" w:name="DESCRIPTORALFABETICO267"/>
      <w:r w:rsidRPr="008E589A">
        <w:rPr>
          <w:rStyle w:val="TextoNormalNegritaCaracter"/>
        </w:rPr>
        <w:t>Títulos nobiliarios</w:t>
      </w:r>
      <w:bookmarkEnd w:id="1091"/>
      <w:r w:rsidRPr="008E589A">
        <w:rPr>
          <w:rStyle w:val="TextoNormalCaracter"/>
        </w:rPr>
        <w:t xml:space="preserve">, Sentencia </w:t>
      </w:r>
      <w:hyperlink w:anchor="SENTENCIA_1997_126" w:history="1">
        <w:r w:rsidRPr="008E589A">
          <w:rPr>
            <w:rStyle w:val="TextoNormalCaracter"/>
          </w:rPr>
          <w:t>126/1997</w:t>
        </w:r>
      </w:hyperlink>
      <w:r w:rsidRPr="008E589A">
        <w:rPr>
          <w:rStyle w:val="TextoNormalCaracter"/>
        </w:rPr>
        <w:t>, ff. 8, 16, VP I.</w:t>
      </w:r>
    </w:p>
    <w:p w:rsidR="008E589A" w:rsidRPr="008E589A" w:rsidRDefault="008E589A" w:rsidP="008E589A">
      <w:pPr>
        <w:pStyle w:val="TextoNormalSangraFrancesa"/>
        <w:rPr>
          <w:rStyle w:val="TextoNormalCaracter"/>
        </w:rPr>
      </w:pPr>
      <w:r w:rsidRPr="008E589A">
        <w:rPr>
          <w:rStyle w:val="TextoNormalCursivaCaracter"/>
        </w:rPr>
        <w:t xml:space="preserve">    Concepto, </w:t>
      </w:r>
      <w:r w:rsidRPr="008E589A">
        <w:rPr>
          <w:rStyle w:val="TextoNormalCaracter"/>
        </w:rPr>
        <w:t xml:space="preserve">Sentencia </w:t>
      </w:r>
      <w:hyperlink w:anchor="SENTENCIA_1997_126" w:history="1">
        <w:r w:rsidRPr="008E589A">
          <w:rPr>
            <w:rStyle w:val="TextoNormalCaracter"/>
          </w:rPr>
          <w:t>126/1997</w:t>
        </w:r>
      </w:hyperlink>
      <w:r w:rsidRPr="008E589A">
        <w:rPr>
          <w:rStyle w:val="TextoNormalCaracter"/>
        </w:rPr>
        <w:t>, f. 12, VP I, VP II.</w:t>
      </w:r>
    </w:p>
    <w:p w:rsidR="008E589A" w:rsidRPr="008E589A" w:rsidRDefault="008E589A" w:rsidP="008E589A">
      <w:pPr>
        <w:pStyle w:val="TextoNormalSangraFrancesa"/>
        <w:rPr>
          <w:rStyle w:val="TextoNormalCaracter"/>
        </w:rPr>
      </w:pPr>
      <w:r w:rsidRPr="008E589A">
        <w:rPr>
          <w:rStyle w:val="TextoNormalCursivaCaracter"/>
        </w:rPr>
        <w:t xml:space="preserve">    Evolución histórica, </w:t>
      </w:r>
      <w:r w:rsidRPr="008E589A">
        <w:rPr>
          <w:rStyle w:val="TextoNormalCaracter"/>
        </w:rPr>
        <w:t xml:space="preserve">Sentencia </w:t>
      </w:r>
      <w:hyperlink w:anchor="SENTENCIA_1997_126" w:history="1">
        <w:r w:rsidRPr="008E589A">
          <w:rPr>
            <w:rStyle w:val="TextoNormalCaracter"/>
          </w:rPr>
          <w:t>126/1997</w:t>
        </w:r>
      </w:hyperlink>
      <w:r w:rsidRPr="008E589A">
        <w:rPr>
          <w:rStyle w:val="TextoNormalCaracter"/>
        </w:rPr>
        <w:t>, f. 11.</w:t>
      </w:r>
    </w:p>
    <w:p w:rsidR="008E589A" w:rsidRPr="008E589A" w:rsidRDefault="008E589A" w:rsidP="008E589A">
      <w:pPr>
        <w:pStyle w:val="TextoNormalSangraFrancesa"/>
        <w:rPr>
          <w:rStyle w:val="TextoNormalCaracter"/>
        </w:rPr>
      </w:pPr>
      <w:bookmarkStart w:id="1092" w:name="DESCRIPTORALFABETICO217"/>
      <w:r w:rsidRPr="008E589A">
        <w:rPr>
          <w:rStyle w:val="TextoNormalNegritaCaracter"/>
        </w:rPr>
        <w:t>Títulos profesionales como criterio retributivo</w:t>
      </w:r>
      <w:bookmarkEnd w:id="1092"/>
      <w:r w:rsidRPr="008E589A">
        <w:rPr>
          <w:rStyle w:val="TextoNormalCaracter"/>
        </w:rPr>
        <w:t xml:space="preserve">, Sentencia </w:t>
      </w:r>
      <w:hyperlink w:anchor="SENTENCIA_1997_96" w:history="1">
        <w:r w:rsidRPr="008E589A">
          <w:rPr>
            <w:rStyle w:val="TextoNormalCaracter"/>
          </w:rPr>
          <w:t>96/1997</w:t>
        </w:r>
      </w:hyperlink>
      <w:r w:rsidRPr="008E589A">
        <w:rPr>
          <w:rStyle w:val="TextoNormalCaracter"/>
        </w:rPr>
        <w:t>, f. 6.</w:t>
      </w:r>
    </w:p>
    <w:p w:rsidR="008E589A" w:rsidRPr="008E589A" w:rsidRDefault="008E589A" w:rsidP="008E589A">
      <w:pPr>
        <w:pStyle w:val="TextoNormalSangraFrancesa"/>
        <w:rPr>
          <w:rStyle w:val="TextoNormalCaracter"/>
        </w:rPr>
      </w:pPr>
      <w:bookmarkStart w:id="1093" w:name="DESCRIPTORALFABETICO281"/>
      <w:r w:rsidRPr="008E589A">
        <w:rPr>
          <w:rStyle w:val="TextoNormalNegritaCaracter"/>
        </w:rPr>
        <w:t>Trabajadores</w:t>
      </w:r>
      <w:bookmarkEnd w:id="1093"/>
      <w:r w:rsidRPr="008E589A">
        <w:rPr>
          <w:rStyle w:val="TextoNormalCaracter"/>
        </w:rPr>
        <w:t xml:space="preserve">, Sentencia </w:t>
      </w:r>
      <w:hyperlink w:anchor="SENTENCIA_1997_90" w:history="1">
        <w:r w:rsidRPr="008E589A">
          <w:rPr>
            <w:rStyle w:val="TextoNormalCaracter"/>
          </w:rPr>
          <w:t>90/1997</w:t>
        </w:r>
      </w:hyperlink>
      <w:r w:rsidRPr="008E589A">
        <w:rPr>
          <w:rStyle w:val="TextoNormalCaracter"/>
        </w:rPr>
        <w:t>, ff. 4, 5.</w:t>
      </w:r>
    </w:p>
    <w:p w:rsidR="008E589A" w:rsidRPr="008E589A" w:rsidRDefault="008E589A" w:rsidP="008E589A">
      <w:pPr>
        <w:pStyle w:val="TextoNormalSangraFrancesa"/>
        <w:rPr>
          <w:rStyle w:val="TextoNormalCaracter"/>
        </w:rPr>
      </w:pPr>
      <w:bookmarkStart w:id="1094" w:name="DESCRIPTORALFABETICO176"/>
      <w:r w:rsidRPr="008E589A">
        <w:rPr>
          <w:rStyle w:val="TextoNormalNegritaCaracter"/>
        </w:rPr>
        <w:t>Tramitación parlamentaria</w:t>
      </w:r>
      <w:bookmarkEnd w:id="1094"/>
      <w:r w:rsidRPr="008E589A">
        <w:rPr>
          <w:rStyle w:val="TextoNormalCaracter"/>
        </w:rPr>
        <w:t xml:space="preserve">, Auto </w:t>
      </w:r>
      <w:hyperlink w:anchor="AUTO_1997_240" w:history="1">
        <w:r w:rsidRPr="008E589A">
          <w:rPr>
            <w:rStyle w:val="TextoNormalCaracter"/>
          </w:rPr>
          <w:t>240/1997</w:t>
        </w:r>
      </w:hyperlink>
      <w:r w:rsidRPr="008E589A">
        <w:rPr>
          <w:rStyle w:val="TextoNormalCaracter"/>
        </w:rPr>
        <w:t>.</w:t>
      </w:r>
    </w:p>
    <w:p w:rsidR="008E589A" w:rsidRPr="008E589A" w:rsidRDefault="008E589A" w:rsidP="008E589A">
      <w:pPr>
        <w:pStyle w:val="TextoNormalSangraFrancesa"/>
        <w:rPr>
          <w:rStyle w:val="TextoNormalNegritaCaracter"/>
        </w:rPr>
      </w:pPr>
      <w:r w:rsidRPr="008E589A">
        <w:rPr>
          <w:rStyle w:val="TextoNormalCursivaCaracter"/>
        </w:rPr>
        <w:t>Trámite de audiencia en cuestión de inconstitucionalidad</w:t>
      </w:r>
      <w:r>
        <w:t xml:space="preserve"> véase </w:t>
      </w:r>
      <w:hyperlink w:anchor="DESCRIPTORALFABETICO118" w:history="1">
        <w:r w:rsidRPr="008E589A">
          <w:rPr>
            <w:rStyle w:val="TextoNormalNegritaCaracter"/>
          </w:rPr>
          <w:t>Audiencia previa a las partes</w:t>
        </w:r>
      </w:hyperlink>
    </w:p>
    <w:p w:rsidR="008E589A" w:rsidRPr="008E589A" w:rsidRDefault="008E589A" w:rsidP="008E589A">
      <w:pPr>
        <w:pStyle w:val="TextoNormalSangraFrancesa"/>
        <w:rPr>
          <w:rStyle w:val="TextoNormalCaracter"/>
        </w:rPr>
      </w:pPr>
      <w:bookmarkStart w:id="1095" w:name="DESCRIPTORALFABETICO423"/>
      <w:r w:rsidRPr="008E589A">
        <w:rPr>
          <w:rStyle w:val="TextoNormalNegritaCaracter"/>
        </w:rPr>
        <w:t>Trámite de audiencia previa en el proceso penal</w:t>
      </w:r>
      <w:bookmarkEnd w:id="1095"/>
      <w:r w:rsidRPr="008E589A">
        <w:rPr>
          <w:rStyle w:val="TextoNormalCaracter"/>
        </w:rPr>
        <w:t xml:space="preserve">, Auto </w:t>
      </w:r>
      <w:hyperlink w:anchor="AUTO_1997_277" w:history="1">
        <w:r w:rsidRPr="008E589A">
          <w:rPr>
            <w:rStyle w:val="TextoNormalCaracter"/>
          </w:rPr>
          <w:t>277/1997</w:t>
        </w:r>
      </w:hyperlink>
      <w:r w:rsidRPr="008E589A">
        <w:rPr>
          <w:rStyle w:val="TextoNormalCaracter"/>
        </w:rPr>
        <w:t>.</w:t>
      </w:r>
    </w:p>
    <w:p w:rsidR="008E589A" w:rsidRPr="008E589A" w:rsidRDefault="008E589A" w:rsidP="008E589A">
      <w:pPr>
        <w:pStyle w:val="TextoNormalSangraFrancesa"/>
        <w:rPr>
          <w:rStyle w:val="TextoNormalCaracter"/>
        </w:rPr>
      </w:pPr>
      <w:bookmarkStart w:id="1096" w:name="DESCRIPTORALFABETICO34"/>
      <w:r w:rsidRPr="008E589A">
        <w:rPr>
          <w:rStyle w:val="TextoNormalNegritaCaracter"/>
        </w:rPr>
        <w:t>Tratamiento diferenciado</w:t>
      </w:r>
      <w:bookmarkEnd w:id="1096"/>
      <w:r w:rsidRPr="008E589A">
        <w:rPr>
          <w:rStyle w:val="TextoNormalCaracter"/>
        </w:rPr>
        <w:t xml:space="preserve">, Sentencia </w:t>
      </w:r>
      <w:hyperlink w:anchor="SENTENCIA_1997_96" w:history="1">
        <w:r w:rsidRPr="008E589A">
          <w:rPr>
            <w:rStyle w:val="TextoNormalCaracter"/>
          </w:rPr>
          <w:t>96/1997</w:t>
        </w:r>
      </w:hyperlink>
      <w:r w:rsidRPr="008E589A">
        <w:rPr>
          <w:rStyle w:val="TextoNormalCaracter"/>
        </w:rPr>
        <w:t>, f. 3.</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U</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1097" w:name="DESCRIPTORALFABETICO17"/>
      <w:r w:rsidRPr="008E589A">
        <w:rPr>
          <w:rStyle w:val="TextoNormalNegritaCaracter"/>
        </w:rPr>
        <w:t>Unidad del orden económico</w:t>
      </w:r>
      <w:bookmarkEnd w:id="1097"/>
      <w:r w:rsidRPr="008E589A">
        <w:rPr>
          <w:rStyle w:val="TextoNormalCaracter"/>
        </w:rPr>
        <w:t xml:space="preserve">, Sentencia </w:t>
      </w:r>
      <w:hyperlink w:anchor="SENTENCIA_1997_133" w:history="1">
        <w:r w:rsidRPr="008E589A">
          <w:rPr>
            <w:rStyle w:val="TextoNormalCaracter"/>
          </w:rPr>
          <w:t>133/1997</w:t>
        </w:r>
      </w:hyperlink>
      <w:r w:rsidRPr="008E589A">
        <w:rPr>
          <w:rStyle w:val="TextoNormalCaracter"/>
        </w:rPr>
        <w:t>, f. 4.</w:t>
      </w:r>
    </w:p>
    <w:p w:rsidR="008E589A" w:rsidRDefault="008E589A" w:rsidP="008E589A">
      <w:pPr>
        <w:pStyle w:val="TextoNormalSangraFrancesa"/>
      </w:pPr>
    </w:p>
    <w:p w:rsidR="008E589A" w:rsidRDefault="008E589A" w:rsidP="008E589A">
      <w:pPr>
        <w:pStyle w:val="TextoNormalSangraFrancesa"/>
      </w:pPr>
    </w:p>
    <w:p w:rsidR="008E589A" w:rsidRDefault="008E589A" w:rsidP="008E589A">
      <w:pPr>
        <w:pStyle w:val="TextoNormalNegritaCentrado"/>
      </w:pPr>
      <w:r>
        <w:t>V</w:t>
      </w:r>
    </w:p>
    <w:p w:rsidR="008E589A" w:rsidRDefault="008E589A" w:rsidP="008E589A">
      <w:pPr>
        <w:pStyle w:val="TextoNormalNegritaCentrado"/>
      </w:pPr>
    </w:p>
    <w:p w:rsidR="008E589A" w:rsidRDefault="008E589A" w:rsidP="008E589A">
      <w:pPr>
        <w:pStyle w:val="TextoNormalNegritaCentrado"/>
      </w:pPr>
    </w:p>
    <w:p w:rsidR="008E589A" w:rsidRDefault="008E589A" w:rsidP="008E589A">
      <w:pPr>
        <w:pStyle w:val="TextoNormalNegritaCentrado"/>
      </w:pPr>
    </w:p>
    <w:p w:rsidR="008E589A" w:rsidRPr="008E589A" w:rsidRDefault="008E589A" w:rsidP="008E589A">
      <w:pPr>
        <w:pStyle w:val="TextoNormalSangraFrancesa"/>
        <w:rPr>
          <w:rStyle w:val="TextoNormalCaracter"/>
        </w:rPr>
      </w:pPr>
      <w:bookmarkStart w:id="1098" w:name="DESCRIPTORALFABETICO341"/>
      <w:r w:rsidRPr="008E589A">
        <w:rPr>
          <w:rStyle w:val="TextoNormalNegritaCaracter"/>
        </w:rPr>
        <w:t>Valoración por el Juez civil del relato de hechos contenido en sentencia penal</w:t>
      </w:r>
      <w:bookmarkEnd w:id="1098"/>
      <w:r w:rsidRPr="008E589A">
        <w:rPr>
          <w:rStyle w:val="TextoNormalCaracter"/>
        </w:rPr>
        <w:t xml:space="preserve">, Sentencia </w:t>
      </w:r>
      <w:hyperlink w:anchor="SENTENCIA_1997_89" w:history="1">
        <w:r w:rsidRPr="008E589A">
          <w:rPr>
            <w:rStyle w:val="TextoNormalCaracter"/>
          </w:rPr>
          <w:t>89/1997</w:t>
        </w:r>
      </w:hyperlink>
      <w:r w:rsidRPr="008E589A">
        <w:rPr>
          <w:rStyle w:val="TextoNormalCaracter"/>
        </w:rPr>
        <w:t>, f. 4.</w:t>
      </w:r>
    </w:p>
    <w:p w:rsidR="008E589A" w:rsidRPr="008E589A" w:rsidRDefault="008E589A" w:rsidP="008E589A">
      <w:pPr>
        <w:pStyle w:val="TextoNormalSangraFrancesa"/>
        <w:rPr>
          <w:rStyle w:val="TextoNormalNegritaCaracter"/>
        </w:rPr>
      </w:pPr>
      <w:r w:rsidRPr="008E589A">
        <w:rPr>
          <w:rStyle w:val="TextoNormalCursivaCaracter"/>
        </w:rPr>
        <w:t>Vista oral</w:t>
      </w:r>
      <w:r>
        <w:t xml:space="preserve"> véase </w:t>
      </w:r>
      <w:hyperlink w:anchor="DESCRIPTORALFABETICO412" w:history="1">
        <w:r w:rsidRPr="008E589A">
          <w:rPr>
            <w:rStyle w:val="TextoNormalNegritaCaracter"/>
          </w:rPr>
          <w:t>Juicio oral</w:t>
        </w:r>
      </w:hyperlink>
    </w:p>
    <w:p w:rsidR="008E589A" w:rsidRPr="008E589A" w:rsidRDefault="008E589A" w:rsidP="008E589A">
      <w:pPr>
        <w:pStyle w:val="TextoNormalSangraFrancesa"/>
        <w:rPr>
          <w:rStyle w:val="TextoNormalCaracter"/>
        </w:rPr>
      </w:pPr>
      <w:bookmarkStart w:id="1099" w:name="DESCRIPTORALFABETICO158"/>
      <w:r w:rsidRPr="008E589A">
        <w:rPr>
          <w:rStyle w:val="TextoNormalNegritaCaracter"/>
        </w:rPr>
        <w:t>Voto particular, formulado uno</w:t>
      </w:r>
      <w:bookmarkEnd w:id="1099"/>
      <w:r w:rsidRPr="008E589A">
        <w:rPr>
          <w:rStyle w:val="TextoNormalCaracter"/>
        </w:rPr>
        <w:t xml:space="preserve">, Sentencias </w:t>
      </w:r>
      <w:hyperlink w:anchor="SENTENCIA_1997_98" w:history="1">
        <w:r w:rsidRPr="008E589A">
          <w:rPr>
            <w:rStyle w:val="TextoNormalCaracter"/>
          </w:rPr>
          <w:t>98/1997</w:t>
        </w:r>
      </w:hyperlink>
      <w:r w:rsidRPr="008E589A">
        <w:rPr>
          <w:rStyle w:val="TextoNormalCaracter"/>
        </w:rPr>
        <w:t xml:space="preserve">; </w:t>
      </w:r>
      <w:hyperlink w:anchor="SENTENCIA_1997_118" w:history="1">
        <w:r w:rsidRPr="008E589A">
          <w:rPr>
            <w:rStyle w:val="TextoNormalCaracter"/>
          </w:rPr>
          <w:t>118/1997</w:t>
        </w:r>
      </w:hyperlink>
      <w:r w:rsidRPr="008E589A">
        <w:rPr>
          <w:rStyle w:val="TextoNormalCaracter"/>
        </w:rPr>
        <w:t xml:space="preserve">; </w:t>
      </w:r>
      <w:hyperlink w:anchor="SENTENCIA_1997_128" w:history="1">
        <w:r w:rsidRPr="008E589A">
          <w:rPr>
            <w:rStyle w:val="TextoNormalCaracter"/>
          </w:rPr>
          <w:t>128/1997</w:t>
        </w:r>
      </w:hyperlink>
      <w:r w:rsidRPr="008E589A">
        <w:rPr>
          <w:rStyle w:val="TextoNormalCaracter"/>
        </w:rPr>
        <w:t xml:space="preserve">; </w:t>
      </w:r>
      <w:hyperlink w:anchor="SENTENCIA_1997_132" w:history="1">
        <w:r w:rsidRPr="008E589A">
          <w:rPr>
            <w:rStyle w:val="TextoNormalCaracter"/>
          </w:rPr>
          <w:t>132/1997</w:t>
        </w:r>
      </w:hyperlink>
      <w:r w:rsidRPr="008E589A">
        <w:rPr>
          <w:rStyle w:val="TextoNormalCaracter"/>
        </w:rPr>
        <w:t>.</w:t>
      </w:r>
    </w:p>
    <w:p w:rsidR="008E589A" w:rsidRPr="008E589A" w:rsidRDefault="008E589A" w:rsidP="008E589A">
      <w:pPr>
        <w:pStyle w:val="TextoNormalSangraFrancesa"/>
        <w:rPr>
          <w:rStyle w:val="TextoNormalCaracter"/>
        </w:rPr>
      </w:pPr>
      <w:r w:rsidRPr="008E589A">
        <w:rPr>
          <w:rStyle w:val="TextoNormalCaracter"/>
        </w:rPr>
        <w:t xml:space="preserve">    Auto </w:t>
      </w:r>
      <w:hyperlink w:anchor="AUTO_1997_222" w:history="1">
        <w:r w:rsidRPr="008E589A">
          <w:rPr>
            <w:rStyle w:val="TextoNormalCaracter"/>
          </w:rPr>
          <w:t>222/1997</w:t>
        </w:r>
      </w:hyperlink>
      <w:r w:rsidRPr="008E589A">
        <w:rPr>
          <w:rStyle w:val="TextoNormalCaracter"/>
        </w:rPr>
        <w:t>.</w:t>
      </w:r>
    </w:p>
    <w:p w:rsidR="008E589A" w:rsidRPr="008E589A" w:rsidRDefault="008E589A" w:rsidP="008E589A">
      <w:pPr>
        <w:pStyle w:val="TextoNormalSangraFrancesa"/>
        <w:rPr>
          <w:rStyle w:val="TextoNormalCaracter"/>
        </w:rPr>
      </w:pPr>
      <w:bookmarkStart w:id="1100" w:name="DESCRIPTORALFABETICO159"/>
      <w:r w:rsidRPr="008E589A">
        <w:rPr>
          <w:rStyle w:val="TextoNormalNegritaCaracter"/>
        </w:rPr>
        <w:t xml:space="preserve">Votos particulares, formulados dos </w:t>
      </w:r>
      <w:bookmarkEnd w:id="1100"/>
      <w:r w:rsidRPr="008E589A">
        <w:rPr>
          <w:rStyle w:val="TextoNormalCaracter"/>
        </w:rPr>
        <w:t xml:space="preserve">, Sentencias </w:t>
      </w:r>
      <w:hyperlink w:anchor="SENTENCIA_1997_125" w:history="1">
        <w:r w:rsidRPr="008E589A">
          <w:rPr>
            <w:rStyle w:val="TextoNormalCaracter"/>
          </w:rPr>
          <w:t>125/1997</w:t>
        </w:r>
      </w:hyperlink>
      <w:r w:rsidRPr="008E589A">
        <w:rPr>
          <w:rStyle w:val="TextoNormalCaracter"/>
        </w:rPr>
        <w:t xml:space="preserve">; </w:t>
      </w:r>
      <w:hyperlink w:anchor="SENTENCIA_1997_126" w:history="1">
        <w:r w:rsidRPr="008E589A">
          <w:rPr>
            <w:rStyle w:val="TextoNormalCaracter"/>
          </w:rPr>
          <w:t>126/1997</w:t>
        </w:r>
      </w:hyperlink>
      <w:r w:rsidRPr="008E589A">
        <w:rPr>
          <w:rStyle w:val="TextoNormalCaracter"/>
        </w:rPr>
        <w:t>.</w:t>
      </w:r>
    </w:p>
    <w:p w:rsidR="008E589A" w:rsidRDefault="008E589A">
      <w:pPr>
        <w:rPr>
          <w:rFonts w:ascii="Times New Roman" w:eastAsia="Times New Roman" w:hAnsi="Times New Roman" w:cs="Times New Roman"/>
          <w:sz w:val="24"/>
          <w:szCs w:val="24"/>
          <w:lang w:eastAsia="es-ES"/>
        </w:rPr>
      </w:pPr>
      <w:r>
        <w:br w:type="page"/>
      </w:r>
    </w:p>
    <w:p w:rsidR="008E589A" w:rsidRDefault="008E589A" w:rsidP="008E589A">
      <w:pPr>
        <w:pStyle w:val="TextoNormalSangraFrancesa"/>
      </w:pPr>
    </w:p>
    <w:p w:rsidR="0004239B" w:rsidRDefault="0004239B" w:rsidP="0004239B">
      <w:pPr>
        <w:pStyle w:val="TextoNormalSangraFrancesa"/>
      </w:pPr>
    </w:p>
    <w:p w:rsidR="0004239B" w:rsidRDefault="0004239B" w:rsidP="0004239B">
      <w:pPr>
        <w:pStyle w:val="TextoNormalSangraFrancesa"/>
      </w:pPr>
    </w:p>
    <w:p w:rsidR="0004239B" w:rsidRDefault="0004239B" w:rsidP="0004239B">
      <w:pPr>
        <w:pStyle w:val="TextoNormalSangraFrancesa"/>
      </w:pPr>
    </w:p>
    <w:p w:rsidR="0004239B" w:rsidRDefault="0004239B" w:rsidP="0004239B">
      <w:pPr>
        <w:pStyle w:val="TextoNormalSangraFrancesa"/>
      </w:pPr>
    </w:p>
    <w:p w:rsidR="0004239B" w:rsidRDefault="0004239B" w:rsidP="0004239B">
      <w:pPr>
        <w:pStyle w:val="TextoNormalSangraFrancesa"/>
      </w:pPr>
    </w:p>
    <w:p w:rsidR="0004239B" w:rsidRDefault="0004239B" w:rsidP="0004239B">
      <w:pPr>
        <w:pStyle w:val="TextoNormalSangraFrancesa"/>
      </w:pPr>
    </w:p>
    <w:p w:rsidR="0004239B" w:rsidRDefault="0004239B" w:rsidP="0004239B">
      <w:pPr>
        <w:pStyle w:val="TextoNormalSangraFrancesa"/>
      </w:pPr>
    </w:p>
    <w:p w:rsidR="0004239B" w:rsidRDefault="0004239B" w:rsidP="0004239B">
      <w:pPr>
        <w:pStyle w:val="Ttulondice"/>
      </w:pPr>
      <w:bookmarkStart w:id="1101" w:name="ACRONIMOS"/>
      <w:r>
        <w:t>8. ABREVIATURAS Y ACRÓNIMOS</w:t>
      </w:r>
    </w:p>
    <w:bookmarkEnd w:id="1101"/>
    <w:p w:rsidR="0004239B" w:rsidRDefault="0004239B" w:rsidP="0004239B">
      <w:pPr>
        <w:pStyle w:val="Ttulondice"/>
      </w:pPr>
    </w:p>
    <w:p w:rsidR="0004239B" w:rsidRDefault="0004239B" w:rsidP="0004239B">
      <w:pPr>
        <w:pStyle w:val="Ttulondice"/>
      </w:pPr>
    </w:p>
    <w:p w:rsidR="0004239B" w:rsidRDefault="0004239B" w:rsidP="0004239B">
      <w:pPr>
        <w:pStyle w:val="Ttulondice"/>
      </w:pPr>
    </w:p>
    <w:p w:rsidR="0004239B" w:rsidRDefault="0004239B" w:rsidP="0004239B">
      <w:pPr>
        <w:pStyle w:val="Ttulondice"/>
      </w:pPr>
    </w:p>
    <w:p w:rsidR="0004239B" w:rsidRDefault="0004239B" w:rsidP="0004239B">
      <w:pPr>
        <w:pStyle w:val="TextoAbreviaturas"/>
      </w:pPr>
      <w:r>
        <w:t>ATC</w:t>
      </w:r>
      <w:r>
        <w:tab/>
        <w:t>Auto del Tribunal Constitucional</w:t>
      </w:r>
    </w:p>
    <w:p w:rsidR="0004239B" w:rsidRDefault="0004239B" w:rsidP="0004239B">
      <w:pPr>
        <w:pStyle w:val="TextoAbreviaturas"/>
      </w:pPr>
      <w:r>
        <w:t>AATC</w:t>
      </w:r>
      <w:r>
        <w:tab/>
        <w:t>Autos del Tribunal Constitucional</w:t>
      </w:r>
    </w:p>
    <w:p w:rsidR="0004239B" w:rsidRDefault="0004239B" w:rsidP="0004239B">
      <w:pPr>
        <w:pStyle w:val="TextoAbreviaturas"/>
      </w:pPr>
      <w:r>
        <w:t>AATS</w:t>
      </w:r>
      <w:r>
        <w:tab/>
        <w:t>Autos del Tribunal Supremo</w:t>
      </w:r>
    </w:p>
    <w:p w:rsidR="0004239B" w:rsidRDefault="0004239B" w:rsidP="0004239B">
      <w:pPr>
        <w:pStyle w:val="TextoAbreviaturas"/>
      </w:pPr>
      <w:r>
        <w:t>BOE</w:t>
      </w:r>
      <w:r>
        <w:tab/>
        <w:t>Boletín Oficial del Estado</w:t>
      </w:r>
    </w:p>
    <w:p w:rsidR="0004239B" w:rsidRDefault="0004239B" w:rsidP="0004239B">
      <w:pPr>
        <w:pStyle w:val="TextoAbreviaturas"/>
      </w:pPr>
      <w:r>
        <w:t>BOJA</w:t>
      </w:r>
      <w:r>
        <w:tab/>
        <w:t>Boletín Oficial de la Junta de Andalucía</w:t>
      </w:r>
    </w:p>
    <w:p w:rsidR="0004239B" w:rsidRDefault="0004239B" w:rsidP="0004239B">
      <w:pPr>
        <w:pStyle w:val="TextoAbreviaturas"/>
      </w:pPr>
      <w:r>
        <w:t>CAJG</w:t>
      </w:r>
      <w:r>
        <w:tab/>
        <w:t>Comisión de asistencia jurídica gratuita</w:t>
      </w:r>
    </w:p>
    <w:p w:rsidR="0004239B" w:rsidRDefault="0004239B" w:rsidP="0004239B">
      <w:pPr>
        <w:pStyle w:val="TextoAbreviaturas"/>
      </w:pPr>
      <w:r>
        <w:t>CC</w:t>
      </w:r>
      <w:r>
        <w:tab/>
        <w:t>Código civil</w:t>
      </w:r>
    </w:p>
    <w:p w:rsidR="0004239B" w:rsidRDefault="0004239B" w:rsidP="0004239B">
      <w:pPr>
        <w:pStyle w:val="TextoAbreviaturas"/>
      </w:pPr>
      <w:r>
        <w:t>CCOO</w:t>
      </w:r>
      <w:r>
        <w:tab/>
        <w:t>Comisiones Obreras</w:t>
      </w:r>
    </w:p>
    <w:p w:rsidR="0004239B" w:rsidRDefault="0004239B" w:rsidP="0004239B">
      <w:pPr>
        <w:pStyle w:val="TextoAbreviaturas"/>
      </w:pPr>
      <w:r>
        <w:t>CE</w:t>
      </w:r>
      <w:r>
        <w:tab/>
        <w:t>Constitución española</w:t>
      </w:r>
    </w:p>
    <w:p w:rsidR="0004239B" w:rsidRDefault="0004239B" w:rsidP="0004239B">
      <w:pPr>
        <w:pStyle w:val="TextoAbreviaturas"/>
      </w:pPr>
      <w:r>
        <w:t>CEDH</w:t>
      </w:r>
      <w:r>
        <w:tab/>
        <w:t>Convenio europeo para la protección de los derechos humanos y de las libertades fundamentales</w:t>
      </w:r>
    </w:p>
    <w:p w:rsidR="0004239B" w:rsidRDefault="0004239B" w:rsidP="0004239B">
      <w:pPr>
        <w:pStyle w:val="TextoAbreviaturas"/>
      </w:pPr>
      <w:r>
        <w:t>CEE</w:t>
      </w:r>
      <w:r>
        <w:tab/>
        <w:t>Comunidad Económica Europea</w:t>
      </w:r>
    </w:p>
    <w:p w:rsidR="0004239B" w:rsidRDefault="0004239B" w:rsidP="0004239B">
      <w:pPr>
        <w:pStyle w:val="TextoAbreviaturas"/>
      </w:pPr>
      <w:r>
        <w:t>CGPJ</w:t>
      </w:r>
      <w:r>
        <w:tab/>
        <w:t>Consejo General del Poder Judicial</w:t>
      </w:r>
    </w:p>
    <w:p w:rsidR="0004239B" w:rsidRDefault="0004239B" w:rsidP="0004239B">
      <w:pPr>
        <w:pStyle w:val="TextoAbreviaturas"/>
      </w:pPr>
      <w:r>
        <w:t>CP</w:t>
      </w:r>
      <w:r>
        <w:tab/>
        <w:t>Código penal</w:t>
      </w:r>
    </w:p>
    <w:p w:rsidR="0004239B" w:rsidRDefault="0004239B" w:rsidP="0004239B">
      <w:pPr>
        <w:pStyle w:val="TextoAbreviaturas"/>
      </w:pPr>
      <w:r>
        <w:t>EAC</w:t>
      </w:r>
      <w:r>
        <w:tab/>
        <w:t>Estatuto de Autonomía de Cataluña</w:t>
      </w:r>
    </w:p>
    <w:p w:rsidR="0004239B" w:rsidRDefault="0004239B" w:rsidP="0004239B">
      <w:pPr>
        <w:pStyle w:val="TextoAbreviaturas"/>
      </w:pPr>
      <w:r>
        <w:t>EAPV</w:t>
      </w:r>
      <w:r>
        <w:tab/>
        <w:t>Estatuto de Autonomía para el País Vasco</w:t>
      </w:r>
    </w:p>
    <w:p w:rsidR="0004239B" w:rsidRDefault="0004239B" w:rsidP="0004239B">
      <w:pPr>
        <w:pStyle w:val="TextoAbreviaturas"/>
      </w:pPr>
      <w:r>
        <w:t>ESO</w:t>
      </w:r>
      <w:r>
        <w:tab/>
        <w:t>Enseñanza Secundaria Obligatoria</w:t>
      </w:r>
    </w:p>
    <w:p w:rsidR="0004239B" w:rsidRDefault="0004239B" w:rsidP="0004239B">
      <w:pPr>
        <w:pStyle w:val="TextoAbreviaturas"/>
      </w:pPr>
      <w:r>
        <w:t>ETA</w:t>
      </w:r>
      <w:r>
        <w:tab/>
        <w:t>Euskadi Ta Askatasuna</w:t>
      </w:r>
    </w:p>
    <w:p w:rsidR="0004239B" w:rsidRDefault="0004239B" w:rsidP="0004239B">
      <w:pPr>
        <w:pStyle w:val="TextoAbreviaturas"/>
      </w:pPr>
      <w:r>
        <w:t>FFJJ</w:t>
      </w:r>
      <w:r>
        <w:tab/>
        <w:t>Fundamentos jurídicos</w:t>
      </w:r>
    </w:p>
    <w:p w:rsidR="0004239B" w:rsidRDefault="0004239B" w:rsidP="0004239B">
      <w:pPr>
        <w:pStyle w:val="TextoAbreviaturas"/>
      </w:pPr>
      <w:r>
        <w:t>IAE</w:t>
      </w:r>
      <w:r>
        <w:tab/>
        <w:t>Impuesto sobre actividades económicas</w:t>
      </w:r>
    </w:p>
    <w:p w:rsidR="0004239B" w:rsidRDefault="0004239B" w:rsidP="0004239B">
      <w:pPr>
        <w:pStyle w:val="TextoAbreviaturas"/>
      </w:pPr>
      <w:r>
        <w:t>INSALUD</w:t>
      </w:r>
      <w:r>
        <w:tab/>
        <w:t>Instituto Nacional de la Salud</w:t>
      </w:r>
    </w:p>
    <w:p w:rsidR="0004239B" w:rsidRDefault="0004239B" w:rsidP="0004239B">
      <w:pPr>
        <w:pStyle w:val="TextoAbreviaturas"/>
      </w:pPr>
      <w:r>
        <w:t>INSS</w:t>
      </w:r>
      <w:r>
        <w:tab/>
        <w:t>Instituto Nacional de la Seguridad Social</w:t>
      </w:r>
    </w:p>
    <w:p w:rsidR="0004239B" w:rsidRDefault="0004239B" w:rsidP="0004239B">
      <w:pPr>
        <w:pStyle w:val="TextoAbreviaturas"/>
      </w:pPr>
      <w:r>
        <w:t>IRPF</w:t>
      </w:r>
      <w:r>
        <w:tab/>
        <w:t>Impuesto sobre la renta de las personas físicas</w:t>
      </w:r>
    </w:p>
    <w:p w:rsidR="0004239B" w:rsidRDefault="0004239B" w:rsidP="0004239B">
      <w:pPr>
        <w:pStyle w:val="TextoAbreviaturas"/>
      </w:pPr>
      <w:r>
        <w:t>LAJG</w:t>
      </w:r>
      <w:r>
        <w:tab/>
        <w:t>Ley de asistencia jurídica gratuita</w:t>
      </w:r>
    </w:p>
    <w:p w:rsidR="0004239B" w:rsidRDefault="0004239B" w:rsidP="0004239B">
      <w:pPr>
        <w:pStyle w:val="TextoAbreviaturas"/>
      </w:pPr>
      <w:r>
        <w:t>LAU</w:t>
      </w:r>
      <w:r>
        <w:tab/>
        <w:t>Ley de arrendamientos urbanos</w:t>
      </w:r>
    </w:p>
    <w:p w:rsidR="0004239B" w:rsidRDefault="0004239B" w:rsidP="0004239B">
      <w:pPr>
        <w:pStyle w:val="TextoAbreviaturas"/>
      </w:pPr>
      <w:r>
        <w:t>LEC</w:t>
      </w:r>
      <w:r>
        <w:tab/>
        <w:t>Ley de enjuiciamiento civil</w:t>
      </w:r>
    </w:p>
    <w:p w:rsidR="0004239B" w:rsidRDefault="0004239B" w:rsidP="0004239B">
      <w:pPr>
        <w:pStyle w:val="TextoAbreviaturas"/>
      </w:pPr>
      <w:r>
        <w:t>LEP</w:t>
      </w:r>
      <w:r>
        <w:tab/>
        <w:t>Ley de extradición pasiva</w:t>
      </w:r>
    </w:p>
    <w:p w:rsidR="0004239B" w:rsidRDefault="0004239B" w:rsidP="0004239B">
      <w:pPr>
        <w:pStyle w:val="TextoAbreviaturas"/>
      </w:pPr>
      <w:r>
        <w:t>LGT</w:t>
      </w:r>
      <w:r>
        <w:tab/>
        <w:t>Ley general tributaria</w:t>
      </w:r>
    </w:p>
    <w:p w:rsidR="0004239B" w:rsidRDefault="0004239B" w:rsidP="0004239B">
      <w:pPr>
        <w:pStyle w:val="TextoAbreviaturas"/>
      </w:pPr>
      <w:r>
        <w:t>LH</w:t>
      </w:r>
      <w:r>
        <w:tab/>
        <w:t>Ley hipotecaria</w:t>
      </w:r>
    </w:p>
    <w:p w:rsidR="0004239B" w:rsidRDefault="0004239B" w:rsidP="0004239B">
      <w:pPr>
        <w:pStyle w:val="TextoAbreviaturas"/>
      </w:pPr>
      <w:r>
        <w:t>LJCA</w:t>
      </w:r>
      <w:r>
        <w:tab/>
        <w:t>Ley reguladora de la jurisdicción contencioso-administrativa</w:t>
      </w:r>
    </w:p>
    <w:p w:rsidR="0004239B" w:rsidRDefault="0004239B" w:rsidP="0004239B">
      <w:pPr>
        <w:pStyle w:val="TextoAbreviaturas"/>
      </w:pPr>
      <w:r>
        <w:t>LODE</w:t>
      </w:r>
      <w:r>
        <w:tab/>
        <w:t>Ley Orgánica del derecho a la educación</w:t>
      </w:r>
    </w:p>
    <w:p w:rsidR="0004239B" w:rsidRDefault="0004239B" w:rsidP="0004239B">
      <w:pPr>
        <w:pStyle w:val="TextoAbreviaturas"/>
      </w:pPr>
      <w:r>
        <w:t>LOFCA</w:t>
      </w:r>
      <w:r>
        <w:tab/>
        <w:t>Ley Orgánica de financiación de las Comunidades Autónomas</w:t>
      </w:r>
    </w:p>
    <w:p w:rsidR="0004239B" w:rsidRDefault="0004239B" w:rsidP="0004239B">
      <w:pPr>
        <w:pStyle w:val="TextoAbreviaturas"/>
      </w:pPr>
      <w:r>
        <w:lastRenderedPageBreak/>
        <w:t>LOLS</w:t>
      </w:r>
      <w:r>
        <w:tab/>
        <w:t>Ley Orgánica de libertad sindical</w:t>
      </w:r>
    </w:p>
    <w:p w:rsidR="0004239B" w:rsidRDefault="0004239B" w:rsidP="0004239B">
      <w:pPr>
        <w:pStyle w:val="TextoAbreviaturas"/>
      </w:pPr>
      <w:r>
        <w:t>LOPJ</w:t>
      </w:r>
      <w:r>
        <w:tab/>
        <w:t>Ley Orgánica del Poder Judicial</w:t>
      </w:r>
    </w:p>
    <w:p w:rsidR="0004239B" w:rsidRDefault="0004239B" w:rsidP="0004239B">
      <w:pPr>
        <w:pStyle w:val="TextoAbreviaturas"/>
      </w:pPr>
      <w:r>
        <w:t>LOTC</w:t>
      </w:r>
      <w:r>
        <w:tab/>
        <w:t>Ley Orgánica del Tribunal Constitucional</w:t>
      </w:r>
    </w:p>
    <w:p w:rsidR="0004239B" w:rsidRDefault="0004239B" w:rsidP="0004239B">
      <w:pPr>
        <w:pStyle w:val="TextoAbreviaturas"/>
      </w:pPr>
      <w:r>
        <w:t>LOTJ</w:t>
      </w:r>
      <w:r>
        <w:tab/>
        <w:t>Ley Orgánica del Tribunal del Jurado</w:t>
      </w:r>
    </w:p>
    <w:p w:rsidR="0004239B" w:rsidRDefault="0004239B" w:rsidP="0004239B">
      <w:pPr>
        <w:pStyle w:val="TextoAbreviaturas"/>
      </w:pPr>
      <w:r>
        <w:t>LPA</w:t>
      </w:r>
      <w:r>
        <w:tab/>
        <w:t>Ley de procedimiento administrativo</w:t>
      </w:r>
    </w:p>
    <w:p w:rsidR="0004239B" w:rsidRDefault="0004239B" w:rsidP="0004239B">
      <w:pPr>
        <w:pStyle w:val="TextoAbreviaturas"/>
      </w:pPr>
      <w:r>
        <w:t>LPL</w:t>
      </w:r>
      <w:r>
        <w:tab/>
        <w:t>Ley de procedimiento laboral</w:t>
      </w:r>
    </w:p>
    <w:p w:rsidR="0004239B" w:rsidRDefault="0004239B" w:rsidP="0004239B">
      <w:pPr>
        <w:pStyle w:val="TextoAbreviaturas"/>
      </w:pPr>
      <w:r>
        <w:t>OID</w:t>
      </w:r>
      <w:r>
        <w:tab/>
        <w:t>Oficina de Información Diplomática</w:t>
      </w:r>
    </w:p>
    <w:p w:rsidR="0004239B" w:rsidRDefault="0004239B" w:rsidP="0004239B">
      <w:pPr>
        <w:pStyle w:val="TextoAbreviaturas"/>
      </w:pPr>
      <w:r>
        <w:t>OIT</w:t>
      </w:r>
      <w:r>
        <w:tab/>
        <w:t>Organización Internacional del Trabajo</w:t>
      </w:r>
    </w:p>
    <w:p w:rsidR="0004239B" w:rsidRDefault="0004239B" w:rsidP="0004239B">
      <w:pPr>
        <w:pStyle w:val="TextoAbreviaturas"/>
      </w:pPr>
      <w:r>
        <w:t>RENFE</w:t>
      </w:r>
      <w:r>
        <w:tab/>
        <w:t>Red Nacional de los Ferrocarriles Españoles</w:t>
      </w:r>
    </w:p>
    <w:p w:rsidR="0004239B" w:rsidRDefault="0004239B" w:rsidP="0004239B">
      <w:pPr>
        <w:pStyle w:val="TextoAbreviaturas"/>
      </w:pPr>
      <w:r>
        <w:t>RH</w:t>
      </w:r>
      <w:r>
        <w:tab/>
        <w:t>Reglamento hipotecario</w:t>
      </w:r>
    </w:p>
    <w:p w:rsidR="0004239B" w:rsidRDefault="0004239B" w:rsidP="0004239B">
      <w:pPr>
        <w:pStyle w:val="TextoAbreviaturas"/>
      </w:pPr>
      <w:r>
        <w:t>RP</w:t>
      </w:r>
      <w:r>
        <w:tab/>
        <w:t>Reglamento penitenciario</w:t>
      </w:r>
    </w:p>
    <w:p w:rsidR="0004239B" w:rsidRDefault="0004239B" w:rsidP="0004239B">
      <w:pPr>
        <w:pStyle w:val="TextoAbreviaturas"/>
      </w:pPr>
      <w:r>
        <w:t>SAS</w:t>
      </w:r>
      <w:r>
        <w:tab/>
        <w:t>Servicio Andaluz de Salud</w:t>
      </w:r>
    </w:p>
    <w:p w:rsidR="0004239B" w:rsidRDefault="0004239B" w:rsidP="0004239B">
      <w:pPr>
        <w:pStyle w:val="TextoAbreviaturas"/>
      </w:pPr>
      <w:r>
        <w:t>STC</w:t>
      </w:r>
      <w:r>
        <w:tab/>
        <w:t>Sentencia del Tribunal Constitucional</w:t>
      </w:r>
    </w:p>
    <w:p w:rsidR="0004239B" w:rsidRDefault="0004239B" w:rsidP="0004239B">
      <w:pPr>
        <w:pStyle w:val="TextoAbreviaturas"/>
      </w:pPr>
      <w:r>
        <w:t>SSTC</w:t>
      </w:r>
      <w:r>
        <w:tab/>
        <w:t>Sentencias del Tribunal Constitucional</w:t>
      </w:r>
    </w:p>
    <w:p w:rsidR="0004239B" w:rsidRDefault="0004239B" w:rsidP="0004239B">
      <w:pPr>
        <w:pStyle w:val="TextoAbreviaturas"/>
      </w:pPr>
      <w:r>
        <w:t>STS</w:t>
      </w:r>
      <w:r>
        <w:tab/>
        <w:t>Sentencia del Tribunal Supremo</w:t>
      </w:r>
    </w:p>
    <w:p w:rsidR="0004239B" w:rsidRDefault="0004239B" w:rsidP="0004239B">
      <w:pPr>
        <w:pStyle w:val="TextoAbreviaturas"/>
      </w:pPr>
      <w:r>
        <w:t>SSTS</w:t>
      </w:r>
      <w:r>
        <w:tab/>
        <w:t>Sentencias del Tribunal Supremo</w:t>
      </w:r>
    </w:p>
    <w:p w:rsidR="0004239B" w:rsidRDefault="0004239B" w:rsidP="0004239B">
      <w:pPr>
        <w:pStyle w:val="TextoAbreviaturas"/>
      </w:pPr>
      <w:r>
        <w:t>TGSS</w:t>
      </w:r>
      <w:r>
        <w:tab/>
        <w:t>Tesorería General de la Seguridad Social</w:t>
      </w:r>
    </w:p>
    <w:p w:rsidR="0004239B" w:rsidRDefault="0004239B" w:rsidP="0004239B">
      <w:pPr>
        <w:pStyle w:val="TextoAbreviaturas"/>
      </w:pPr>
    </w:p>
    <w:sectPr w:rsidR="0004239B" w:rsidSect="0084433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779" w:rsidRDefault="00FA0779" w:rsidP="006854DA">
      <w:pPr>
        <w:spacing w:after="0" w:line="240" w:lineRule="auto"/>
      </w:pPr>
      <w:r>
        <w:separator/>
      </w:r>
    </w:p>
  </w:endnote>
  <w:endnote w:type="continuationSeparator" w:id="0">
    <w:p w:rsidR="00FA0779" w:rsidRDefault="00FA0779" w:rsidP="00685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33F" w:rsidRDefault="0084433F" w:rsidP="0084433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14B47">
      <w:rPr>
        <w:rStyle w:val="Nmerodepgina"/>
        <w:noProof/>
      </w:rPr>
      <w:t>1293</w:t>
    </w:r>
    <w:r>
      <w:rPr>
        <w:rStyle w:val="Nmerodepgina"/>
      </w:rPr>
      <w:fldChar w:fldCharType="end"/>
    </w:r>
  </w:p>
  <w:p w:rsidR="00FA0779" w:rsidRDefault="00FA0779" w:rsidP="0084433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33F" w:rsidRDefault="0084433F" w:rsidP="0084433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14B47">
      <w:rPr>
        <w:rStyle w:val="Nmerodepgina"/>
        <w:noProof/>
      </w:rPr>
      <w:t>1294</w:t>
    </w:r>
    <w:r>
      <w:rPr>
        <w:rStyle w:val="Nmerodepgina"/>
      </w:rPr>
      <w:fldChar w:fldCharType="end"/>
    </w:r>
  </w:p>
  <w:p w:rsidR="00FA0779" w:rsidRDefault="00FA0779" w:rsidP="0084433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779" w:rsidRDefault="00FA07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779" w:rsidRDefault="00FA0779" w:rsidP="006854DA">
      <w:pPr>
        <w:spacing w:after="0" w:line="240" w:lineRule="auto"/>
      </w:pPr>
      <w:r>
        <w:separator/>
      </w:r>
    </w:p>
  </w:footnote>
  <w:footnote w:type="continuationSeparator" w:id="0">
    <w:p w:rsidR="00FA0779" w:rsidRDefault="00FA0779" w:rsidP="006854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779" w:rsidRDefault="00FA07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779" w:rsidRDefault="0084433F" w:rsidP="0084433F">
    <w:pPr>
      <w:pStyle w:val="Cabecera"/>
    </w:pPr>
    <w:r>
      <w:t>JURISPRUDENCIA CONSTITUCIONAL - Tomo: mayo a agosto 1997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779" w:rsidRDefault="00FA07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086"/>
    <w:rsid w:val="000270E8"/>
    <w:rsid w:val="000322F0"/>
    <w:rsid w:val="0004239B"/>
    <w:rsid w:val="0009550B"/>
    <w:rsid w:val="000A58FE"/>
    <w:rsid w:val="00144AD8"/>
    <w:rsid w:val="00202D4F"/>
    <w:rsid w:val="00217AC8"/>
    <w:rsid w:val="002B22AC"/>
    <w:rsid w:val="00321BF9"/>
    <w:rsid w:val="003A5398"/>
    <w:rsid w:val="004521F1"/>
    <w:rsid w:val="004B0086"/>
    <w:rsid w:val="00505D04"/>
    <w:rsid w:val="005634E4"/>
    <w:rsid w:val="005D1927"/>
    <w:rsid w:val="006854DA"/>
    <w:rsid w:val="006B1016"/>
    <w:rsid w:val="006B4858"/>
    <w:rsid w:val="006D710A"/>
    <w:rsid w:val="0074112A"/>
    <w:rsid w:val="00744614"/>
    <w:rsid w:val="007D461E"/>
    <w:rsid w:val="007E1ADB"/>
    <w:rsid w:val="0084433F"/>
    <w:rsid w:val="008E589A"/>
    <w:rsid w:val="00C9675C"/>
    <w:rsid w:val="00CE5901"/>
    <w:rsid w:val="00E14B47"/>
    <w:rsid w:val="00E216F7"/>
    <w:rsid w:val="00EB49B4"/>
    <w:rsid w:val="00FA07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5103DB03-5F54-4B06-A33A-7B9E8E44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086"/>
  </w:style>
  <w:style w:type="paragraph" w:styleId="Ttulo1">
    <w:name w:val="heading 1"/>
    <w:basedOn w:val="Normal"/>
    <w:next w:val="Normal"/>
    <w:link w:val="Ttulo1Car"/>
    <w:uiPriority w:val="9"/>
    <w:rsid w:val="004B0086"/>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4B0086"/>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4B0086"/>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4B0086"/>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B0086"/>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B0086"/>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0086"/>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4B0086"/>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4B0086"/>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4B008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B008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B0086"/>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B0086"/>
    <w:pPr>
      <w:spacing w:after="0" w:line="240" w:lineRule="auto"/>
    </w:pPr>
  </w:style>
  <w:style w:type="paragraph" w:styleId="Textocomentario">
    <w:name w:val="annotation text"/>
    <w:basedOn w:val="Normal"/>
    <w:link w:val="TextocomentarioCar"/>
    <w:uiPriority w:val="99"/>
    <w:semiHidden/>
    <w:rsid w:val="004B0086"/>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B0086"/>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B0086"/>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B0086"/>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B0086"/>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B0086"/>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B0086"/>
    <w:rPr>
      <w:rFonts w:ascii="Times New Roman" w:hAnsi="Times New Roman"/>
      <w:i w:val="0"/>
      <w:sz w:val="24"/>
    </w:rPr>
  </w:style>
  <w:style w:type="character" w:customStyle="1" w:styleId="TtuloBOECar">
    <w:name w:val="Título BOE Car"/>
    <w:basedOn w:val="Fuentedeprrafopredeter"/>
    <w:link w:val="TtuloBOE"/>
    <w:rsid w:val="004B0086"/>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B0086"/>
    <w:rPr>
      <w:rFonts w:ascii="Times New Roman" w:hAnsi="Times New Roman"/>
      <w:i/>
      <w:sz w:val="24"/>
    </w:rPr>
  </w:style>
  <w:style w:type="paragraph" w:customStyle="1" w:styleId="Extracto">
    <w:name w:val="Extracto"/>
    <w:basedOn w:val="Normal"/>
    <w:link w:val="ExtractoCar"/>
    <w:qFormat/>
    <w:rsid w:val="004B0086"/>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B0086"/>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B0086"/>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B0086"/>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B0086"/>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B0086"/>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B0086"/>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B0086"/>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B0086"/>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B0086"/>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B0086"/>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B0086"/>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B0086"/>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B0086"/>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B0086"/>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B0086"/>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B0086"/>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B0086"/>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B0086"/>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B0086"/>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B0086"/>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B0086"/>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B0086"/>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B0086"/>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B0086"/>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B0086"/>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B0086"/>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B0086"/>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B0086"/>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B0086"/>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B0086"/>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B0086"/>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B0086"/>
  </w:style>
  <w:style w:type="paragraph" w:customStyle="1" w:styleId="SntesisAnaltica">
    <w:name w:val="Síntesis Analítica"/>
    <w:basedOn w:val="ParrafoNormal"/>
    <w:link w:val="SntesisAnalticaCar"/>
    <w:qFormat/>
    <w:rsid w:val="004B0086"/>
    <w:rPr>
      <w:i/>
    </w:rPr>
  </w:style>
  <w:style w:type="character" w:customStyle="1" w:styleId="ParrafoNormalCar">
    <w:name w:val="Parrafo Normal Car"/>
    <w:basedOn w:val="Fuentedeprrafopredeter"/>
    <w:link w:val="ParrafoNormal"/>
    <w:rsid w:val="004B0086"/>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B0086"/>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B0086"/>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B0086"/>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B0086"/>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B0086"/>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B0086"/>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B0086"/>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B0086"/>
    <w:rPr>
      <w:rFonts w:ascii="Tahoma" w:eastAsia="Times New Roman" w:hAnsi="Tahoma" w:cs="Tahoma"/>
      <w:sz w:val="16"/>
      <w:szCs w:val="16"/>
      <w:lang w:eastAsia="es-ES"/>
    </w:rPr>
  </w:style>
  <w:style w:type="paragraph" w:customStyle="1" w:styleId="Portada1">
    <w:name w:val="Portada 1"/>
    <w:basedOn w:val="Normal"/>
    <w:link w:val="Portada1Car"/>
    <w:qFormat/>
    <w:rsid w:val="004B0086"/>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B0086"/>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B0086"/>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B0086"/>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B0086"/>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B0086"/>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B0086"/>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B0086"/>
    <w:rPr>
      <w:rFonts w:ascii="Times New Roman" w:hAnsi="Times New Roman"/>
      <w:sz w:val="24"/>
    </w:rPr>
  </w:style>
  <w:style w:type="paragraph" w:customStyle="1" w:styleId="Prueba">
    <w:name w:val="Prueba"/>
    <w:basedOn w:val="Normal"/>
    <w:link w:val="PruebaCar"/>
    <w:qFormat/>
    <w:rsid w:val="004B0086"/>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B0086"/>
    <w:rPr>
      <w:rFonts w:ascii="Times New Roman" w:hAnsi="Times New Roman" w:cs="Times New Roman"/>
      <w:sz w:val="24"/>
      <w:szCs w:val="24"/>
    </w:rPr>
  </w:style>
  <w:style w:type="paragraph" w:customStyle="1" w:styleId="Paginas">
    <w:name w:val="Paginas"/>
    <w:basedOn w:val="Prueba"/>
    <w:link w:val="PaginasCar"/>
    <w:qFormat/>
    <w:rsid w:val="004B0086"/>
  </w:style>
  <w:style w:type="character" w:customStyle="1" w:styleId="PaginasCar">
    <w:name w:val="Paginas Car"/>
    <w:basedOn w:val="PruebaCar"/>
    <w:link w:val="Paginas"/>
    <w:rsid w:val="004B0086"/>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B0086"/>
    <w:pPr>
      <w:ind w:left="568" w:hanging="284"/>
    </w:pPr>
  </w:style>
  <w:style w:type="paragraph" w:customStyle="1" w:styleId="SangriaIzquierdaArticulo">
    <w:name w:val="Sangria Izquierda Articulo"/>
    <w:basedOn w:val="SangriaFrancesaArticulo"/>
    <w:link w:val="SangriaIzquierdaArticuloCar"/>
    <w:qFormat/>
    <w:rsid w:val="004B0086"/>
    <w:pPr>
      <w:ind w:firstLine="0"/>
    </w:pPr>
  </w:style>
  <w:style w:type="character" w:customStyle="1" w:styleId="SangriaFrancesaArticuloCar">
    <w:name w:val="Sangria Francesa Articulo Car"/>
    <w:basedOn w:val="ParrafoNormalCar"/>
    <w:link w:val="SangriaFrancesaArticulo"/>
    <w:rsid w:val="004B0086"/>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B0086"/>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B0086"/>
    <w:pPr>
      <w:tabs>
        <w:tab w:val="left" w:pos="1134"/>
      </w:tabs>
      <w:ind w:left="-567"/>
    </w:pPr>
  </w:style>
  <w:style w:type="character" w:customStyle="1" w:styleId="DescriptoresJerarquicoNegritaCar">
    <w:name w:val="Descriptores Jerarquico Negrita Car"/>
    <w:basedOn w:val="TextoNormalNegritaCar"/>
    <w:link w:val="DescriptoresJerarquicoNegrita"/>
    <w:rsid w:val="004B0086"/>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B0086"/>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B0086"/>
    <w:rPr>
      <w:rFonts w:ascii="Times New Roman" w:hAnsi="Times New Roman"/>
      <w:b/>
      <w:i/>
      <w:sz w:val="24"/>
    </w:rPr>
  </w:style>
  <w:style w:type="paragraph" w:customStyle="1" w:styleId="EntradandiceSumario">
    <w:name w:val="Entrada Índice Sumario"/>
    <w:basedOn w:val="EntradandiceSentencia"/>
    <w:qFormat/>
    <w:rsid w:val="004B0086"/>
    <w:pPr>
      <w:tabs>
        <w:tab w:val="clear" w:pos="8080"/>
        <w:tab w:val="right" w:leader="dot" w:pos="7371"/>
      </w:tabs>
      <w:spacing w:line="260" w:lineRule="exact"/>
      <w:ind w:right="0"/>
    </w:pPr>
  </w:style>
  <w:style w:type="paragraph" w:customStyle="1" w:styleId="FechasPortadaGaceta">
    <w:name w:val="Fechas Portada Gaceta"/>
    <w:basedOn w:val="Normal"/>
    <w:qFormat/>
    <w:rsid w:val="004B0086"/>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B0086"/>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B0086"/>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B0086"/>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B0086"/>
    <w:rPr>
      <w:rFonts w:ascii="Times New Roman" w:hAnsi="Times New Roman"/>
      <w:i w:val="0"/>
      <w:color w:val="A7599E"/>
      <w:sz w:val="24"/>
    </w:rPr>
  </w:style>
  <w:style w:type="paragraph" w:customStyle="1" w:styleId="CabeceraGaceta">
    <w:name w:val="Cabecera Gaceta"/>
    <w:next w:val="Normal"/>
    <w:link w:val="CabeceraGacetaCar"/>
    <w:qFormat/>
    <w:rsid w:val="004B0086"/>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B0086"/>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B0086"/>
    <w:pPr>
      <w:spacing w:after="1800"/>
    </w:pPr>
  </w:style>
  <w:style w:type="character" w:styleId="nfasis">
    <w:name w:val="Emphasis"/>
    <w:basedOn w:val="Fuentedeprrafopredeter"/>
    <w:uiPriority w:val="20"/>
    <w:qFormat/>
    <w:rsid w:val="004B0086"/>
    <w:rPr>
      <w:i/>
      <w:iCs/>
    </w:rPr>
  </w:style>
  <w:style w:type="character" w:styleId="Hipervnculo">
    <w:name w:val="Hyperlink"/>
    <w:basedOn w:val="Fuentedeprrafopredeter"/>
    <w:uiPriority w:val="99"/>
    <w:unhideWhenUsed/>
    <w:rsid w:val="004B0086"/>
    <w:rPr>
      <w:b w:val="0"/>
      <w:color w:val="000000" w:themeColor="text1"/>
      <w:u w:val="none"/>
    </w:rPr>
  </w:style>
  <w:style w:type="paragraph" w:customStyle="1" w:styleId="SntesisDescriptivaConSeparacion">
    <w:name w:val="Síntesis Descriptiva Con Separacion"/>
    <w:basedOn w:val="SntesisDescriptiva"/>
    <w:qFormat/>
    <w:rsid w:val="004B0086"/>
    <w:pPr>
      <w:spacing w:after="600"/>
    </w:pPr>
  </w:style>
  <w:style w:type="paragraph" w:customStyle="1" w:styleId="SntesisAnalticaConSeparacin">
    <w:name w:val="Síntesis Analítica Con Separación"/>
    <w:basedOn w:val="SntesisAnaltica"/>
    <w:qFormat/>
    <w:rsid w:val="004B0086"/>
    <w:pPr>
      <w:spacing w:after="600"/>
    </w:pPr>
  </w:style>
  <w:style w:type="paragraph" w:customStyle="1" w:styleId="TtuloListado">
    <w:name w:val="Título Listado"/>
    <w:basedOn w:val="TextoNormal"/>
    <w:qFormat/>
    <w:rsid w:val="004B0086"/>
    <w:pPr>
      <w:spacing w:line="360" w:lineRule="auto"/>
      <w:jc w:val="center"/>
    </w:pPr>
    <w:rPr>
      <w:b/>
      <w:u w:val="single"/>
    </w:rPr>
  </w:style>
  <w:style w:type="paragraph" w:customStyle="1" w:styleId="TextoNormalCentradoCursiva">
    <w:name w:val="Texto Normal Centrado Cursiva"/>
    <w:basedOn w:val="TextoNormalCentrado"/>
    <w:qFormat/>
    <w:rsid w:val="004B0086"/>
    <w:rPr>
      <w:i/>
    </w:rPr>
  </w:style>
  <w:style w:type="paragraph" w:customStyle="1" w:styleId="TextoConBorde">
    <w:name w:val="Texto Con Borde"/>
    <w:qFormat/>
    <w:rsid w:val="004B0086"/>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B0086"/>
    <w:rPr>
      <w:sz w:val="148"/>
    </w:rPr>
  </w:style>
  <w:style w:type="paragraph" w:customStyle="1" w:styleId="TextoNormalNegritaCentradoSubrayado">
    <w:name w:val="Texto Normal Negrita Centrado Subrayado"/>
    <w:basedOn w:val="TextoNormalNegritaCentrado"/>
    <w:qFormat/>
    <w:rsid w:val="004B0086"/>
    <w:rPr>
      <w:sz w:val="28"/>
      <w:u w:val="single"/>
    </w:rPr>
  </w:style>
  <w:style w:type="paragraph" w:customStyle="1" w:styleId="TextoIndiceNivel2">
    <w:name w:val="TextoIndice Nivel2"/>
    <w:basedOn w:val="TextoNormalNegritaCentrado"/>
    <w:qFormat/>
    <w:rsid w:val="004B0086"/>
    <w:rPr>
      <w:sz w:val="36"/>
    </w:rPr>
  </w:style>
  <w:style w:type="character" w:customStyle="1" w:styleId="TextoNormalNegritaCentradoSombreado">
    <w:name w:val="Texto Normal Negrita Centrado Sombreado"/>
    <w:basedOn w:val="TextoNormalNegritaCaracter"/>
    <w:uiPriority w:val="1"/>
    <w:qFormat/>
    <w:rsid w:val="004B0086"/>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4B0086"/>
    <w:rPr>
      <w:sz w:val="26"/>
    </w:rPr>
  </w:style>
  <w:style w:type="character" w:customStyle="1" w:styleId="ndiceJerrquicoDescriptor">
    <w:name w:val="Índice Jerárquico Descriptor"/>
    <w:basedOn w:val="TextoNormalCar"/>
    <w:uiPriority w:val="1"/>
    <w:qFormat/>
    <w:rsid w:val="004B0086"/>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B0086"/>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B0086"/>
    <w:pPr>
      <w:ind w:left="0"/>
    </w:pPr>
    <w:rPr>
      <w:sz w:val="28"/>
    </w:rPr>
  </w:style>
  <w:style w:type="character" w:styleId="Hipervnculovisitado">
    <w:name w:val="FollowedHyperlink"/>
    <w:basedOn w:val="Fuentedeprrafopredeter"/>
    <w:uiPriority w:val="99"/>
    <w:semiHidden/>
    <w:unhideWhenUsed/>
    <w:rsid w:val="004B0086"/>
    <w:rPr>
      <w:color w:val="auto"/>
      <w:u w:val="none"/>
    </w:rPr>
  </w:style>
  <w:style w:type="paragraph" w:customStyle="1" w:styleId="EntradandiceSumarioNivel2">
    <w:name w:val="Entrada Índice Sumario Nivel2"/>
    <w:basedOn w:val="EntradandiceSumario"/>
    <w:qFormat/>
    <w:rsid w:val="004B0086"/>
    <w:pPr>
      <w:spacing w:line="240" w:lineRule="exact"/>
      <w:ind w:firstLine="113"/>
    </w:pPr>
    <w:rPr>
      <w:sz w:val="23"/>
    </w:rPr>
  </w:style>
  <w:style w:type="paragraph" w:customStyle="1" w:styleId="TtuloSumariondices">
    <w:name w:val="Título Sumario Índices"/>
    <w:basedOn w:val="TextoNormal"/>
    <w:qFormat/>
    <w:rsid w:val="004B0086"/>
    <w:pPr>
      <w:ind w:firstLine="0"/>
      <w:jc w:val="center"/>
    </w:pPr>
    <w:rPr>
      <w:sz w:val="32"/>
    </w:rPr>
  </w:style>
  <w:style w:type="paragraph" w:styleId="Cierre">
    <w:name w:val="Closing"/>
    <w:basedOn w:val="Normal"/>
    <w:link w:val="CierreCar"/>
    <w:uiPriority w:val="99"/>
    <w:unhideWhenUsed/>
    <w:rsid w:val="004B0086"/>
    <w:pPr>
      <w:spacing w:after="0" w:line="240" w:lineRule="auto"/>
      <w:ind w:left="4252"/>
    </w:pPr>
  </w:style>
  <w:style w:type="character" w:customStyle="1" w:styleId="CierreCar">
    <w:name w:val="Cierre Car"/>
    <w:basedOn w:val="Fuentedeprrafopredeter"/>
    <w:link w:val="Cierre"/>
    <w:uiPriority w:val="99"/>
    <w:rsid w:val="004B0086"/>
  </w:style>
  <w:style w:type="paragraph" w:styleId="Cita">
    <w:name w:val="Quote"/>
    <w:basedOn w:val="Normal"/>
    <w:next w:val="Normal"/>
    <w:link w:val="CitaCar"/>
    <w:uiPriority w:val="29"/>
    <w:qFormat/>
    <w:rsid w:val="004B008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B0086"/>
    <w:rPr>
      <w:i/>
      <w:iCs/>
      <w:color w:val="404040" w:themeColor="text1" w:themeTint="BF"/>
    </w:rPr>
  </w:style>
  <w:style w:type="paragraph" w:customStyle="1" w:styleId="Cabecera">
    <w:name w:val="Cabecera"/>
    <w:link w:val="CabeceraCar"/>
    <w:qFormat/>
    <w:rsid w:val="004B0086"/>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4B0086"/>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B0086"/>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B0086"/>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B0086"/>
    <w:rPr>
      <w:rFonts w:ascii="Times New Roman" w:hAnsi="Times New Roman"/>
      <w:b/>
      <w:color w:val="538135"/>
      <w:sz w:val="32"/>
    </w:rPr>
  </w:style>
  <w:style w:type="paragraph" w:styleId="Encabezado">
    <w:name w:val="header"/>
    <w:basedOn w:val="Normal"/>
    <w:link w:val="EncabezadoCar"/>
    <w:uiPriority w:val="99"/>
    <w:unhideWhenUsed/>
    <w:rsid w:val="006854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54DA"/>
  </w:style>
  <w:style w:type="paragraph" w:styleId="Piedepgina">
    <w:name w:val="footer"/>
    <w:basedOn w:val="Normal"/>
    <w:link w:val="PiedepginaCar"/>
    <w:uiPriority w:val="99"/>
    <w:unhideWhenUsed/>
    <w:rsid w:val="006854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54DA"/>
  </w:style>
  <w:style w:type="character" w:styleId="Nmerodepgina">
    <w:name w:val="page number"/>
    <w:basedOn w:val="Fuentedeprrafopredeter"/>
    <w:uiPriority w:val="99"/>
    <w:semiHidden/>
    <w:unhideWhenUsed/>
    <w:rsid w:val="00844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603249</Words>
  <Characters>3317871</Characters>
  <Application>Microsoft Office Word</Application>
  <DocSecurity>0</DocSecurity>
  <Lines>27648</Lines>
  <Paragraphs>7826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2019-03-08T09:47:00Z</cp:lastPrinted>
  <dcterms:created xsi:type="dcterms:W3CDTF">2017-03-29T12:43:00Z</dcterms:created>
  <dcterms:modified xsi:type="dcterms:W3CDTF">2019-03-08T09:48:00Z</dcterms:modified>
</cp:coreProperties>
</file>